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00"/>
        <w:ind w:firstLine="720"/>
        <w:rPr>
          <w:rFonts w:hint="eastAsia"/>
        </w:rPr>
      </w:pPr>
      <w:bookmarkStart w:id="0" w:name="_Toc88903241"/>
      <w:bookmarkStart w:id="1" w:name="_Toc165190429"/>
      <w:bookmarkStart w:id="2" w:name="_Toc165190654"/>
      <w:bookmarkStart w:id="3" w:name="_Toc181676891"/>
      <w:bookmarkStart w:id="4" w:name="_Toc165190223"/>
      <w:bookmarkStart w:id="5" w:name="_Toc165189811"/>
    </w:p>
    <w:p>
      <w:pPr>
        <w:spacing w:line="480" w:lineRule="auto"/>
        <w:ind w:firstLine="720"/>
        <w:jc w:val="center"/>
        <w:outlineLvl w:val="0"/>
        <w:rPr>
          <w:rFonts w:hint="eastAsia" w:ascii="黑体" w:eastAsia="黑体"/>
          <w:bCs/>
          <w:sz w:val="36"/>
          <w:szCs w:val="36"/>
        </w:rPr>
      </w:pPr>
    </w:p>
    <w:p>
      <w:pPr>
        <w:spacing w:line="480" w:lineRule="auto"/>
        <w:jc w:val="center"/>
        <w:outlineLvl w:val="0"/>
        <w:rPr>
          <w:rFonts w:hint="eastAsia" w:ascii="黑体" w:eastAsia="黑体"/>
          <w:bCs/>
          <w:sz w:val="36"/>
          <w:szCs w:val="36"/>
        </w:rPr>
      </w:pPr>
      <w:bookmarkStart w:id="6" w:name="_Toc8851"/>
      <w:bookmarkStart w:id="7" w:name="_Toc98"/>
      <w:r>
        <w:rPr>
          <w:rFonts w:hint="eastAsia" w:ascii="黑体" w:eastAsia="黑体"/>
          <w:bCs/>
          <w:sz w:val="36"/>
          <w:szCs w:val="36"/>
          <w:lang w:val="en-US" w:eastAsia="zh-CN"/>
        </w:rPr>
        <w:t>贵州兴牛肉类食品</w:t>
      </w:r>
      <w:r>
        <w:rPr>
          <w:rFonts w:hint="eastAsia" w:ascii="黑体" w:eastAsia="黑体"/>
          <w:bCs/>
          <w:sz w:val="36"/>
          <w:szCs w:val="36"/>
        </w:rPr>
        <w:t>有限公司</w:t>
      </w:r>
      <w:bookmarkEnd w:id="6"/>
      <w:bookmarkEnd w:id="7"/>
    </w:p>
    <w:p>
      <w:pPr>
        <w:spacing w:line="240" w:lineRule="auto"/>
        <w:ind w:firstLine="0" w:firstLineChars="0"/>
        <w:jc w:val="center"/>
        <w:outlineLvl w:val="0"/>
        <w:rPr>
          <w:rFonts w:hint="eastAsia" w:ascii="黑体" w:hAnsi="宋体" w:eastAsia="黑体"/>
          <w:b/>
          <w:bCs/>
          <w:spacing w:val="-8"/>
          <w:sz w:val="44"/>
          <w:szCs w:val="44"/>
          <w:lang w:val="en-US" w:eastAsia="zh-CN"/>
        </w:rPr>
      </w:pPr>
      <w:bookmarkStart w:id="8" w:name="_Toc9010"/>
      <w:bookmarkStart w:id="9" w:name="_Toc31678"/>
      <w:r>
        <w:rPr>
          <w:rFonts w:hint="eastAsia" w:ascii="黑体" w:hAnsi="宋体" w:eastAsia="黑体"/>
          <w:b/>
          <w:bCs/>
          <w:spacing w:val="-8"/>
          <w:sz w:val="44"/>
          <w:szCs w:val="44"/>
          <w:lang w:val="en-US" w:eastAsia="zh-CN"/>
        </w:rPr>
        <w:t>黔西南州义龙新区“中国万屯”</w:t>
      </w:r>
      <w:bookmarkEnd w:id="8"/>
      <w:bookmarkEnd w:id="9"/>
    </w:p>
    <w:p>
      <w:pPr>
        <w:spacing w:line="240" w:lineRule="auto"/>
        <w:ind w:firstLine="0" w:firstLineChars="0"/>
        <w:jc w:val="center"/>
        <w:outlineLvl w:val="0"/>
        <w:rPr>
          <w:rFonts w:hint="eastAsia" w:ascii="黑体" w:hAnsi="宋体" w:eastAsia="黑体"/>
          <w:b/>
          <w:bCs/>
          <w:spacing w:val="-8"/>
          <w:sz w:val="44"/>
          <w:szCs w:val="44"/>
        </w:rPr>
      </w:pPr>
      <w:bookmarkStart w:id="10" w:name="_Toc30161"/>
      <w:bookmarkStart w:id="11" w:name="_Toc6214"/>
      <w:r>
        <w:rPr>
          <w:rFonts w:hint="eastAsia" w:ascii="黑体" w:hAnsi="宋体" w:eastAsia="黑体"/>
          <w:b/>
          <w:bCs/>
          <w:spacing w:val="-8"/>
          <w:sz w:val="44"/>
          <w:szCs w:val="44"/>
          <w:lang w:val="en-US" w:eastAsia="zh-CN"/>
        </w:rPr>
        <w:t>肉牛屠宰深加工项目</w:t>
      </w:r>
      <w:bookmarkEnd w:id="10"/>
      <w:bookmarkEnd w:id="11"/>
    </w:p>
    <w:p>
      <w:pPr>
        <w:spacing w:line="240" w:lineRule="auto"/>
        <w:ind w:firstLine="198" w:firstLineChars="24"/>
        <w:jc w:val="center"/>
        <w:rPr>
          <w:rFonts w:hint="eastAsia" w:ascii="方正姚体" w:eastAsia="方正姚体"/>
          <w:sz w:val="72"/>
          <w:szCs w:val="72"/>
        </w:rPr>
      </w:pPr>
      <w:r>
        <w:rPr>
          <w:rFonts w:hint="eastAsia" w:ascii="黑体" w:hAnsi="楷体" w:eastAsia="黑体"/>
          <w:b/>
          <w:spacing w:val="52"/>
          <w:sz w:val="72"/>
          <w:szCs w:val="72"/>
        </w:rPr>
        <w:t>环境影响报告书</w:t>
      </w:r>
    </w:p>
    <w:p>
      <w:pPr>
        <w:spacing w:line="240" w:lineRule="auto"/>
        <w:ind w:firstLine="198" w:firstLineChars="62"/>
        <w:jc w:val="center"/>
        <w:rPr>
          <w:rFonts w:hint="eastAsia" w:eastAsia="隶书"/>
          <w:color w:val="FF0000"/>
          <w:sz w:val="32"/>
          <w:szCs w:val="32"/>
        </w:rPr>
      </w:pPr>
      <w:r>
        <w:rPr>
          <w:rFonts w:hint="eastAsia" w:eastAsia="隶书"/>
          <w:color w:val="auto"/>
          <w:sz w:val="32"/>
          <w:szCs w:val="32"/>
        </w:rPr>
        <w:t>（</w:t>
      </w:r>
      <w:r>
        <w:rPr>
          <w:rFonts w:hint="eastAsia" w:eastAsia="隶书"/>
          <w:color w:val="auto"/>
          <w:sz w:val="32"/>
          <w:szCs w:val="32"/>
          <w:lang w:val="en-US" w:eastAsia="zh-CN"/>
        </w:rPr>
        <w:t>送审</w:t>
      </w:r>
      <w:r>
        <w:rPr>
          <w:rFonts w:hint="eastAsia" w:ascii="隶书" w:eastAsia="隶书"/>
          <w:color w:val="auto"/>
          <w:sz w:val="32"/>
          <w:szCs w:val="32"/>
        </w:rPr>
        <w:t>稿</w:t>
      </w:r>
      <w:r>
        <w:rPr>
          <w:rFonts w:hint="eastAsia" w:eastAsia="隶书"/>
          <w:color w:val="auto"/>
          <w:sz w:val="32"/>
          <w:szCs w:val="32"/>
        </w:rPr>
        <w:t>）</w:t>
      </w:r>
    </w:p>
    <w:p>
      <w:pPr>
        <w:spacing w:line="360" w:lineRule="auto"/>
        <w:ind w:firstLine="600"/>
        <w:rPr>
          <w:rFonts w:hint="eastAsia" w:eastAsia="隶书"/>
          <w:color w:val="FF0000"/>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spacing w:line="360" w:lineRule="auto"/>
        <w:ind w:firstLine="600"/>
        <w:rPr>
          <w:rFonts w:hint="eastAsia" w:eastAsia="隶书"/>
          <w:sz w:val="30"/>
        </w:rPr>
      </w:pPr>
    </w:p>
    <w:p>
      <w:pPr>
        <w:pStyle w:val="16"/>
        <w:rPr>
          <w:rFonts w:hint="eastAsia" w:eastAsia="隶书"/>
          <w:sz w:val="30"/>
        </w:rPr>
      </w:pPr>
    </w:p>
    <w:p>
      <w:pPr>
        <w:rPr>
          <w:rFonts w:hint="eastAsia" w:eastAsia="隶书"/>
          <w:sz w:val="30"/>
        </w:rPr>
      </w:pPr>
    </w:p>
    <w:p>
      <w:pPr>
        <w:pStyle w:val="16"/>
        <w:rPr>
          <w:rFonts w:hint="eastAsia"/>
        </w:rPr>
      </w:pPr>
    </w:p>
    <w:p>
      <w:pPr>
        <w:spacing w:line="360" w:lineRule="auto"/>
        <w:ind w:firstLine="600"/>
        <w:rPr>
          <w:rFonts w:hint="eastAsia" w:eastAsia="隶书"/>
          <w:sz w:val="30"/>
        </w:rPr>
      </w:pPr>
    </w:p>
    <w:p>
      <w:pPr>
        <w:spacing w:line="360" w:lineRule="auto"/>
        <w:ind w:firstLine="600"/>
        <w:rPr>
          <w:rFonts w:hint="eastAsia" w:eastAsia="隶书"/>
          <w:sz w:val="30"/>
        </w:rPr>
      </w:pPr>
    </w:p>
    <w:p>
      <w:pPr>
        <w:ind w:firstLine="1800" w:firstLineChars="600"/>
        <w:rPr>
          <w:rFonts w:hint="eastAsia" w:ascii="黑体" w:eastAsia="黑体"/>
          <w:sz w:val="30"/>
          <w:szCs w:val="30"/>
        </w:rPr>
      </w:pPr>
      <w:bookmarkStart w:id="12" w:name="_Toc478330954"/>
      <w:bookmarkStart w:id="13" w:name="_Toc454520502"/>
      <w:bookmarkStart w:id="14" w:name="_Toc475063775"/>
      <w:bookmarkStart w:id="15" w:name="_Toc474911943"/>
      <w:bookmarkStart w:id="16" w:name="_Toc455957759"/>
      <w:bookmarkStart w:id="17" w:name="_Toc454025349"/>
      <w:bookmarkStart w:id="18" w:name="_Toc534480330"/>
      <w:r>
        <w:rPr>
          <w:rFonts w:hint="eastAsia" w:ascii="黑体" w:eastAsia="黑体"/>
          <w:sz w:val="30"/>
          <w:szCs w:val="30"/>
        </w:rPr>
        <w:t>建设单位：</w:t>
      </w:r>
      <w:bookmarkEnd w:id="12"/>
      <w:bookmarkEnd w:id="13"/>
      <w:bookmarkEnd w:id="14"/>
      <w:bookmarkEnd w:id="15"/>
      <w:bookmarkEnd w:id="16"/>
      <w:bookmarkEnd w:id="17"/>
      <w:bookmarkEnd w:id="18"/>
      <w:r>
        <w:rPr>
          <w:rFonts w:hint="eastAsia" w:ascii="黑体" w:eastAsia="黑体"/>
          <w:sz w:val="30"/>
          <w:szCs w:val="30"/>
          <w:lang w:val="en-US" w:eastAsia="zh-CN"/>
        </w:rPr>
        <w:t>贵州兴牛肉类食品</w:t>
      </w:r>
      <w:r>
        <w:rPr>
          <w:rFonts w:hint="eastAsia" w:ascii="黑体" w:eastAsia="黑体"/>
          <w:sz w:val="30"/>
          <w:szCs w:val="30"/>
        </w:rPr>
        <w:t>有限公司</w:t>
      </w:r>
    </w:p>
    <w:p>
      <w:pPr>
        <w:ind w:firstLine="1800" w:firstLineChars="600"/>
        <w:outlineLvl w:val="0"/>
        <w:rPr>
          <w:rFonts w:hint="eastAsia" w:ascii="黑体" w:eastAsia="黑体"/>
          <w:sz w:val="30"/>
          <w:szCs w:val="30"/>
        </w:rPr>
      </w:pPr>
      <w:bookmarkStart w:id="19" w:name="_Toc2092"/>
      <w:bookmarkStart w:id="20" w:name="_Toc29772"/>
      <w:bookmarkStart w:id="21" w:name="_Toc479835804"/>
      <w:bookmarkStart w:id="22" w:name="_Toc24283"/>
      <w:bookmarkStart w:id="23" w:name="_Toc18999"/>
      <w:bookmarkStart w:id="24" w:name="_Toc26157"/>
      <w:bookmarkStart w:id="25" w:name="_Toc29834"/>
      <w:r>
        <w:rPr>
          <w:rFonts w:hint="eastAsia" w:ascii="黑体" w:eastAsia="黑体"/>
          <w:sz w:val="30"/>
          <w:szCs w:val="30"/>
        </w:rPr>
        <w:t>编制单位：</w:t>
      </w:r>
      <w:bookmarkEnd w:id="19"/>
      <w:bookmarkEnd w:id="20"/>
      <w:bookmarkEnd w:id="21"/>
      <w:bookmarkEnd w:id="22"/>
      <w:bookmarkEnd w:id="23"/>
      <w:r>
        <w:rPr>
          <w:rFonts w:hint="eastAsia" w:ascii="黑体" w:eastAsia="黑体"/>
          <w:sz w:val="30"/>
          <w:szCs w:val="30"/>
        </w:rPr>
        <w:t>贵州博远环咨科技有限公司</w:t>
      </w:r>
      <w:bookmarkEnd w:id="24"/>
      <w:bookmarkEnd w:id="25"/>
    </w:p>
    <w:p>
      <w:pPr>
        <w:spacing w:before="240" w:after="60"/>
        <w:jc w:val="center"/>
        <w:rPr>
          <w:rFonts w:eastAsia="黑体"/>
          <w:b/>
          <w:sz w:val="28"/>
          <w:szCs w:val="28"/>
        </w:rPr>
      </w:pPr>
      <w:r>
        <w:rPr>
          <w:rFonts w:hint="eastAsia" w:ascii="黑体" w:hAnsi="黑体" w:eastAsia="黑体"/>
          <w:sz w:val="28"/>
        </w:rPr>
        <w:t>20</w:t>
      </w:r>
      <w:r>
        <w:rPr>
          <w:rFonts w:hint="eastAsia" w:ascii="黑体" w:hAnsi="黑体" w:eastAsia="黑体"/>
          <w:sz w:val="28"/>
          <w:lang w:val="en-US" w:eastAsia="zh-CN"/>
        </w:rPr>
        <w:t>20</w:t>
      </w:r>
      <w:r>
        <w:rPr>
          <w:rFonts w:hint="eastAsia" w:ascii="黑体" w:hAnsi="黑体" w:eastAsia="黑体"/>
          <w:sz w:val="28"/>
        </w:rPr>
        <w:t>年</w:t>
      </w:r>
      <w:r>
        <w:rPr>
          <w:rFonts w:hint="eastAsia" w:ascii="黑体" w:hAnsi="黑体" w:eastAsia="黑体"/>
          <w:sz w:val="28"/>
          <w:lang w:val="en-US" w:eastAsia="zh-CN"/>
        </w:rPr>
        <w:t>7</w:t>
      </w:r>
      <w:r>
        <w:rPr>
          <w:rFonts w:hint="eastAsia" w:ascii="黑体" w:hAnsi="黑体" w:eastAsia="黑体"/>
          <w:sz w:val="28"/>
        </w:rPr>
        <w:t>月</w:t>
      </w:r>
    </w:p>
    <w:p>
      <w:pPr>
        <w:spacing w:before="60" w:after="60"/>
        <w:ind w:firstLine="2891" w:firstLineChars="900"/>
        <w:rPr>
          <w:rFonts w:eastAsia="黑体"/>
          <w:b/>
          <w:sz w:val="32"/>
          <w:szCs w:val="32"/>
        </w:rPr>
      </w:pPr>
    </w:p>
    <w:p>
      <w:pPr>
        <w:spacing w:line="360" w:lineRule="auto"/>
        <w:jc w:val="center"/>
        <w:rPr>
          <w:rFonts w:eastAsia="黑体"/>
          <w:sz w:val="44"/>
          <w:szCs w:val="44"/>
        </w:rPr>
      </w:pPr>
      <w:r>
        <w:rPr>
          <w:rFonts w:eastAsia="黑体"/>
          <w:sz w:val="44"/>
          <w:szCs w:val="44"/>
        </w:rPr>
        <w:t>目  录</w:t>
      </w:r>
    </w:p>
    <w:p>
      <w:pPr>
        <w:pStyle w:val="59"/>
        <w:tabs>
          <w:tab w:val="right" w:leader="dot" w:pos="8312"/>
          <w:tab w:val="clear" w:pos="8302"/>
        </w:tabs>
      </w:pPr>
      <w:r>
        <w:rPr>
          <w:rFonts w:ascii="Times New Roman" w:hAnsi="Times New Roman" w:eastAsia="宋体"/>
        </w:rPr>
        <w:fldChar w:fldCharType="begin"/>
      </w:r>
      <w:r>
        <w:rPr>
          <w:rFonts w:ascii="Times New Roman" w:hAnsi="Times New Roman" w:eastAsia="宋体"/>
        </w:rPr>
        <w:instrText xml:space="preserve"> TOC \o "1-4" \h \z \u </w:instrText>
      </w:r>
      <w:r>
        <w:rPr>
          <w:rFonts w:ascii="Times New Roman" w:hAnsi="Times New Roman" w:eastAsia="宋体"/>
        </w:rPr>
        <w:fldChar w:fldCharType="separate"/>
      </w:r>
      <w:r>
        <w:rPr>
          <w:szCs w:val="21"/>
        </w:rPr>
        <w:fldChar w:fldCharType="begin"/>
      </w:r>
      <w:r>
        <w:rPr>
          <w:szCs w:val="21"/>
        </w:rPr>
        <w:instrText xml:space="preserve"> HYPERLINK \l _Toc28952 </w:instrText>
      </w:r>
      <w:r>
        <w:rPr>
          <w:szCs w:val="21"/>
        </w:rPr>
        <w:fldChar w:fldCharType="separate"/>
      </w:r>
      <w:r>
        <w:rPr>
          <w:rFonts w:hint="eastAsia"/>
        </w:rPr>
        <w:t xml:space="preserve">1 </w:t>
      </w:r>
      <w:r>
        <w:t>前言</w:t>
      </w:r>
      <w:r>
        <w:tab/>
      </w:r>
      <w:r>
        <w:fldChar w:fldCharType="begin"/>
      </w:r>
      <w:r>
        <w:instrText xml:space="preserve"> PAGEREF _Toc28952 </w:instrText>
      </w:r>
      <w:r>
        <w:fldChar w:fldCharType="separate"/>
      </w:r>
      <w:r>
        <w:t>1</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_Toc4754 </w:instrText>
      </w:r>
      <w:r>
        <w:rPr>
          <w:szCs w:val="21"/>
        </w:rPr>
        <w:fldChar w:fldCharType="separate"/>
      </w:r>
      <w:r>
        <w:rPr>
          <w:rFonts w:hint="eastAsia"/>
        </w:rPr>
        <w:t xml:space="preserve">1.1 </w:t>
      </w:r>
      <w:r>
        <w:t>项目由来</w:t>
      </w:r>
      <w:r>
        <w:tab/>
      </w:r>
      <w:r>
        <w:fldChar w:fldCharType="begin"/>
      </w:r>
      <w:r>
        <w:instrText xml:space="preserve"> PAGEREF _Toc4754 </w:instrText>
      </w:r>
      <w:r>
        <w:fldChar w:fldCharType="separate"/>
      </w:r>
      <w:r>
        <w:t>1</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_Toc18214 </w:instrText>
      </w:r>
      <w:r>
        <w:rPr>
          <w:szCs w:val="21"/>
        </w:rPr>
        <w:fldChar w:fldCharType="separate"/>
      </w:r>
      <w:r>
        <w:rPr>
          <w:rFonts w:hint="eastAsia"/>
        </w:rPr>
        <w:t xml:space="preserve">1.2 </w:t>
      </w:r>
      <w:r>
        <w:t>项目的特点</w:t>
      </w:r>
      <w:r>
        <w:tab/>
      </w:r>
      <w:r>
        <w:fldChar w:fldCharType="begin"/>
      </w:r>
      <w:r>
        <w:instrText xml:space="preserve"> PAGEREF _Toc18214 </w:instrText>
      </w:r>
      <w:r>
        <w:fldChar w:fldCharType="separate"/>
      </w:r>
      <w:r>
        <w:t>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_Toc788 </w:instrText>
      </w:r>
      <w:r>
        <w:rPr>
          <w:szCs w:val="21"/>
        </w:rPr>
        <w:fldChar w:fldCharType="separate"/>
      </w:r>
      <w:r>
        <w:rPr>
          <w:rFonts w:hint="eastAsia"/>
        </w:rPr>
        <w:t xml:space="preserve">1.3 </w:t>
      </w:r>
      <w:r>
        <w:rPr>
          <w:rFonts w:hint="eastAsia"/>
          <w:lang w:eastAsia="zh-CN"/>
        </w:rPr>
        <w:t>分析判定情况</w:t>
      </w:r>
      <w:r>
        <w:tab/>
      </w:r>
      <w:r>
        <w:fldChar w:fldCharType="begin"/>
      </w:r>
      <w:r>
        <w:instrText xml:space="preserve"> PAGEREF _Toc788 </w:instrText>
      </w:r>
      <w:r>
        <w:fldChar w:fldCharType="separate"/>
      </w:r>
      <w:r>
        <w:t>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_Toc5175 </w:instrText>
      </w:r>
      <w:r>
        <w:rPr>
          <w:szCs w:val="21"/>
        </w:rPr>
        <w:fldChar w:fldCharType="separate"/>
      </w:r>
      <w:r>
        <w:rPr>
          <w:rFonts w:hint="eastAsia"/>
          <w:szCs w:val="28"/>
        </w:rPr>
        <w:t xml:space="preserve">1.3.1 </w:t>
      </w:r>
      <w:r>
        <w:rPr>
          <w:rFonts w:hint="eastAsia"/>
          <w:szCs w:val="28"/>
          <w:lang w:eastAsia="zh-CN"/>
        </w:rPr>
        <w:t>产业政策合理性分析</w:t>
      </w:r>
      <w:r>
        <w:tab/>
      </w:r>
      <w:r>
        <w:fldChar w:fldCharType="begin"/>
      </w:r>
      <w:r>
        <w:instrText xml:space="preserve"> PAGEREF _Toc5175 </w:instrText>
      </w:r>
      <w:r>
        <w:fldChar w:fldCharType="separate"/>
      </w:r>
      <w:r>
        <w:t>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_Toc23607 </w:instrText>
      </w:r>
      <w:r>
        <w:rPr>
          <w:szCs w:val="21"/>
        </w:rPr>
        <w:fldChar w:fldCharType="separate"/>
      </w:r>
      <w:r>
        <w:rPr>
          <w:rFonts w:hint="eastAsia"/>
          <w:szCs w:val="28"/>
        </w:rPr>
        <w:t xml:space="preserve">1.3.2 </w:t>
      </w:r>
      <w:r>
        <w:rPr>
          <w:rFonts w:hint="eastAsia"/>
          <w:szCs w:val="28"/>
          <w:lang w:eastAsia="zh-CN"/>
        </w:rPr>
        <w:t>项目建设与“三线一单”符合性分析</w:t>
      </w:r>
      <w:r>
        <w:tab/>
      </w:r>
      <w:r>
        <w:fldChar w:fldCharType="begin"/>
      </w:r>
      <w:r>
        <w:instrText xml:space="preserve"> PAGEREF _Toc23607 </w:instrText>
      </w:r>
      <w:r>
        <w:fldChar w:fldCharType="separate"/>
      </w:r>
      <w:r>
        <w:t>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_Toc29546 </w:instrText>
      </w:r>
      <w:r>
        <w:rPr>
          <w:szCs w:val="21"/>
        </w:rPr>
        <w:fldChar w:fldCharType="separate"/>
      </w:r>
      <w:r>
        <w:rPr>
          <w:rFonts w:hint="eastAsia"/>
          <w:szCs w:val="28"/>
        </w:rPr>
        <w:t xml:space="preserve">1.3.3 </w:t>
      </w:r>
      <w:r>
        <w:rPr>
          <w:szCs w:val="28"/>
        </w:rPr>
        <w:t>评价流程</w:t>
      </w:r>
      <w:r>
        <w:tab/>
      </w:r>
      <w:r>
        <w:fldChar w:fldCharType="begin"/>
      </w:r>
      <w:r>
        <w:instrText xml:space="preserve"> PAGEREF _Toc29546 </w:instrText>
      </w:r>
      <w:r>
        <w:fldChar w:fldCharType="separate"/>
      </w:r>
      <w:r>
        <w:t>5</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_Toc31719 </w:instrText>
      </w:r>
      <w:r>
        <w:rPr>
          <w:szCs w:val="21"/>
        </w:rPr>
        <w:fldChar w:fldCharType="separate"/>
      </w:r>
      <w:r>
        <w:rPr>
          <w:rFonts w:hint="eastAsia"/>
        </w:rPr>
        <w:t xml:space="preserve">1.4 </w:t>
      </w:r>
      <w:r>
        <w:t>主要关注的环境问题</w:t>
      </w:r>
      <w:r>
        <w:tab/>
      </w:r>
      <w:r>
        <w:fldChar w:fldCharType="begin"/>
      </w:r>
      <w:r>
        <w:instrText xml:space="preserve"> PAGEREF _Toc31719 </w:instrText>
      </w:r>
      <w:r>
        <w:fldChar w:fldCharType="separate"/>
      </w:r>
      <w:r>
        <w:t>6</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_Toc25885 </w:instrText>
      </w:r>
      <w:r>
        <w:rPr>
          <w:szCs w:val="21"/>
        </w:rPr>
        <w:fldChar w:fldCharType="separate"/>
      </w:r>
      <w:r>
        <w:rPr>
          <w:rFonts w:hint="eastAsia"/>
        </w:rPr>
        <w:t xml:space="preserve">1.5 </w:t>
      </w:r>
      <w:r>
        <w:t>主要环评结论</w:t>
      </w:r>
      <w:r>
        <w:tab/>
      </w:r>
      <w:r>
        <w:fldChar w:fldCharType="begin"/>
      </w:r>
      <w:r>
        <w:instrText xml:space="preserve"> PAGEREF _Toc25885 </w:instrText>
      </w:r>
      <w:r>
        <w:fldChar w:fldCharType="separate"/>
      </w:r>
      <w:r>
        <w:t>6</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_Toc6821 </w:instrText>
      </w:r>
      <w:r>
        <w:rPr>
          <w:szCs w:val="21"/>
        </w:rPr>
        <w:fldChar w:fldCharType="separate"/>
      </w:r>
      <w:r>
        <w:rPr>
          <w:rFonts w:hint="eastAsia"/>
        </w:rPr>
        <w:t xml:space="preserve">2 </w:t>
      </w:r>
      <w:r>
        <w:rPr>
          <w:highlight w:val="none"/>
        </w:rPr>
        <w:t>总则</w:t>
      </w:r>
      <w:r>
        <w:tab/>
      </w:r>
      <w:r>
        <w:fldChar w:fldCharType="begin"/>
      </w:r>
      <w:r>
        <w:instrText xml:space="preserve"> PAGEREF _Toc6821 </w:instrText>
      </w:r>
      <w:r>
        <w:fldChar w:fldCharType="separate"/>
      </w:r>
      <w:r>
        <w:t>8</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_Toc31487 </w:instrText>
      </w:r>
      <w:r>
        <w:rPr>
          <w:szCs w:val="21"/>
        </w:rPr>
        <w:fldChar w:fldCharType="separate"/>
      </w:r>
      <w:r>
        <w:rPr>
          <w:rFonts w:hint="eastAsia"/>
        </w:rPr>
        <w:t xml:space="preserve">2.1 </w:t>
      </w:r>
      <w:r>
        <w:t>编制依据</w:t>
      </w:r>
      <w:r>
        <w:tab/>
      </w:r>
      <w:r>
        <w:fldChar w:fldCharType="begin"/>
      </w:r>
      <w:r>
        <w:instrText xml:space="preserve"> PAGEREF _Toc31487 </w:instrText>
      </w:r>
      <w:r>
        <w:fldChar w:fldCharType="separate"/>
      </w:r>
      <w:r>
        <w:t>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_Toc6608 </w:instrText>
      </w:r>
      <w:r>
        <w:rPr>
          <w:szCs w:val="21"/>
        </w:rPr>
        <w:fldChar w:fldCharType="separate"/>
      </w:r>
      <w:r>
        <w:rPr>
          <w:rFonts w:hint="eastAsia"/>
        </w:rPr>
        <w:t xml:space="preserve">2.1.1 </w:t>
      </w:r>
      <w:r>
        <w:t>国家级法律、法规</w:t>
      </w:r>
      <w:r>
        <w:tab/>
      </w:r>
      <w:r>
        <w:fldChar w:fldCharType="begin"/>
      </w:r>
      <w:r>
        <w:instrText xml:space="preserve"> PAGEREF _Toc6608 </w:instrText>
      </w:r>
      <w:r>
        <w:fldChar w:fldCharType="separate"/>
      </w:r>
      <w:r>
        <w:t>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_Toc30134 </w:instrText>
      </w:r>
      <w:r>
        <w:rPr>
          <w:szCs w:val="21"/>
        </w:rPr>
        <w:fldChar w:fldCharType="separate"/>
      </w:r>
      <w:r>
        <w:rPr>
          <w:rFonts w:hint="eastAsia"/>
        </w:rPr>
        <w:t xml:space="preserve">2.1.2 </w:t>
      </w:r>
      <w:r>
        <w:rPr>
          <w:rFonts w:hint="eastAsia"/>
          <w:lang w:eastAsia="zh-CN"/>
        </w:rPr>
        <w:t>部门规章</w:t>
      </w:r>
      <w:r>
        <w:tab/>
      </w:r>
      <w:r>
        <w:fldChar w:fldCharType="begin"/>
      </w:r>
      <w:r>
        <w:instrText xml:space="preserve"> PAGEREF _Toc30134 </w:instrText>
      </w:r>
      <w:r>
        <w:fldChar w:fldCharType="separate"/>
      </w:r>
      <w:r>
        <w:t>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_Toc4395 </w:instrText>
      </w:r>
      <w:r>
        <w:rPr>
          <w:szCs w:val="21"/>
        </w:rPr>
        <w:fldChar w:fldCharType="separate"/>
      </w:r>
      <w:r>
        <w:rPr>
          <w:rFonts w:hint="eastAsia"/>
        </w:rPr>
        <w:t xml:space="preserve">2.1.3 </w:t>
      </w:r>
      <w:r>
        <w:rPr>
          <w:rFonts w:hint="eastAsia"/>
          <w:lang w:eastAsia="zh-CN"/>
        </w:rPr>
        <w:t>地方性规章规范</w:t>
      </w:r>
      <w:r>
        <w:tab/>
      </w:r>
      <w:r>
        <w:fldChar w:fldCharType="begin"/>
      </w:r>
      <w:r>
        <w:instrText xml:space="preserve"> PAGEREF _Toc4395 </w:instrText>
      </w:r>
      <w:r>
        <w:fldChar w:fldCharType="separate"/>
      </w:r>
      <w:r>
        <w:t>10</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_Toc26822 </w:instrText>
      </w:r>
      <w:r>
        <w:rPr>
          <w:szCs w:val="21"/>
        </w:rPr>
        <w:fldChar w:fldCharType="separate"/>
      </w:r>
      <w:r>
        <w:rPr>
          <w:rFonts w:hint="eastAsia"/>
        </w:rPr>
        <w:t xml:space="preserve">2.1.4 </w:t>
      </w:r>
      <w:r>
        <w:t>环评导则及技术规范</w:t>
      </w:r>
      <w:r>
        <w:tab/>
      </w:r>
      <w:r>
        <w:fldChar w:fldCharType="begin"/>
      </w:r>
      <w:r>
        <w:instrText xml:space="preserve"> PAGEREF _Toc26822 </w:instrText>
      </w:r>
      <w:r>
        <w:fldChar w:fldCharType="separate"/>
      </w:r>
      <w:r>
        <w:t>11</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_Toc32179 </w:instrText>
      </w:r>
      <w:r>
        <w:rPr>
          <w:szCs w:val="21"/>
        </w:rPr>
        <w:fldChar w:fldCharType="separate"/>
      </w:r>
      <w:r>
        <w:rPr>
          <w:rFonts w:hint="eastAsia"/>
        </w:rPr>
        <w:t xml:space="preserve">2.1.5 </w:t>
      </w:r>
      <w:r>
        <w:t>其它有关依据</w:t>
      </w:r>
      <w:r>
        <w:tab/>
      </w:r>
      <w:r>
        <w:fldChar w:fldCharType="begin"/>
      </w:r>
      <w:r>
        <w:instrText xml:space="preserve"> PAGEREF _Toc32179 </w:instrText>
      </w:r>
      <w:r>
        <w:fldChar w:fldCharType="separate"/>
      </w:r>
      <w:r>
        <w:t>12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_Toc24220 </w:instrText>
      </w:r>
      <w:r>
        <w:rPr>
          <w:szCs w:val="21"/>
        </w:rPr>
        <w:fldChar w:fldCharType="separate"/>
      </w:r>
      <w:r>
        <w:rPr>
          <w:rFonts w:hint="eastAsia"/>
        </w:rPr>
        <w:t xml:space="preserve">2.2 </w:t>
      </w:r>
      <w:r>
        <w:t>评价标准</w:t>
      </w:r>
      <w:r>
        <w:tab/>
      </w:r>
      <w:r>
        <w:fldChar w:fldCharType="begin"/>
      </w:r>
      <w:r>
        <w:instrText xml:space="preserve"> PAGEREF _Toc24220 </w:instrText>
      </w:r>
      <w:r>
        <w:fldChar w:fldCharType="separate"/>
      </w:r>
      <w:r>
        <w:t>13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_Toc17410 </w:instrText>
      </w:r>
      <w:r>
        <w:rPr>
          <w:szCs w:val="21"/>
        </w:rPr>
        <w:fldChar w:fldCharType="separate"/>
      </w:r>
      <w:r>
        <w:rPr>
          <w:rFonts w:hint="eastAsia"/>
        </w:rPr>
        <w:t xml:space="preserve">2.2.1 </w:t>
      </w:r>
      <w:r>
        <w:rPr>
          <w:rFonts w:hint="eastAsia"/>
          <w:lang w:eastAsia="zh-CN"/>
        </w:rPr>
        <w:t>环境质量标准</w:t>
      </w:r>
      <w:r>
        <w:tab/>
      </w:r>
      <w:r>
        <w:fldChar w:fldCharType="begin"/>
      </w:r>
      <w:r>
        <w:instrText xml:space="preserve"> PAGEREF _Toc17410 </w:instrText>
      </w:r>
      <w:r>
        <w:fldChar w:fldCharType="separate"/>
      </w:r>
      <w:r>
        <w:t>13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_Toc1503 </w:instrText>
      </w:r>
      <w:r>
        <w:rPr>
          <w:szCs w:val="21"/>
        </w:rPr>
        <w:fldChar w:fldCharType="separate"/>
      </w:r>
      <w:r>
        <w:rPr>
          <w:rFonts w:hint="eastAsia"/>
        </w:rPr>
        <w:t xml:space="preserve">2.2.2 </w:t>
      </w:r>
      <w:r>
        <w:rPr>
          <w:rFonts w:hint="eastAsia"/>
          <w:lang w:eastAsia="zh-CN"/>
        </w:rPr>
        <w:t>污染物排放</w:t>
      </w:r>
      <w:r>
        <w:t>标准</w:t>
      </w:r>
      <w:r>
        <w:tab/>
      </w:r>
      <w:r>
        <w:fldChar w:fldCharType="begin"/>
      </w:r>
      <w:r>
        <w:instrText xml:space="preserve"> PAGEREF _Toc1503 </w:instrText>
      </w:r>
      <w:r>
        <w:fldChar w:fldCharType="separate"/>
      </w:r>
      <w:r>
        <w:t>14</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_Toc2760 </w:instrText>
      </w:r>
      <w:r>
        <w:rPr>
          <w:szCs w:val="21"/>
        </w:rPr>
        <w:fldChar w:fldCharType="separate"/>
      </w:r>
      <w:r>
        <w:rPr>
          <w:rFonts w:hint="eastAsia"/>
        </w:rPr>
        <w:t xml:space="preserve">2.3 </w:t>
      </w:r>
      <w:r>
        <w:rPr>
          <w:highlight w:val="none"/>
        </w:rPr>
        <w:t>评价等级</w:t>
      </w:r>
      <w:r>
        <w:rPr>
          <w:rFonts w:hint="eastAsia"/>
          <w:highlight w:val="none"/>
          <w:lang w:eastAsia="zh-CN"/>
        </w:rPr>
        <w:t>及评价范围确定</w:t>
      </w:r>
      <w:r>
        <w:tab/>
      </w:r>
      <w:r>
        <w:fldChar w:fldCharType="begin"/>
      </w:r>
      <w:r>
        <w:instrText xml:space="preserve"> PAGEREF _Toc2760 </w:instrText>
      </w:r>
      <w:r>
        <w:fldChar w:fldCharType="separate"/>
      </w:r>
      <w:r>
        <w:t>16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_Toc31362 </w:instrText>
      </w:r>
      <w:r>
        <w:rPr>
          <w:szCs w:val="21"/>
        </w:rPr>
        <w:fldChar w:fldCharType="separate"/>
      </w:r>
      <w:r>
        <w:rPr>
          <w:rFonts w:hint="eastAsia"/>
        </w:rPr>
        <w:t xml:space="preserve">2.3.1 </w:t>
      </w:r>
      <w:r>
        <w:rPr>
          <w:highlight w:val="none"/>
        </w:rPr>
        <w:t>地表水环境评价工作等级</w:t>
      </w:r>
      <w:r>
        <w:tab/>
      </w:r>
      <w:r>
        <w:fldChar w:fldCharType="begin"/>
      </w:r>
      <w:r>
        <w:instrText xml:space="preserve"> PAGEREF _Toc31362 </w:instrText>
      </w:r>
      <w:r>
        <w:fldChar w:fldCharType="separate"/>
      </w:r>
      <w:r>
        <w:t>16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_Toc22056 </w:instrText>
      </w:r>
      <w:r>
        <w:rPr>
          <w:szCs w:val="21"/>
        </w:rPr>
        <w:fldChar w:fldCharType="separate"/>
      </w:r>
      <w:r>
        <w:rPr>
          <w:rFonts w:hint="eastAsia"/>
        </w:rPr>
        <w:t xml:space="preserve">2.3.2 </w:t>
      </w:r>
      <w:r>
        <w:rPr>
          <w:highlight w:val="none"/>
        </w:rPr>
        <w:t>环境空气评价工作等级</w:t>
      </w:r>
      <w:r>
        <w:tab/>
      </w:r>
      <w:r>
        <w:fldChar w:fldCharType="begin"/>
      </w:r>
      <w:r>
        <w:instrText xml:space="preserve"> PAGEREF _Toc22056 </w:instrText>
      </w:r>
      <w:r>
        <w:fldChar w:fldCharType="separate"/>
      </w:r>
      <w:r>
        <w:t>17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_Toc4135 </w:instrText>
      </w:r>
      <w:r>
        <w:rPr>
          <w:szCs w:val="21"/>
        </w:rPr>
        <w:fldChar w:fldCharType="separate"/>
      </w:r>
      <w:r>
        <w:rPr>
          <w:rFonts w:hint="eastAsia"/>
        </w:rPr>
        <w:t xml:space="preserve">2.3.3 </w:t>
      </w:r>
      <w:r>
        <w:t>噪声环境评价工作等级</w:t>
      </w:r>
      <w:r>
        <w:tab/>
      </w:r>
      <w:r>
        <w:fldChar w:fldCharType="begin"/>
      </w:r>
      <w:r>
        <w:instrText xml:space="preserve"> PAGEREF _Toc4135 </w:instrText>
      </w:r>
      <w:r>
        <w:fldChar w:fldCharType="separate"/>
      </w:r>
      <w:r>
        <w:t>18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_Toc21251 </w:instrText>
      </w:r>
      <w:r>
        <w:rPr>
          <w:szCs w:val="21"/>
        </w:rPr>
        <w:fldChar w:fldCharType="separate"/>
      </w:r>
      <w:r>
        <w:rPr>
          <w:rFonts w:hint="eastAsia"/>
        </w:rPr>
        <w:t xml:space="preserve">2.3.4 </w:t>
      </w:r>
      <w:r>
        <w:t>环境风险评价工作等级</w:t>
      </w:r>
      <w:r>
        <w:tab/>
      </w:r>
      <w:r>
        <w:fldChar w:fldCharType="begin"/>
      </w:r>
      <w:r>
        <w:instrText xml:space="preserve"> PAGEREF _Toc21251 </w:instrText>
      </w:r>
      <w:r>
        <w:fldChar w:fldCharType="separate"/>
      </w:r>
      <w:r>
        <w:t>18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_Toc28882 </w:instrText>
      </w:r>
      <w:r>
        <w:rPr>
          <w:szCs w:val="21"/>
        </w:rPr>
        <w:fldChar w:fldCharType="separate"/>
      </w:r>
      <w:r>
        <w:rPr>
          <w:rFonts w:hint="eastAsia"/>
        </w:rPr>
        <w:t xml:space="preserve">2.3.5 </w:t>
      </w:r>
      <w:r>
        <w:t>地下水评价等级</w:t>
      </w:r>
      <w:r>
        <w:tab/>
      </w:r>
      <w:r>
        <w:fldChar w:fldCharType="begin"/>
      </w:r>
      <w:r>
        <w:instrText xml:space="preserve"> PAGEREF _Toc28882 </w:instrText>
      </w:r>
      <w:r>
        <w:fldChar w:fldCharType="separate"/>
      </w:r>
      <w:r>
        <w:t>19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_Toc31083 </w:instrText>
      </w:r>
      <w:r>
        <w:rPr>
          <w:szCs w:val="21"/>
        </w:rPr>
        <w:fldChar w:fldCharType="separate"/>
      </w:r>
      <w:r>
        <w:rPr>
          <w:rFonts w:hint="eastAsia"/>
        </w:rPr>
        <w:t xml:space="preserve">2.3.6 </w:t>
      </w:r>
      <w:r>
        <w:rPr>
          <w:rFonts w:hint="eastAsia"/>
          <w:lang w:val="en-US" w:eastAsia="zh-CN"/>
        </w:rPr>
        <w:t>土壤</w:t>
      </w:r>
      <w:r>
        <w:t>评价等级</w:t>
      </w:r>
      <w:r>
        <w:tab/>
      </w:r>
      <w:r>
        <w:fldChar w:fldCharType="begin"/>
      </w:r>
      <w:r>
        <w:instrText xml:space="preserve"> PAGEREF _Toc31083 </w:instrText>
      </w:r>
      <w:r>
        <w:fldChar w:fldCharType="separate"/>
      </w:r>
      <w:r>
        <w:t>20</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_Toc14847 </w:instrText>
      </w:r>
      <w:r>
        <w:rPr>
          <w:szCs w:val="21"/>
        </w:rPr>
        <w:fldChar w:fldCharType="separate"/>
      </w:r>
      <w:r>
        <w:rPr>
          <w:rFonts w:hint="eastAsia"/>
        </w:rPr>
        <w:t xml:space="preserve">2.3.7 </w:t>
      </w:r>
      <w:r>
        <w:t>生态评价等级</w:t>
      </w:r>
      <w:r>
        <w:tab/>
      </w:r>
      <w:r>
        <w:fldChar w:fldCharType="begin"/>
      </w:r>
      <w:r>
        <w:instrText xml:space="preserve"> PAGEREF _Toc14847 </w:instrText>
      </w:r>
      <w:r>
        <w:fldChar w:fldCharType="separate"/>
      </w:r>
      <w:r>
        <w:t>20</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_Toc10196 </w:instrText>
      </w:r>
      <w:r>
        <w:rPr>
          <w:szCs w:val="21"/>
        </w:rPr>
        <w:fldChar w:fldCharType="separate"/>
      </w:r>
      <w:r>
        <w:rPr>
          <w:rFonts w:hint="eastAsia"/>
        </w:rPr>
        <w:t xml:space="preserve">2.4 </w:t>
      </w:r>
      <w:r>
        <w:t>评价范围和重点保护目标</w:t>
      </w:r>
      <w:r>
        <w:tab/>
      </w:r>
      <w:r>
        <w:fldChar w:fldCharType="begin"/>
      </w:r>
      <w:r>
        <w:instrText xml:space="preserve"> PAGEREF _Toc10196 </w:instrText>
      </w:r>
      <w:r>
        <w:fldChar w:fldCharType="separate"/>
      </w:r>
      <w:r>
        <w:t>20</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_Toc21397 </w:instrText>
      </w:r>
      <w:r>
        <w:rPr>
          <w:szCs w:val="21"/>
        </w:rPr>
        <w:fldChar w:fldCharType="separate"/>
      </w:r>
      <w:r>
        <w:rPr>
          <w:rFonts w:hint="eastAsia"/>
        </w:rPr>
        <w:t xml:space="preserve">2.4.1 </w:t>
      </w:r>
      <w:r>
        <w:t>评价范围</w:t>
      </w:r>
      <w:r>
        <w:tab/>
      </w:r>
      <w:r>
        <w:fldChar w:fldCharType="begin"/>
      </w:r>
      <w:r>
        <w:instrText xml:space="preserve"> PAGEREF _Toc21397 </w:instrText>
      </w:r>
      <w:r>
        <w:fldChar w:fldCharType="separate"/>
      </w:r>
      <w:r>
        <w:t>20</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_Toc9412 </w:instrText>
      </w:r>
      <w:r>
        <w:rPr>
          <w:szCs w:val="21"/>
        </w:rPr>
        <w:fldChar w:fldCharType="separate"/>
      </w:r>
      <w:r>
        <w:rPr>
          <w:rFonts w:hint="eastAsia" w:ascii="Times New Roman" w:hAnsi="Times New Roman" w:cs="Times New Roman"/>
        </w:rPr>
        <w:t xml:space="preserve">2.4.2 </w:t>
      </w:r>
      <w:r>
        <w:rPr>
          <w:rFonts w:hint="eastAsia" w:ascii="Times New Roman" w:hAnsi="Times New Roman" w:cs="Times New Roman"/>
          <w:lang w:eastAsia="zh-CN"/>
        </w:rPr>
        <w:t>主要</w:t>
      </w:r>
      <w:r>
        <w:rPr>
          <w:rFonts w:ascii="Times New Roman" w:hAnsi="Times New Roman" w:cs="Times New Roman"/>
        </w:rPr>
        <w:t>保护目标</w:t>
      </w:r>
      <w:r>
        <w:tab/>
      </w:r>
      <w:r>
        <w:fldChar w:fldCharType="begin"/>
      </w:r>
      <w:r>
        <w:instrText xml:space="preserve"> PAGEREF _Toc9412 </w:instrText>
      </w:r>
      <w:r>
        <w:fldChar w:fldCharType="separate"/>
      </w:r>
      <w:r>
        <w:t>21</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_Toc22352 </w:instrText>
      </w:r>
      <w:r>
        <w:rPr>
          <w:szCs w:val="21"/>
        </w:rPr>
        <w:fldChar w:fldCharType="separate"/>
      </w:r>
      <w:r>
        <w:rPr>
          <w:rFonts w:hint="eastAsia"/>
        </w:rPr>
        <w:t>3 建设项目概况及工程分析</w:t>
      </w:r>
      <w:r>
        <w:tab/>
      </w:r>
      <w:r>
        <w:fldChar w:fldCharType="begin"/>
      </w:r>
      <w:r>
        <w:instrText xml:space="preserve"> PAGEREF _Toc22352 </w:instrText>
      </w:r>
      <w:r>
        <w:fldChar w:fldCharType="separate"/>
      </w:r>
      <w:r>
        <w:t>23</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_Toc8977 </w:instrText>
      </w:r>
      <w:r>
        <w:rPr>
          <w:szCs w:val="21"/>
        </w:rPr>
        <w:fldChar w:fldCharType="separate"/>
      </w:r>
      <w:r>
        <w:rPr>
          <w:rFonts w:hint="eastAsia"/>
        </w:rPr>
        <w:t>3.1 建设项目工程概况</w:t>
      </w:r>
      <w:r>
        <w:tab/>
      </w:r>
      <w:r>
        <w:fldChar w:fldCharType="begin"/>
      </w:r>
      <w:r>
        <w:instrText xml:space="preserve"> PAGEREF _Toc8977 </w:instrText>
      </w:r>
      <w:r>
        <w:fldChar w:fldCharType="separate"/>
      </w:r>
      <w:r>
        <w:t>23</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_Toc21652 </w:instrText>
      </w:r>
      <w:r>
        <w:rPr>
          <w:szCs w:val="21"/>
        </w:rPr>
        <w:fldChar w:fldCharType="separate"/>
      </w:r>
      <w:r>
        <w:rPr>
          <w:rFonts w:hint="eastAsia"/>
        </w:rPr>
        <w:t>3.2 项目建设内容</w:t>
      </w:r>
      <w:r>
        <w:tab/>
      </w:r>
      <w:r>
        <w:fldChar w:fldCharType="begin"/>
      </w:r>
      <w:r>
        <w:instrText xml:space="preserve"> PAGEREF _Toc21652 </w:instrText>
      </w:r>
      <w:r>
        <w:fldChar w:fldCharType="separate"/>
      </w:r>
      <w:r>
        <w:t>23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_Toc1255 </w:instrText>
      </w:r>
      <w:r>
        <w:rPr>
          <w:szCs w:val="21"/>
        </w:rPr>
        <w:fldChar w:fldCharType="separate"/>
      </w:r>
      <w:r>
        <w:rPr>
          <w:rFonts w:hint="eastAsia"/>
        </w:rPr>
        <w:t xml:space="preserve">3.2.1 </w:t>
      </w:r>
      <w:r>
        <w:rPr>
          <w:rFonts w:hint="eastAsia"/>
          <w:lang w:eastAsia="zh-CN"/>
        </w:rPr>
        <w:t>产品方案</w:t>
      </w:r>
      <w:r>
        <w:tab/>
      </w:r>
      <w:r>
        <w:fldChar w:fldCharType="begin"/>
      </w:r>
      <w:r>
        <w:instrText xml:space="preserve"> PAGEREF _Toc1255 </w:instrText>
      </w:r>
      <w:r>
        <w:fldChar w:fldCharType="separate"/>
      </w:r>
      <w:r>
        <w:t>24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_Toc23500 </w:instrText>
      </w:r>
      <w:r>
        <w:rPr>
          <w:szCs w:val="21"/>
        </w:rPr>
        <w:fldChar w:fldCharType="separate"/>
      </w:r>
      <w:r>
        <w:rPr>
          <w:rFonts w:hint="eastAsia"/>
        </w:rPr>
        <w:t>3.2.2 项目建设周期</w:t>
      </w:r>
      <w:r>
        <w:tab/>
      </w:r>
      <w:r>
        <w:fldChar w:fldCharType="begin"/>
      </w:r>
      <w:r>
        <w:instrText xml:space="preserve"> PAGEREF _Toc23500 </w:instrText>
      </w:r>
      <w:r>
        <w:fldChar w:fldCharType="separate"/>
      </w:r>
      <w:r>
        <w:t>24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_Toc15409 </w:instrText>
      </w:r>
      <w:r>
        <w:rPr>
          <w:szCs w:val="21"/>
        </w:rPr>
        <w:fldChar w:fldCharType="separate"/>
      </w:r>
      <w:r>
        <w:rPr>
          <w:rFonts w:hint="eastAsia"/>
        </w:rPr>
        <w:t xml:space="preserve">3.2.3 </w:t>
      </w:r>
      <w:r>
        <w:rPr>
          <w:rFonts w:hint="eastAsia"/>
          <w:lang w:eastAsia="zh-CN"/>
        </w:rPr>
        <w:t>劳动定员及工作制度</w:t>
      </w:r>
      <w:r>
        <w:tab/>
      </w:r>
      <w:r>
        <w:fldChar w:fldCharType="begin"/>
      </w:r>
      <w:r>
        <w:instrText xml:space="preserve"> PAGEREF _Toc15409 </w:instrText>
      </w:r>
      <w:r>
        <w:fldChar w:fldCharType="separate"/>
      </w:r>
      <w:r>
        <w:t>24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_Toc21948 </w:instrText>
      </w:r>
      <w:r>
        <w:rPr>
          <w:szCs w:val="21"/>
        </w:rPr>
        <w:fldChar w:fldCharType="separate"/>
      </w:r>
      <w:r>
        <w:rPr>
          <w:rFonts w:hint="eastAsia"/>
        </w:rPr>
        <w:t xml:space="preserve">3.2.4 </w:t>
      </w:r>
      <w:r>
        <w:rPr>
          <w:rFonts w:hint="eastAsia"/>
          <w:lang w:eastAsia="zh-CN"/>
        </w:rPr>
        <w:t>原辅材料、能源用量</w:t>
      </w:r>
      <w:r>
        <w:tab/>
      </w:r>
      <w:r>
        <w:fldChar w:fldCharType="begin"/>
      </w:r>
      <w:r>
        <w:instrText xml:space="preserve"> PAGEREF _Toc21948 </w:instrText>
      </w:r>
      <w:r>
        <w:fldChar w:fldCharType="separate"/>
      </w:r>
      <w:r>
        <w:t>24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_Toc23320 </w:instrText>
      </w:r>
      <w:r>
        <w:rPr>
          <w:szCs w:val="21"/>
        </w:rPr>
        <w:fldChar w:fldCharType="separate"/>
      </w:r>
      <w:r>
        <w:rPr>
          <w:rFonts w:hint="eastAsia"/>
        </w:rPr>
        <w:t xml:space="preserve">3.2.5 </w:t>
      </w:r>
      <w:r>
        <w:rPr>
          <w:rFonts w:hint="eastAsia"/>
          <w:lang w:eastAsia="zh-CN"/>
        </w:rPr>
        <w:t>主要经济技术指标</w:t>
      </w:r>
      <w:r>
        <w:tab/>
      </w:r>
      <w:r>
        <w:fldChar w:fldCharType="begin"/>
      </w:r>
      <w:r>
        <w:instrText xml:space="preserve"> PAGEREF _Toc23320 </w:instrText>
      </w:r>
      <w:r>
        <w:fldChar w:fldCharType="separate"/>
      </w:r>
      <w:r>
        <w:t>25</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_Toc3702 </w:instrText>
      </w:r>
      <w:r>
        <w:rPr>
          <w:szCs w:val="21"/>
        </w:rPr>
        <w:fldChar w:fldCharType="separate"/>
      </w:r>
      <w:r>
        <w:rPr>
          <w:rFonts w:hint="eastAsia"/>
        </w:rPr>
        <w:t xml:space="preserve">3.2.6 </w:t>
      </w:r>
      <w:r>
        <w:rPr>
          <w:rFonts w:hint="eastAsia"/>
          <w:lang w:eastAsia="zh-CN"/>
        </w:rPr>
        <w:t>生产设备</w:t>
      </w:r>
      <w:r>
        <w:tab/>
      </w:r>
      <w:r>
        <w:fldChar w:fldCharType="begin"/>
      </w:r>
      <w:r>
        <w:instrText xml:space="preserve"> PAGEREF _Toc3702 </w:instrText>
      </w:r>
      <w:r>
        <w:fldChar w:fldCharType="separate"/>
      </w:r>
      <w:r>
        <w:t>25</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_Toc15802 </w:instrText>
      </w:r>
      <w:r>
        <w:rPr>
          <w:szCs w:val="21"/>
        </w:rPr>
        <w:fldChar w:fldCharType="separate"/>
      </w:r>
      <w:r>
        <w:rPr>
          <w:rFonts w:hint="eastAsia"/>
        </w:rPr>
        <w:t xml:space="preserve">3.2.7 </w:t>
      </w:r>
      <w:r>
        <w:rPr>
          <w:rFonts w:hint="eastAsia"/>
          <w:lang w:eastAsia="zh-CN"/>
        </w:rPr>
        <w:t>公用工程</w:t>
      </w:r>
      <w:r>
        <w:tab/>
      </w:r>
      <w:r>
        <w:fldChar w:fldCharType="begin"/>
      </w:r>
      <w:r>
        <w:instrText xml:space="preserve"> PAGEREF _Toc15802 </w:instrText>
      </w:r>
      <w:r>
        <w:fldChar w:fldCharType="separate"/>
      </w:r>
      <w:r>
        <w:t>31</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_Toc22727 </w:instrText>
      </w:r>
      <w:r>
        <w:rPr>
          <w:szCs w:val="21"/>
        </w:rPr>
        <w:fldChar w:fldCharType="separate"/>
      </w:r>
      <w:r>
        <w:rPr>
          <w:rFonts w:hint="eastAsia"/>
        </w:rPr>
        <w:t xml:space="preserve">3.2.7.1 </w:t>
      </w:r>
      <w:r>
        <w:rPr>
          <w:rFonts w:hint="eastAsia"/>
          <w:lang w:eastAsia="zh-CN"/>
        </w:rPr>
        <w:t>给水工程</w:t>
      </w:r>
      <w:r>
        <w:tab/>
      </w:r>
      <w:r>
        <w:fldChar w:fldCharType="begin"/>
      </w:r>
      <w:r>
        <w:instrText xml:space="preserve"> PAGEREF _Toc22727 </w:instrText>
      </w:r>
      <w:r>
        <w:fldChar w:fldCharType="separate"/>
      </w:r>
      <w:r>
        <w:t>31</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_Toc15936 </w:instrText>
      </w:r>
      <w:r>
        <w:rPr>
          <w:szCs w:val="21"/>
        </w:rPr>
        <w:fldChar w:fldCharType="separate"/>
      </w:r>
      <w:r>
        <w:rPr>
          <w:rFonts w:hint="eastAsia"/>
        </w:rPr>
        <w:t xml:space="preserve">3.2.7.2 </w:t>
      </w:r>
      <w:r>
        <w:rPr>
          <w:rFonts w:hint="eastAsia"/>
          <w:lang w:eastAsia="zh-CN"/>
        </w:rPr>
        <w:t>排水工程</w:t>
      </w:r>
      <w:r>
        <w:tab/>
      </w:r>
      <w:r>
        <w:fldChar w:fldCharType="begin"/>
      </w:r>
      <w:r>
        <w:instrText xml:space="preserve"> PAGEREF _Toc15936 </w:instrText>
      </w:r>
      <w:r>
        <w:fldChar w:fldCharType="separate"/>
      </w:r>
      <w:r>
        <w:t>32</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_Toc5732 </w:instrText>
      </w:r>
      <w:r>
        <w:rPr>
          <w:szCs w:val="21"/>
        </w:rPr>
        <w:fldChar w:fldCharType="separate"/>
      </w:r>
      <w:r>
        <w:rPr>
          <w:rFonts w:hint="eastAsia"/>
          <w:lang w:eastAsia="zh-CN"/>
        </w:rPr>
        <w:t>3.2.7.3 供气</w:t>
      </w:r>
      <w:r>
        <w:tab/>
      </w:r>
      <w:r>
        <w:fldChar w:fldCharType="begin"/>
      </w:r>
      <w:r>
        <w:instrText xml:space="preserve"> PAGEREF _Toc5732 </w:instrText>
      </w:r>
      <w:r>
        <w:fldChar w:fldCharType="separate"/>
      </w:r>
      <w:r>
        <w:t>32</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_Toc12028 </w:instrText>
      </w:r>
      <w:r>
        <w:rPr>
          <w:szCs w:val="21"/>
        </w:rPr>
        <w:fldChar w:fldCharType="separate"/>
      </w:r>
      <w:r>
        <w:rPr>
          <w:rFonts w:hint="eastAsia"/>
          <w:lang w:eastAsia="zh-CN"/>
        </w:rPr>
        <w:t>3.2.7.4 制冷系统</w:t>
      </w:r>
      <w:r>
        <w:tab/>
      </w:r>
      <w:r>
        <w:fldChar w:fldCharType="begin"/>
      </w:r>
      <w:r>
        <w:instrText xml:space="preserve"> PAGEREF _Toc12028 </w:instrText>
      </w:r>
      <w:r>
        <w:fldChar w:fldCharType="separate"/>
      </w:r>
      <w:r>
        <w:t>32</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_Toc4633 </w:instrText>
      </w:r>
      <w:r>
        <w:rPr>
          <w:szCs w:val="21"/>
        </w:rPr>
        <w:fldChar w:fldCharType="separate"/>
      </w:r>
      <w:r>
        <w:rPr>
          <w:rFonts w:hint="eastAsia"/>
          <w:lang w:eastAsia="zh-CN"/>
        </w:rPr>
        <w:t>3.2.7.5 贮运工程</w:t>
      </w:r>
      <w:r>
        <w:tab/>
      </w:r>
      <w:r>
        <w:fldChar w:fldCharType="begin"/>
      </w:r>
      <w:r>
        <w:instrText xml:space="preserve"> PAGEREF _Toc4633 </w:instrText>
      </w:r>
      <w:r>
        <w:fldChar w:fldCharType="separate"/>
      </w:r>
      <w:r>
        <w:t>33</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_Toc29248 </w:instrText>
      </w:r>
      <w:r>
        <w:rPr>
          <w:szCs w:val="21"/>
        </w:rPr>
        <w:fldChar w:fldCharType="separate"/>
      </w:r>
      <w:r>
        <w:rPr>
          <w:rFonts w:hint="eastAsia"/>
          <w:lang w:eastAsia="zh-CN"/>
        </w:rPr>
        <w:t>3.2.7.6 检验检疫</w:t>
      </w:r>
      <w:r>
        <w:tab/>
      </w:r>
      <w:r>
        <w:fldChar w:fldCharType="begin"/>
      </w:r>
      <w:r>
        <w:instrText xml:space="preserve"> PAGEREF _Toc29248 </w:instrText>
      </w:r>
      <w:r>
        <w:fldChar w:fldCharType="separate"/>
      </w:r>
      <w:r>
        <w:t>33</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_Toc17603 </w:instrText>
      </w:r>
      <w:r>
        <w:rPr>
          <w:szCs w:val="21"/>
        </w:rPr>
        <w:fldChar w:fldCharType="separate"/>
      </w:r>
      <w:r>
        <w:rPr>
          <w:rFonts w:hint="eastAsia"/>
        </w:rPr>
        <w:t xml:space="preserve">3.3 </w:t>
      </w:r>
      <w:r>
        <w:rPr>
          <w:rFonts w:hint="eastAsia"/>
          <w:lang w:eastAsia="zh-CN"/>
        </w:rPr>
        <w:t>工程分析</w:t>
      </w:r>
      <w:r>
        <w:tab/>
      </w:r>
      <w:r>
        <w:fldChar w:fldCharType="begin"/>
      </w:r>
      <w:r>
        <w:instrText xml:space="preserve"> PAGEREF _Toc17603 </w:instrText>
      </w:r>
      <w:r>
        <w:fldChar w:fldCharType="separate"/>
      </w:r>
      <w:r>
        <w:t>33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_Toc1536 </w:instrText>
      </w:r>
      <w:r>
        <w:rPr>
          <w:szCs w:val="21"/>
        </w:rPr>
        <w:fldChar w:fldCharType="separate"/>
      </w:r>
      <w:r>
        <w:rPr>
          <w:rFonts w:hint="eastAsia"/>
          <w:lang w:eastAsia="zh-CN"/>
        </w:rPr>
        <w:t>3.3.1 施工期工程分析</w:t>
      </w:r>
      <w:r>
        <w:tab/>
      </w:r>
      <w:r>
        <w:fldChar w:fldCharType="begin"/>
      </w:r>
      <w:r>
        <w:instrText xml:space="preserve"> PAGEREF _Toc1536 </w:instrText>
      </w:r>
      <w:r>
        <w:fldChar w:fldCharType="separate"/>
      </w:r>
      <w:r>
        <w:t>33</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_Toc8936 </w:instrText>
      </w:r>
      <w:r>
        <w:rPr>
          <w:szCs w:val="21"/>
        </w:rPr>
        <w:fldChar w:fldCharType="separate"/>
      </w:r>
      <w:r>
        <w:rPr>
          <w:rFonts w:hint="eastAsia"/>
          <w:lang w:eastAsia="zh-CN"/>
        </w:rPr>
        <w:t>3.3.1.1 施工期施工工序</w:t>
      </w:r>
      <w:r>
        <w:tab/>
      </w:r>
      <w:r>
        <w:fldChar w:fldCharType="begin"/>
      </w:r>
      <w:r>
        <w:instrText xml:space="preserve"> PAGEREF _Toc8936 </w:instrText>
      </w:r>
      <w:r>
        <w:fldChar w:fldCharType="separate"/>
      </w:r>
      <w:r>
        <w:t>33</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_Toc18821 </w:instrText>
      </w:r>
      <w:r>
        <w:rPr>
          <w:szCs w:val="21"/>
        </w:rPr>
        <w:fldChar w:fldCharType="separate"/>
      </w:r>
      <w:r>
        <w:rPr>
          <w:rFonts w:hint="eastAsia"/>
          <w:lang w:eastAsia="zh-CN"/>
        </w:rPr>
        <w:t>3.3.1.2 施工期污染源强分析</w:t>
      </w:r>
      <w:r>
        <w:tab/>
      </w:r>
      <w:r>
        <w:fldChar w:fldCharType="begin"/>
      </w:r>
      <w:r>
        <w:instrText xml:space="preserve"> PAGEREF _Toc18821 </w:instrText>
      </w:r>
      <w:r>
        <w:fldChar w:fldCharType="separate"/>
      </w:r>
      <w:r>
        <w:t>34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_Toc16413 </w:instrText>
      </w:r>
      <w:r>
        <w:rPr>
          <w:szCs w:val="21"/>
        </w:rPr>
        <w:fldChar w:fldCharType="separate"/>
      </w:r>
      <w:r>
        <w:rPr>
          <w:rFonts w:hint="eastAsia"/>
          <w:lang w:eastAsia="zh-CN"/>
        </w:rPr>
        <w:t>3.3.2 营运期工程分析</w:t>
      </w:r>
      <w:r>
        <w:tab/>
      </w:r>
      <w:r>
        <w:fldChar w:fldCharType="begin"/>
      </w:r>
      <w:r>
        <w:instrText xml:space="preserve"> PAGEREF _Toc16413 </w:instrText>
      </w:r>
      <w:r>
        <w:fldChar w:fldCharType="separate"/>
      </w:r>
      <w:r>
        <w:t>38</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_Toc13756 </w:instrText>
      </w:r>
      <w:r>
        <w:rPr>
          <w:szCs w:val="21"/>
        </w:rPr>
        <w:fldChar w:fldCharType="separate"/>
      </w:r>
      <w:r>
        <w:rPr>
          <w:rFonts w:hint="eastAsia"/>
          <w:lang w:eastAsia="zh-CN"/>
        </w:rPr>
        <w:t>3.3.2.1 工艺流程及产排污节点</w:t>
      </w:r>
      <w:r>
        <w:tab/>
      </w:r>
      <w:r>
        <w:fldChar w:fldCharType="begin"/>
      </w:r>
      <w:r>
        <w:instrText xml:space="preserve"> PAGEREF _Toc13756 </w:instrText>
      </w:r>
      <w:r>
        <w:fldChar w:fldCharType="separate"/>
      </w:r>
      <w:r>
        <w:t>39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_Toc16032 </w:instrText>
      </w:r>
      <w:r>
        <w:rPr>
          <w:szCs w:val="21"/>
        </w:rPr>
        <w:fldChar w:fldCharType="separate"/>
      </w:r>
      <w:r>
        <w:rPr>
          <w:rFonts w:hint="eastAsia"/>
          <w:lang w:eastAsia="zh-CN"/>
        </w:rPr>
        <w:t>3.3.2.2 污染源分析</w:t>
      </w:r>
      <w:r>
        <w:tab/>
      </w:r>
      <w:r>
        <w:fldChar w:fldCharType="begin"/>
      </w:r>
      <w:r>
        <w:instrText xml:space="preserve"> PAGEREF _Toc16032 </w:instrText>
      </w:r>
      <w:r>
        <w:fldChar w:fldCharType="separate"/>
      </w:r>
      <w:r>
        <w:t>40</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_Toc17629 </w:instrText>
      </w:r>
      <w:r>
        <w:rPr>
          <w:szCs w:val="21"/>
        </w:rPr>
        <w:fldChar w:fldCharType="separate"/>
      </w:r>
      <w:r>
        <w:rPr>
          <w:rFonts w:hint="eastAsia"/>
        </w:rPr>
        <w:t xml:space="preserve">3.3.3 </w:t>
      </w:r>
      <w:r>
        <w:t>废气污染源分析</w:t>
      </w:r>
      <w:r>
        <w:tab/>
      </w:r>
      <w:r>
        <w:fldChar w:fldCharType="begin"/>
      </w:r>
      <w:r>
        <w:instrText xml:space="preserve"> PAGEREF _Toc17629 </w:instrText>
      </w:r>
      <w:r>
        <w:fldChar w:fldCharType="separate"/>
      </w:r>
      <w:r>
        <w:t>43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_Toc29911 </w:instrText>
      </w:r>
      <w:r>
        <w:rPr>
          <w:szCs w:val="21"/>
        </w:rPr>
        <w:fldChar w:fldCharType="separate"/>
      </w:r>
      <w:r>
        <w:rPr>
          <w:rFonts w:hint="eastAsia"/>
        </w:rPr>
        <w:t xml:space="preserve">3.3.4 </w:t>
      </w:r>
      <w:r>
        <w:t>噪声污染源分析</w:t>
      </w:r>
      <w:r>
        <w:tab/>
      </w:r>
      <w:r>
        <w:fldChar w:fldCharType="begin"/>
      </w:r>
      <w:r>
        <w:instrText xml:space="preserve"> PAGEREF _Toc29911 </w:instrText>
      </w:r>
      <w:r>
        <w:fldChar w:fldCharType="separate"/>
      </w:r>
      <w:r>
        <w:t>46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_Toc27784 </w:instrText>
      </w:r>
      <w:r>
        <w:rPr>
          <w:szCs w:val="21"/>
        </w:rPr>
        <w:fldChar w:fldCharType="separate"/>
      </w:r>
      <w:r>
        <w:rPr>
          <w:rFonts w:hint="eastAsia"/>
        </w:rPr>
        <w:t xml:space="preserve">3.3.5 </w:t>
      </w:r>
      <w:r>
        <w:t>固废污染源分析</w:t>
      </w:r>
      <w:r>
        <w:tab/>
      </w:r>
      <w:r>
        <w:fldChar w:fldCharType="begin"/>
      </w:r>
      <w:r>
        <w:instrText xml:space="preserve"> PAGEREF _Toc27784 </w:instrText>
      </w:r>
      <w:r>
        <w:fldChar w:fldCharType="separate"/>
      </w:r>
      <w:r>
        <w:t>46</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_Toc16262 </w:instrText>
      </w:r>
      <w:r>
        <w:rPr>
          <w:szCs w:val="21"/>
        </w:rPr>
        <w:fldChar w:fldCharType="separate"/>
      </w:r>
      <w:r>
        <w:rPr>
          <w:rFonts w:hint="eastAsia"/>
        </w:rPr>
        <w:t xml:space="preserve">4 </w:t>
      </w:r>
      <w:r>
        <w:rPr>
          <w:rFonts w:hint="eastAsia"/>
          <w:lang w:eastAsia="zh-CN"/>
        </w:rPr>
        <w:t>环境质量现状调查与评价</w:t>
      </w:r>
      <w:r>
        <w:tab/>
      </w:r>
      <w:r>
        <w:fldChar w:fldCharType="begin"/>
      </w:r>
      <w:r>
        <w:instrText xml:space="preserve"> PAGEREF _Toc16262 </w:instrText>
      </w:r>
      <w:r>
        <w:fldChar w:fldCharType="separate"/>
      </w:r>
      <w:r>
        <w:t>49</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_Toc25993 </w:instrText>
      </w:r>
      <w:r>
        <w:rPr>
          <w:szCs w:val="21"/>
        </w:rPr>
        <w:fldChar w:fldCharType="separate"/>
      </w:r>
      <w:r>
        <w:rPr>
          <w:bCs w:val="0"/>
        </w:rPr>
        <w:t>4.1环境概况</w:t>
      </w:r>
      <w:r>
        <w:tab/>
      </w:r>
      <w:r>
        <w:fldChar w:fldCharType="begin"/>
      </w:r>
      <w:r>
        <w:instrText xml:space="preserve"> PAGEREF _Toc25993 </w:instrText>
      </w:r>
      <w:r>
        <w:fldChar w:fldCharType="separate"/>
      </w:r>
      <w:r>
        <w:t>49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_Toc28414 </w:instrText>
      </w:r>
      <w:r>
        <w:rPr>
          <w:szCs w:val="21"/>
        </w:rPr>
        <w:fldChar w:fldCharType="separate"/>
      </w:r>
      <w:r>
        <w:rPr>
          <w:rFonts w:hint="eastAsia"/>
          <w:szCs w:val="28"/>
        </w:rPr>
        <w:t xml:space="preserve">4.1.1 </w:t>
      </w:r>
      <w:r>
        <w:rPr>
          <w:szCs w:val="28"/>
        </w:rPr>
        <w:t>地理位置</w:t>
      </w:r>
      <w:r>
        <w:tab/>
      </w:r>
      <w:r>
        <w:fldChar w:fldCharType="begin"/>
      </w:r>
      <w:r>
        <w:instrText xml:space="preserve"> PAGEREF _Toc28414 </w:instrText>
      </w:r>
      <w:r>
        <w:fldChar w:fldCharType="separate"/>
      </w:r>
      <w:r>
        <w:t>49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_Toc5846 </w:instrText>
      </w:r>
      <w:r>
        <w:rPr>
          <w:szCs w:val="21"/>
        </w:rPr>
        <w:fldChar w:fldCharType="separate"/>
      </w:r>
      <w:r>
        <w:rPr>
          <w:rFonts w:hint="eastAsia"/>
          <w:szCs w:val="28"/>
        </w:rPr>
        <w:t xml:space="preserve">4.1.2 </w:t>
      </w:r>
      <w:r>
        <w:rPr>
          <w:szCs w:val="28"/>
        </w:rPr>
        <w:t>自然环境</w:t>
      </w:r>
      <w:r>
        <w:tab/>
      </w:r>
      <w:r>
        <w:fldChar w:fldCharType="begin"/>
      </w:r>
      <w:r>
        <w:instrText xml:space="preserve"> PAGEREF _Toc5846 </w:instrText>
      </w:r>
      <w:r>
        <w:fldChar w:fldCharType="separate"/>
      </w:r>
      <w:r>
        <w:t>49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_Toc28315 </w:instrText>
      </w:r>
      <w:r>
        <w:rPr>
          <w:szCs w:val="21"/>
        </w:rPr>
        <w:fldChar w:fldCharType="separate"/>
      </w:r>
      <w:r>
        <w:rPr>
          <w:rFonts w:hint="eastAsia"/>
        </w:rPr>
        <w:t xml:space="preserve">4.1.2.1 </w:t>
      </w:r>
      <w:r>
        <w:t>地形、地貌</w:t>
      </w:r>
      <w:r>
        <w:rPr>
          <w:rFonts w:hint="eastAsia"/>
          <w:lang w:eastAsia="zh-CN"/>
        </w:rPr>
        <w:t>、</w:t>
      </w:r>
      <w:r>
        <w:rPr>
          <w:rFonts w:hint="eastAsia"/>
          <w:lang w:val="en-US" w:eastAsia="zh-CN"/>
        </w:rPr>
        <w:t>地址</w:t>
      </w:r>
      <w:r>
        <w:tab/>
      </w:r>
      <w:r>
        <w:fldChar w:fldCharType="begin"/>
      </w:r>
      <w:r>
        <w:instrText xml:space="preserve"> PAGEREF _Toc28315 </w:instrText>
      </w:r>
      <w:r>
        <w:fldChar w:fldCharType="separate"/>
      </w:r>
      <w:r>
        <w:t>49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_Toc26003 </w:instrText>
      </w:r>
      <w:r>
        <w:rPr>
          <w:szCs w:val="21"/>
        </w:rPr>
        <w:fldChar w:fldCharType="separate"/>
      </w:r>
      <w:r>
        <w:rPr>
          <w:rFonts w:hint="eastAsia"/>
        </w:rPr>
        <w:t xml:space="preserve">4.1.2.2 </w:t>
      </w:r>
      <w:r>
        <w:rPr>
          <w:rFonts w:hint="eastAsia"/>
          <w:lang w:eastAsia="zh-CN"/>
        </w:rPr>
        <w:t>气候特征</w:t>
      </w:r>
      <w:r>
        <w:tab/>
      </w:r>
      <w:r>
        <w:fldChar w:fldCharType="begin"/>
      </w:r>
      <w:r>
        <w:instrText xml:space="preserve"> PAGEREF _Toc26003 </w:instrText>
      </w:r>
      <w:r>
        <w:fldChar w:fldCharType="separate"/>
      </w:r>
      <w:r>
        <w:t>49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_Toc323 </w:instrText>
      </w:r>
      <w:r>
        <w:rPr>
          <w:szCs w:val="21"/>
        </w:rPr>
        <w:fldChar w:fldCharType="separate"/>
      </w:r>
      <w:r>
        <w:rPr>
          <w:rFonts w:hint="eastAsia"/>
        </w:rPr>
        <w:t xml:space="preserve">4.1.2.3 </w:t>
      </w:r>
      <w:r>
        <w:rPr>
          <w:rFonts w:hint="eastAsia"/>
          <w:lang w:val="en-US" w:eastAsia="zh-CN"/>
        </w:rPr>
        <w:t>植被、生物多样性及土壤</w:t>
      </w:r>
      <w:r>
        <w:tab/>
      </w:r>
      <w:r>
        <w:fldChar w:fldCharType="begin"/>
      </w:r>
      <w:r>
        <w:instrText xml:space="preserve"> PAGEREF _Toc323 </w:instrText>
      </w:r>
      <w:r>
        <w:fldChar w:fldCharType="separate"/>
      </w:r>
      <w:r>
        <w:t>50</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_Toc31261 </w:instrText>
      </w:r>
      <w:r>
        <w:rPr>
          <w:szCs w:val="21"/>
        </w:rPr>
        <w:fldChar w:fldCharType="separate"/>
      </w:r>
      <w:r>
        <w:rPr>
          <w:rFonts w:hint="eastAsia"/>
        </w:rPr>
        <w:t xml:space="preserve">4.1.2.4 </w:t>
      </w:r>
      <w:r>
        <w:rPr>
          <w:rFonts w:hint="eastAsia"/>
          <w:lang w:eastAsia="zh-CN"/>
        </w:rPr>
        <w:t>地表水和地下水</w:t>
      </w:r>
      <w:r>
        <w:tab/>
      </w:r>
      <w:r>
        <w:fldChar w:fldCharType="begin"/>
      </w:r>
      <w:r>
        <w:instrText xml:space="preserve"> PAGEREF _Toc31261 </w:instrText>
      </w:r>
      <w:r>
        <w:fldChar w:fldCharType="separate"/>
      </w:r>
      <w:r>
        <w:t>51</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_Toc707 </w:instrText>
      </w:r>
      <w:r>
        <w:rPr>
          <w:szCs w:val="21"/>
        </w:rPr>
        <w:fldChar w:fldCharType="separate"/>
      </w:r>
      <w:r>
        <w:rPr>
          <w:rFonts w:hint="eastAsia"/>
        </w:rPr>
        <w:t xml:space="preserve">4.1.2.5 </w:t>
      </w:r>
      <w:r>
        <w:rPr>
          <w:rFonts w:hint="eastAsia"/>
          <w:lang w:eastAsia="zh-CN"/>
        </w:rPr>
        <w:t>矿产资源</w:t>
      </w:r>
      <w:r>
        <w:tab/>
      </w:r>
      <w:r>
        <w:fldChar w:fldCharType="begin"/>
      </w:r>
      <w:r>
        <w:instrText xml:space="preserve"> PAGEREF _Toc707 </w:instrText>
      </w:r>
      <w:r>
        <w:fldChar w:fldCharType="separate"/>
      </w:r>
      <w:r>
        <w:t>52</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_Toc19042 </w:instrText>
      </w:r>
      <w:r>
        <w:rPr>
          <w:szCs w:val="21"/>
        </w:rPr>
        <w:fldChar w:fldCharType="separate"/>
      </w:r>
      <w:r>
        <w:rPr>
          <w:rFonts w:hint="eastAsia"/>
        </w:rPr>
        <w:t xml:space="preserve">4.1.2.6 </w:t>
      </w:r>
      <w:r>
        <w:rPr>
          <w:rFonts w:hint="eastAsia"/>
          <w:lang w:eastAsia="zh-CN"/>
        </w:rPr>
        <w:t>旅游资源</w:t>
      </w:r>
      <w:r>
        <w:tab/>
      </w:r>
      <w:r>
        <w:fldChar w:fldCharType="begin"/>
      </w:r>
      <w:r>
        <w:instrText xml:space="preserve"> PAGEREF _Toc19042 </w:instrText>
      </w:r>
      <w:r>
        <w:fldChar w:fldCharType="separate"/>
      </w:r>
      <w:r>
        <w:t>52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_Toc23875 </w:instrText>
      </w:r>
      <w:r>
        <w:rPr>
          <w:szCs w:val="21"/>
        </w:rPr>
        <w:fldChar w:fldCharType="separate"/>
      </w:r>
      <w:r>
        <w:rPr>
          <w:rFonts w:hint="eastAsia"/>
          <w:bCs w:val="0"/>
        </w:rPr>
        <w:t xml:space="preserve">4.2 </w:t>
      </w:r>
      <w:r>
        <w:rPr>
          <w:rFonts w:hint="eastAsia"/>
          <w:bCs w:val="0"/>
          <w:lang w:eastAsia="zh-CN"/>
        </w:rPr>
        <w:t>环境质量现状调查与评价</w:t>
      </w:r>
      <w:r>
        <w:tab/>
      </w:r>
      <w:r>
        <w:fldChar w:fldCharType="begin"/>
      </w:r>
      <w:r>
        <w:instrText xml:space="preserve"> PAGEREF _Toc23875 </w:instrText>
      </w:r>
      <w:r>
        <w:fldChar w:fldCharType="separate"/>
      </w:r>
      <w:r>
        <w:t>52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_Toc31766 </w:instrText>
      </w:r>
      <w:r>
        <w:rPr>
          <w:szCs w:val="21"/>
        </w:rPr>
        <w:fldChar w:fldCharType="separate"/>
      </w:r>
      <w:r>
        <w:rPr>
          <w:rFonts w:hint="eastAsia"/>
          <w:szCs w:val="28"/>
        </w:rPr>
        <w:t xml:space="preserve">4.2.1 </w:t>
      </w:r>
      <w:r>
        <w:rPr>
          <w:rFonts w:hint="eastAsia"/>
          <w:szCs w:val="28"/>
          <w:lang w:eastAsia="zh-CN"/>
        </w:rPr>
        <w:t>环境空气质量现状监测与评价</w:t>
      </w:r>
      <w:r>
        <w:tab/>
      </w:r>
      <w:r>
        <w:fldChar w:fldCharType="begin"/>
      </w:r>
      <w:r>
        <w:instrText xml:space="preserve"> PAGEREF _Toc31766 </w:instrText>
      </w:r>
      <w:r>
        <w:fldChar w:fldCharType="separate"/>
      </w:r>
      <w:r>
        <w:t>54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_Toc6950 </w:instrText>
      </w:r>
      <w:r>
        <w:rPr>
          <w:szCs w:val="21"/>
        </w:rPr>
        <w:fldChar w:fldCharType="separate"/>
      </w:r>
      <w:r>
        <w:rPr>
          <w:rFonts w:hint="eastAsia"/>
          <w:szCs w:val="28"/>
        </w:rPr>
        <w:t xml:space="preserve">4.2.2 </w:t>
      </w:r>
      <w:r>
        <w:rPr>
          <w:rFonts w:hint="eastAsia"/>
          <w:szCs w:val="28"/>
          <w:lang w:eastAsia="zh-CN"/>
        </w:rPr>
        <w:t>地表水现状监测与评价</w:t>
      </w:r>
      <w:r>
        <w:tab/>
      </w:r>
      <w:r>
        <w:fldChar w:fldCharType="begin"/>
      </w:r>
      <w:r>
        <w:instrText xml:space="preserve"> PAGEREF _Toc6950 </w:instrText>
      </w:r>
      <w:r>
        <w:fldChar w:fldCharType="separate"/>
      </w:r>
      <w:r>
        <w:t>54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_Toc1419 </w:instrText>
      </w:r>
      <w:r>
        <w:rPr>
          <w:szCs w:val="21"/>
        </w:rPr>
        <w:fldChar w:fldCharType="separate"/>
      </w:r>
      <w:r>
        <w:rPr>
          <w:rFonts w:hint="eastAsia"/>
          <w:szCs w:val="28"/>
        </w:rPr>
        <w:t xml:space="preserve">4.2.3 </w:t>
      </w:r>
      <w:r>
        <w:rPr>
          <w:rFonts w:hint="eastAsia"/>
          <w:szCs w:val="28"/>
          <w:lang w:eastAsia="zh-CN"/>
        </w:rPr>
        <w:t>地下水质量现状调查与评价</w:t>
      </w:r>
      <w:r>
        <w:tab/>
      </w:r>
      <w:r>
        <w:fldChar w:fldCharType="begin"/>
      </w:r>
      <w:r>
        <w:instrText xml:space="preserve"> PAGEREF _Toc1419 </w:instrText>
      </w:r>
      <w:r>
        <w:fldChar w:fldCharType="separate"/>
      </w:r>
      <w:r>
        <w:t>57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_Toc268 </w:instrText>
      </w:r>
      <w:r>
        <w:rPr>
          <w:szCs w:val="21"/>
        </w:rPr>
        <w:fldChar w:fldCharType="separate"/>
      </w:r>
      <w:r>
        <w:rPr>
          <w:rFonts w:hint="eastAsia"/>
          <w:szCs w:val="28"/>
        </w:rPr>
        <w:t xml:space="preserve">4.2.4 </w:t>
      </w:r>
      <w:r>
        <w:rPr>
          <w:rFonts w:hint="eastAsia"/>
          <w:szCs w:val="28"/>
          <w:lang w:eastAsia="zh-CN"/>
        </w:rPr>
        <w:t>声环境质量现状调查与评价</w:t>
      </w:r>
      <w:r>
        <w:tab/>
      </w:r>
      <w:r>
        <w:fldChar w:fldCharType="begin"/>
      </w:r>
      <w:r>
        <w:instrText xml:space="preserve"> PAGEREF _Toc268 </w:instrText>
      </w:r>
      <w:r>
        <w:fldChar w:fldCharType="separate"/>
      </w:r>
      <w:r>
        <w:t>60</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_Toc27179 </w:instrText>
      </w:r>
      <w:r>
        <w:rPr>
          <w:szCs w:val="21"/>
        </w:rPr>
        <w:fldChar w:fldCharType="separate"/>
      </w:r>
      <w:r>
        <w:rPr>
          <w:rFonts w:hint="eastAsia"/>
        </w:rPr>
        <w:t xml:space="preserve">4.3 </w:t>
      </w:r>
      <w:r>
        <w:t>环境现状评价小结</w:t>
      </w:r>
      <w:r>
        <w:tab/>
      </w:r>
      <w:r>
        <w:fldChar w:fldCharType="begin"/>
      </w:r>
      <w:r>
        <w:instrText xml:space="preserve"> PAGEREF _Toc27179 </w:instrText>
      </w:r>
      <w:r>
        <w:fldChar w:fldCharType="separate"/>
      </w:r>
      <w:r>
        <w:t>61</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_Toc14551 </w:instrText>
      </w:r>
      <w:r>
        <w:rPr>
          <w:szCs w:val="21"/>
        </w:rPr>
        <w:fldChar w:fldCharType="separate"/>
      </w:r>
      <w:r>
        <w:rPr>
          <w:rFonts w:hint="eastAsia"/>
        </w:rPr>
        <w:t xml:space="preserve">5 </w:t>
      </w:r>
      <w:r>
        <w:t>施工期的环境影响分析</w:t>
      </w:r>
      <w:r>
        <w:tab/>
      </w:r>
      <w:r>
        <w:fldChar w:fldCharType="begin"/>
      </w:r>
      <w:r>
        <w:instrText xml:space="preserve"> PAGEREF _Toc14551 </w:instrText>
      </w:r>
      <w:r>
        <w:fldChar w:fldCharType="separate"/>
      </w:r>
      <w:r>
        <w:t>62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_Toc6122 </w:instrText>
      </w:r>
      <w:r>
        <w:rPr>
          <w:szCs w:val="21"/>
        </w:rPr>
        <w:fldChar w:fldCharType="separate"/>
      </w:r>
      <w:r>
        <w:rPr>
          <w:rFonts w:hint="eastAsia"/>
        </w:rPr>
        <w:t xml:space="preserve">5.1 </w:t>
      </w:r>
      <w:r>
        <w:t>施工期大气环境影响分析及防治措施</w:t>
      </w:r>
      <w:r>
        <w:tab/>
      </w:r>
      <w:r>
        <w:fldChar w:fldCharType="begin"/>
      </w:r>
      <w:r>
        <w:instrText xml:space="preserve"> PAGEREF _Toc6122 </w:instrText>
      </w:r>
      <w:r>
        <w:fldChar w:fldCharType="separate"/>
      </w:r>
      <w:r>
        <w:t>62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_Toc7645 </w:instrText>
      </w:r>
      <w:r>
        <w:rPr>
          <w:szCs w:val="21"/>
        </w:rPr>
        <w:fldChar w:fldCharType="separate"/>
      </w:r>
      <w:r>
        <w:rPr>
          <w:rFonts w:hint="eastAsia"/>
        </w:rPr>
        <w:t xml:space="preserve">5.2 </w:t>
      </w:r>
      <w:r>
        <w:t>施工期</w:t>
      </w:r>
      <w:r>
        <w:rPr>
          <w:rFonts w:hint="eastAsia"/>
          <w:lang w:eastAsia="zh-CN"/>
        </w:rPr>
        <w:t>水</w:t>
      </w:r>
      <w:r>
        <w:t>环境影响分析及防治措施</w:t>
      </w:r>
      <w:r>
        <w:tab/>
      </w:r>
      <w:r>
        <w:fldChar w:fldCharType="begin"/>
      </w:r>
      <w:r>
        <w:instrText xml:space="preserve"> PAGEREF _Toc7645 </w:instrText>
      </w:r>
      <w:r>
        <w:fldChar w:fldCharType="separate"/>
      </w:r>
      <w:r>
        <w:t>64</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_Toc21805 </w:instrText>
      </w:r>
      <w:r>
        <w:rPr>
          <w:szCs w:val="21"/>
        </w:rPr>
        <w:fldChar w:fldCharType="separate"/>
      </w:r>
      <w:r>
        <w:rPr>
          <w:rFonts w:hint="eastAsia"/>
        </w:rPr>
        <w:t xml:space="preserve">5.3 </w:t>
      </w:r>
      <w:r>
        <w:t>施工期</w:t>
      </w:r>
      <w:r>
        <w:rPr>
          <w:rFonts w:hint="eastAsia"/>
          <w:lang w:eastAsia="zh-CN"/>
        </w:rPr>
        <w:t>声</w:t>
      </w:r>
      <w:r>
        <w:t>环境影响分析及防治措施</w:t>
      </w:r>
      <w:r>
        <w:tab/>
      </w:r>
      <w:r>
        <w:fldChar w:fldCharType="begin"/>
      </w:r>
      <w:r>
        <w:instrText xml:space="preserve"> PAGEREF _Toc21805 </w:instrText>
      </w:r>
      <w:r>
        <w:fldChar w:fldCharType="separate"/>
      </w:r>
      <w:r>
        <w:t>65</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_Toc31668 </w:instrText>
      </w:r>
      <w:r>
        <w:rPr>
          <w:szCs w:val="21"/>
        </w:rPr>
        <w:fldChar w:fldCharType="separate"/>
      </w:r>
      <w:r>
        <w:rPr>
          <w:rFonts w:hint="eastAsia"/>
        </w:rPr>
        <w:t xml:space="preserve">5.4 </w:t>
      </w:r>
      <w:r>
        <w:t>施工期</w:t>
      </w:r>
      <w:r>
        <w:rPr>
          <w:rFonts w:hint="eastAsia"/>
          <w:lang w:eastAsia="zh-CN"/>
        </w:rPr>
        <w:t>固废</w:t>
      </w:r>
      <w:r>
        <w:t>环境影响分析及防治措施</w:t>
      </w:r>
      <w:r>
        <w:tab/>
      </w:r>
      <w:r>
        <w:fldChar w:fldCharType="begin"/>
      </w:r>
      <w:r>
        <w:instrText xml:space="preserve"> PAGEREF _Toc31668 </w:instrText>
      </w:r>
      <w:r>
        <w:fldChar w:fldCharType="separate"/>
      </w:r>
      <w:r>
        <w:t>66</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_Toc27378 </w:instrText>
      </w:r>
      <w:r>
        <w:rPr>
          <w:szCs w:val="21"/>
        </w:rPr>
        <w:fldChar w:fldCharType="separate"/>
      </w:r>
      <w:r>
        <w:rPr>
          <w:rFonts w:hint="eastAsia"/>
        </w:rPr>
        <w:t xml:space="preserve">5.5 </w:t>
      </w:r>
      <w:r>
        <w:t>施工期</w:t>
      </w:r>
      <w:r>
        <w:rPr>
          <w:rFonts w:hint="eastAsia"/>
          <w:lang w:eastAsia="zh-CN"/>
        </w:rPr>
        <w:t>生态</w:t>
      </w:r>
      <w:r>
        <w:t>环境影响分析及防治措施</w:t>
      </w:r>
      <w:r>
        <w:tab/>
      </w:r>
      <w:r>
        <w:fldChar w:fldCharType="begin"/>
      </w:r>
      <w:r>
        <w:instrText xml:space="preserve"> PAGEREF _Toc27378 </w:instrText>
      </w:r>
      <w:r>
        <w:fldChar w:fldCharType="separate"/>
      </w:r>
      <w:r>
        <w:t>66</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_Toc23598 </w:instrText>
      </w:r>
      <w:r>
        <w:rPr>
          <w:szCs w:val="21"/>
        </w:rPr>
        <w:fldChar w:fldCharType="separate"/>
      </w:r>
      <w:r>
        <w:rPr>
          <w:rFonts w:hint="eastAsia"/>
        </w:rPr>
        <w:t xml:space="preserve">6 </w:t>
      </w:r>
      <w:r>
        <w:t>运营期环境影响预测</w:t>
      </w:r>
      <w:r>
        <w:rPr>
          <w:rFonts w:hint="eastAsia"/>
          <w:lang w:eastAsia="zh-CN"/>
        </w:rPr>
        <w:t>与评价</w:t>
      </w:r>
      <w:r>
        <w:tab/>
      </w:r>
      <w:r>
        <w:fldChar w:fldCharType="begin"/>
      </w:r>
      <w:r>
        <w:instrText xml:space="preserve"> PAGEREF _Toc23598 </w:instrText>
      </w:r>
      <w:r>
        <w:fldChar w:fldCharType="separate"/>
      </w:r>
      <w:r>
        <w:t>68</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_Toc21829 </w:instrText>
      </w:r>
      <w:r>
        <w:rPr>
          <w:szCs w:val="21"/>
        </w:rPr>
        <w:fldChar w:fldCharType="separate"/>
      </w:r>
      <w:r>
        <w:rPr>
          <w:rFonts w:hint="eastAsia"/>
          <w:lang w:eastAsia="zh-CN"/>
        </w:rPr>
        <w:t>6.1 大气环境影响预测及评价</w:t>
      </w:r>
      <w:r>
        <w:tab/>
      </w:r>
      <w:r>
        <w:fldChar w:fldCharType="begin"/>
      </w:r>
      <w:r>
        <w:instrText xml:space="preserve"> PAGEREF _Toc21829 </w:instrText>
      </w:r>
      <w:r>
        <w:fldChar w:fldCharType="separate"/>
      </w:r>
      <w:r>
        <w:t>68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_Toc9869 </w:instrText>
      </w:r>
      <w:r>
        <w:rPr>
          <w:szCs w:val="21"/>
        </w:rPr>
        <w:fldChar w:fldCharType="separate"/>
      </w:r>
      <w:r>
        <w:rPr>
          <w:rFonts w:hint="eastAsia"/>
        </w:rPr>
        <w:t xml:space="preserve">6.1.1 </w:t>
      </w:r>
      <w:r>
        <w:rPr>
          <w:rFonts w:hint="eastAsia"/>
          <w:lang w:eastAsia="zh-CN"/>
        </w:rPr>
        <w:t>大气环境影响预测</w:t>
      </w:r>
      <w:r>
        <w:tab/>
      </w:r>
      <w:r>
        <w:fldChar w:fldCharType="begin"/>
      </w:r>
      <w:r>
        <w:instrText xml:space="preserve"> PAGEREF _Toc9869 </w:instrText>
      </w:r>
      <w:r>
        <w:fldChar w:fldCharType="separate"/>
      </w:r>
      <w:r>
        <w:t>68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_Toc21569 </w:instrText>
      </w:r>
      <w:r>
        <w:rPr>
          <w:szCs w:val="21"/>
        </w:rPr>
        <w:fldChar w:fldCharType="separate"/>
      </w:r>
      <w:r>
        <w:rPr>
          <w:rFonts w:hint="eastAsia"/>
        </w:rPr>
        <w:t xml:space="preserve">6.1.2 </w:t>
      </w:r>
      <w:r>
        <w:rPr>
          <w:rFonts w:hint="eastAsia"/>
          <w:highlight w:val="none"/>
          <w:lang w:eastAsia="zh-CN"/>
        </w:rPr>
        <w:t>环境防护距离</w:t>
      </w:r>
      <w:r>
        <w:tab/>
      </w:r>
      <w:r>
        <w:fldChar w:fldCharType="begin"/>
      </w:r>
      <w:r>
        <w:instrText xml:space="preserve"> PAGEREF _Toc21569 </w:instrText>
      </w:r>
      <w:r>
        <w:fldChar w:fldCharType="separate"/>
      </w:r>
      <w:r>
        <w:t>73</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_Toc8432 </w:instrText>
      </w:r>
      <w:r>
        <w:rPr>
          <w:szCs w:val="21"/>
        </w:rPr>
        <w:fldChar w:fldCharType="separate"/>
      </w:r>
      <w:r>
        <w:rPr>
          <w:rFonts w:hint="eastAsia"/>
          <w:lang w:eastAsia="zh-CN"/>
        </w:rPr>
        <w:t>6.2 水环境影响预测及评价</w:t>
      </w:r>
      <w:r>
        <w:tab/>
      </w:r>
      <w:r>
        <w:fldChar w:fldCharType="begin"/>
      </w:r>
      <w:r>
        <w:instrText xml:space="preserve"> PAGEREF _Toc8432 </w:instrText>
      </w:r>
      <w:r>
        <w:fldChar w:fldCharType="separate"/>
      </w:r>
      <w:r>
        <w:t>76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_Toc18989 </w:instrText>
      </w:r>
      <w:r>
        <w:rPr>
          <w:szCs w:val="21"/>
        </w:rPr>
        <w:fldChar w:fldCharType="separate"/>
      </w:r>
      <w:r>
        <w:rPr>
          <w:rFonts w:hint="eastAsia"/>
        </w:rPr>
        <w:t xml:space="preserve">6.2.1 </w:t>
      </w:r>
      <w:r>
        <w:rPr>
          <w:rFonts w:hint="eastAsia"/>
          <w:lang w:eastAsia="zh-CN"/>
        </w:rPr>
        <w:t>地表水</w:t>
      </w:r>
      <w:r>
        <w:tab/>
      </w:r>
      <w:r>
        <w:fldChar w:fldCharType="begin"/>
      </w:r>
      <w:r>
        <w:instrText xml:space="preserve"> PAGEREF _Toc18989 </w:instrText>
      </w:r>
      <w:r>
        <w:fldChar w:fldCharType="separate"/>
      </w:r>
      <w:r>
        <w:t>76</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_Toc11912 </w:instrText>
      </w:r>
      <w:r>
        <w:rPr>
          <w:szCs w:val="21"/>
        </w:rPr>
        <w:fldChar w:fldCharType="separate"/>
      </w:r>
      <w:r>
        <w:rPr>
          <w:rFonts w:hint="eastAsia"/>
        </w:rPr>
        <w:t xml:space="preserve">6.2.1.1 </w:t>
      </w:r>
      <w:r>
        <w:rPr>
          <w:rFonts w:hint="eastAsia"/>
          <w:lang w:eastAsia="zh-CN"/>
        </w:rPr>
        <w:t>项目排水方案</w:t>
      </w:r>
      <w:r>
        <w:tab/>
      </w:r>
      <w:r>
        <w:fldChar w:fldCharType="begin"/>
      </w:r>
      <w:r>
        <w:instrText xml:space="preserve"> PAGEREF _Toc11912 </w:instrText>
      </w:r>
      <w:r>
        <w:fldChar w:fldCharType="separate"/>
      </w:r>
      <w:r>
        <w:t>76</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_Toc30583 </w:instrText>
      </w:r>
      <w:r>
        <w:rPr>
          <w:szCs w:val="21"/>
        </w:rPr>
        <w:fldChar w:fldCharType="separate"/>
      </w:r>
      <w:r>
        <w:rPr>
          <w:rFonts w:hint="eastAsia" w:ascii="Times New Roman" w:hAnsi="Times New Roman" w:cs="Times New Roman"/>
          <w:lang w:eastAsia="zh-CN"/>
        </w:rPr>
        <w:t>6.2.1.2 项目废水对地表水环境的影响</w:t>
      </w:r>
      <w:r>
        <w:tab/>
      </w:r>
      <w:r>
        <w:fldChar w:fldCharType="begin"/>
      </w:r>
      <w:r>
        <w:instrText xml:space="preserve"> PAGEREF _Toc30583 </w:instrText>
      </w:r>
      <w:r>
        <w:fldChar w:fldCharType="separate"/>
      </w:r>
      <w:r>
        <w:t>76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_Toc14358 </w:instrText>
      </w:r>
      <w:r>
        <w:rPr>
          <w:szCs w:val="21"/>
        </w:rPr>
        <w:fldChar w:fldCharType="separate"/>
      </w:r>
      <w:r>
        <w:rPr>
          <w:rFonts w:hint="eastAsia" w:ascii="Times New Roman" w:hAnsi="Times New Roman" w:cs="Times New Roman"/>
          <w:lang w:eastAsia="zh-CN"/>
        </w:rPr>
        <w:t>6.2.2 地下水</w:t>
      </w:r>
      <w:r>
        <w:tab/>
      </w:r>
      <w:r>
        <w:fldChar w:fldCharType="begin"/>
      </w:r>
      <w:r>
        <w:instrText xml:space="preserve"> PAGEREF _Toc14358 </w:instrText>
      </w:r>
      <w:r>
        <w:fldChar w:fldCharType="separate"/>
      </w:r>
      <w:r>
        <w:t>76</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_Toc27551 </w:instrText>
      </w:r>
      <w:r>
        <w:rPr>
          <w:szCs w:val="21"/>
        </w:rPr>
        <w:fldChar w:fldCharType="separate"/>
      </w:r>
      <w:r>
        <w:rPr>
          <w:rFonts w:hint="eastAsia"/>
        </w:rPr>
        <w:t xml:space="preserve">6.3 </w:t>
      </w:r>
      <w:r>
        <w:t>声环境影响预测及评价</w:t>
      </w:r>
      <w:r>
        <w:tab/>
      </w:r>
      <w:r>
        <w:fldChar w:fldCharType="begin"/>
      </w:r>
      <w:r>
        <w:instrText xml:space="preserve"> PAGEREF _Toc27551 </w:instrText>
      </w:r>
      <w:r>
        <w:fldChar w:fldCharType="separate"/>
      </w:r>
      <w:r>
        <w:t>79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_Toc22979 </w:instrText>
      </w:r>
      <w:r>
        <w:rPr>
          <w:szCs w:val="21"/>
        </w:rPr>
        <w:fldChar w:fldCharType="separate"/>
      </w:r>
      <w:r>
        <w:rPr>
          <w:rFonts w:hint="eastAsia"/>
          <w:snapToGrid w:val="0"/>
        </w:rPr>
        <w:t xml:space="preserve">6.3.1 </w:t>
      </w:r>
      <w:r>
        <w:rPr>
          <w:rFonts w:hint="eastAsia"/>
          <w:snapToGrid w:val="0"/>
          <w:lang w:eastAsia="zh-CN"/>
        </w:rPr>
        <w:t>噪声源强</w:t>
      </w:r>
      <w:r>
        <w:tab/>
      </w:r>
      <w:r>
        <w:fldChar w:fldCharType="begin"/>
      </w:r>
      <w:r>
        <w:instrText xml:space="preserve"> PAGEREF _Toc22979 </w:instrText>
      </w:r>
      <w:r>
        <w:fldChar w:fldCharType="separate"/>
      </w:r>
      <w:r>
        <w:t>79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_Toc31305 </w:instrText>
      </w:r>
      <w:r>
        <w:rPr>
          <w:szCs w:val="21"/>
        </w:rPr>
        <w:fldChar w:fldCharType="separate"/>
      </w:r>
      <w:r>
        <w:rPr>
          <w:rFonts w:hint="eastAsia"/>
          <w:snapToGrid w:val="0"/>
        </w:rPr>
        <w:t xml:space="preserve">6.3.2 </w:t>
      </w:r>
      <w:r>
        <w:rPr>
          <w:rFonts w:hint="eastAsia"/>
          <w:snapToGrid w:val="0"/>
          <w:lang w:eastAsia="zh-CN"/>
        </w:rPr>
        <w:t>工业噪声预测模式</w:t>
      </w:r>
      <w:r>
        <w:tab/>
      </w:r>
      <w:r>
        <w:fldChar w:fldCharType="begin"/>
      </w:r>
      <w:r>
        <w:instrText xml:space="preserve"> PAGEREF _Toc31305 </w:instrText>
      </w:r>
      <w:r>
        <w:fldChar w:fldCharType="separate"/>
      </w:r>
      <w:r>
        <w:t>79</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_Toc2132 </w:instrText>
      </w:r>
      <w:r>
        <w:rPr>
          <w:szCs w:val="21"/>
        </w:rPr>
        <w:fldChar w:fldCharType="separate"/>
      </w:r>
      <w:r>
        <w:rPr>
          <w:rFonts w:hint="eastAsia"/>
        </w:rPr>
        <w:t xml:space="preserve">6.4 </w:t>
      </w:r>
      <w:r>
        <w:rPr>
          <w:rFonts w:hint="eastAsia"/>
          <w:lang w:eastAsia="zh-CN"/>
        </w:rPr>
        <w:t>固体废物</w:t>
      </w:r>
      <w:r>
        <w:t>环境影响分析</w:t>
      </w:r>
      <w:r>
        <w:tab/>
      </w:r>
      <w:r>
        <w:fldChar w:fldCharType="begin"/>
      </w:r>
      <w:r>
        <w:instrText xml:space="preserve"> PAGEREF _Toc2132 </w:instrText>
      </w:r>
      <w:r>
        <w:fldChar w:fldCharType="separate"/>
      </w:r>
      <w:r>
        <w:t>82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_Toc15886 </w:instrText>
      </w:r>
      <w:r>
        <w:rPr>
          <w:szCs w:val="21"/>
        </w:rPr>
        <w:fldChar w:fldCharType="separate"/>
      </w:r>
      <w:r>
        <w:rPr>
          <w:rFonts w:hint="eastAsia"/>
          <w:szCs w:val="28"/>
        </w:rPr>
        <w:t xml:space="preserve">6.4.1 </w:t>
      </w:r>
      <w:r>
        <w:rPr>
          <w:rFonts w:hint="eastAsia"/>
          <w:szCs w:val="28"/>
          <w:lang w:eastAsia="zh-CN"/>
        </w:rPr>
        <w:t>固体废物处置与管理措施</w:t>
      </w:r>
      <w:r>
        <w:tab/>
      </w:r>
      <w:r>
        <w:fldChar w:fldCharType="begin"/>
      </w:r>
      <w:r>
        <w:instrText xml:space="preserve"> PAGEREF _Toc15886 </w:instrText>
      </w:r>
      <w:r>
        <w:fldChar w:fldCharType="separate"/>
      </w:r>
      <w:r>
        <w:t>82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_Toc12604 </w:instrText>
      </w:r>
      <w:r>
        <w:rPr>
          <w:szCs w:val="21"/>
        </w:rPr>
        <w:fldChar w:fldCharType="separate"/>
      </w:r>
      <w:r>
        <w:rPr>
          <w:rFonts w:hint="eastAsia"/>
          <w:szCs w:val="28"/>
        </w:rPr>
        <w:t xml:space="preserve">6.4.2 </w:t>
      </w:r>
      <w:r>
        <w:rPr>
          <w:rFonts w:hint="eastAsia"/>
          <w:szCs w:val="28"/>
          <w:lang w:eastAsia="zh-CN"/>
        </w:rPr>
        <w:t>危险废物的收集和贮存</w:t>
      </w:r>
      <w:r>
        <w:tab/>
      </w:r>
      <w:r>
        <w:fldChar w:fldCharType="begin"/>
      </w:r>
      <w:r>
        <w:instrText xml:space="preserve"> PAGEREF _Toc12604 </w:instrText>
      </w:r>
      <w:r>
        <w:fldChar w:fldCharType="separate"/>
      </w:r>
      <w:r>
        <w:t>83</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_Toc16081 </w:instrText>
      </w:r>
      <w:r>
        <w:rPr>
          <w:szCs w:val="21"/>
        </w:rPr>
        <w:fldChar w:fldCharType="separate"/>
      </w:r>
      <w:r>
        <w:rPr>
          <w:rFonts w:hint="eastAsia"/>
        </w:rPr>
        <w:t xml:space="preserve">6.5 </w:t>
      </w:r>
      <w:r>
        <w:t>生态环境影响分析</w:t>
      </w:r>
      <w:r>
        <w:tab/>
      </w:r>
      <w:r>
        <w:fldChar w:fldCharType="begin"/>
      </w:r>
      <w:r>
        <w:instrText xml:space="preserve"> PAGEREF _Toc16081 </w:instrText>
      </w:r>
      <w:r>
        <w:fldChar w:fldCharType="separate"/>
      </w:r>
      <w:r>
        <w:t>84</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_Toc13351 </w:instrText>
      </w:r>
      <w:r>
        <w:rPr>
          <w:szCs w:val="21"/>
        </w:rPr>
        <w:fldChar w:fldCharType="separate"/>
      </w:r>
      <w:r>
        <w:rPr>
          <w:rFonts w:hint="eastAsia"/>
        </w:rPr>
        <w:t xml:space="preserve">7 </w:t>
      </w:r>
      <w:r>
        <w:rPr>
          <w:rFonts w:hint="eastAsia"/>
          <w:lang w:eastAsia="zh-CN"/>
        </w:rPr>
        <w:t>环境风险</w:t>
      </w:r>
      <w:r>
        <w:t>分析</w:t>
      </w:r>
      <w:r>
        <w:tab/>
      </w:r>
      <w:r>
        <w:fldChar w:fldCharType="begin"/>
      </w:r>
      <w:r>
        <w:instrText xml:space="preserve"> PAGEREF _Toc13351 </w:instrText>
      </w:r>
      <w:r>
        <w:fldChar w:fldCharType="separate"/>
      </w:r>
      <w:r>
        <w:t>86</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_Toc16277 </w:instrText>
      </w:r>
      <w:r>
        <w:rPr>
          <w:szCs w:val="21"/>
        </w:rPr>
        <w:fldChar w:fldCharType="separate"/>
      </w:r>
      <w:r>
        <w:rPr>
          <w:rFonts w:hint="eastAsia"/>
        </w:rPr>
        <w:t xml:space="preserve">7.1 </w:t>
      </w:r>
      <w:r>
        <w:rPr>
          <w:rFonts w:hint="eastAsia"/>
          <w:lang w:eastAsia="zh-CN"/>
        </w:rPr>
        <w:t>评价依据</w:t>
      </w:r>
      <w:r>
        <w:tab/>
      </w:r>
      <w:r>
        <w:fldChar w:fldCharType="begin"/>
      </w:r>
      <w:r>
        <w:instrText xml:space="preserve"> PAGEREF _Toc16277 </w:instrText>
      </w:r>
      <w:r>
        <w:fldChar w:fldCharType="separate"/>
      </w:r>
      <w:r>
        <w:t>86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_Toc18926 </w:instrText>
      </w:r>
      <w:r>
        <w:rPr>
          <w:szCs w:val="21"/>
        </w:rPr>
        <w:fldChar w:fldCharType="separate"/>
      </w:r>
      <w:r>
        <w:rPr>
          <w:rFonts w:hint="eastAsia"/>
        </w:rPr>
        <w:t xml:space="preserve">7.1.1 </w:t>
      </w:r>
      <w:r>
        <w:rPr>
          <w:rFonts w:hint="eastAsia"/>
          <w:lang w:eastAsia="zh-CN"/>
        </w:rPr>
        <w:t>风险调查</w:t>
      </w:r>
      <w:r>
        <w:tab/>
      </w:r>
      <w:r>
        <w:fldChar w:fldCharType="begin"/>
      </w:r>
      <w:r>
        <w:instrText xml:space="preserve"> PAGEREF _Toc18926 </w:instrText>
      </w:r>
      <w:r>
        <w:fldChar w:fldCharType="separate"/>
      </w:r>
      <w:r>
        <w:t>86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_Toc6184 </w:instrText>
      </w:r>
      <w:r>
        <w:rPr>
          <w:szCs w:val="21"/>
        </w:rPr>
        <w:fldChar w:fldCharType="separate"/>
      </w:r>
      <w:r>
        <w:rPr>
          <w:rFonts w:hint="eastAsia"/>
        </w:rPr>
        <w:t xml:space="preserve">7.1.2 </w:t>
      </w:r>
      <w:r>
        <w:rPr>
          <w:rFonts w:hint="eastAsia"/>
          <w:lang w:eastAsia="zh-CN"/>
        </w:rPr>
        <w:t>风险潜势判断</w:t>
      </w:r>
      <w:r>
        <w:tab/>
      </w:r>
      <w:r>
        <w:fldChar w:fldCharType="begin"/>
      </w:r>
      <w:r>
        <w:instrText xml:space="preserve"> PAGEREF _Toc6184 </w:instrText>
      </w:r>
      <w:r>
        <w:fldChar w:fldCharType="separate"/>
      </w:r>
      <w:r>
        <w:t>86</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_Toc19477 </w:instrText>
      </w:r>
      <w:r>
        <w:rPr>
          <w:szCs w:val="21"/>
        </w:rPr>
        <w:fldChar w:fldCharType="separate"/>
      </w:r>
      <w:r>
        <w:rPr>
          <w:rFonts w:hint="eastAsia"/>
        </w:rPr>
        <w:t xml:space="preserve">7.1.3 </w:t>
      </w:r>
      <w:r>
        <w:rPr>
          <w:rFonts w:hint="eastAsia"/>
          <w:lang w:eastAsia="zh-CN"/>
        </w:rPr>
        <w:t>评价工作等级</w:t>
      </w:r>
      <w:r>
        <w:tab/>
      </w:r>
      <w:r>
        <w:fldChar w:fldCharType="begin"/>
      </w:r>
      <w:r>
        <w:instrText xml:space="preserve"> PAGEREF _Toc19477 </w:instrText>
      </w:r>
      <w:r>
        <w:fldChar w:fldCharType="separate"/>
      </w:r>
      <w:r>
        <w:t>86</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_Toc24877 </w:instrText>
      </w:r>
      <w:r>
        <w:rPr>
          <w:szCs w:val="21"/>
        </w:rPr>
        <w:fldChar w:fldCharType="separate"/>
      </w:r>
      <w:r>
        <w:rPr>
          <w:rFonts w:hint="eastAsia"/>
        </w:rPr>
        <w:t xml:space="preserve">7.2 </w:t>
      </w:r>
      <w:r>
        <w:rPr>
          <w:rFonts w:hint="eastAsia"/>
          <w:lang w:eastAsia="zh-CN"/>
        </w:rPr>
        <w:t>环境敏感目标概况</w:t>
      </w:r>
      <w:r>
        <w:tab/>
      </w:r>
      <w:r>
        <w:fldChar w:fldCharType="begin"/>
      </w:r>
      <w:r>
        <w:instrText xml:space="preserve"> PAGEREF _Toc24877 </w:instrText>
      </w:r>
      <w:r>
        <w:fldChar w:fldCharType="separate"/>
      </w:r>
      <w:r>
        <w:t>87</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_Toc10557 </w:instrText>
      </w:r>
      <w:r>
        <w:rPr>
          <w:szCs w:val="21"/>
        </w:rPr>
        <w:fldChar w:fldCharType="separate"/>
      </w:r>
      <w:r>
        <w:rPr>
          <w:rFonts w:hint="eastAsia"/>
        </w:rPr>
        <w:t xml:space="preserve">7.3 </w:t>
      </w:r>
      <w:r>
        <w:rPr>
          <w:rFonts w:hint="eastAsia"/>
          <w:lang w:eastAsia="zh-CN"/>
        </w:rPr>
        <w:t>环境风险识别</w:t>
      </w:r>
      <w:r>
        <w:tab/>
      </w:r>
      <w:r>
        <w:fldChar w:fldCharType="begin"/>
      </w:r>
      <w:r>
        <w:instrText xml:space="preserve"> PAGEREF _Toc10557 </w:instrText>
      </w:r>
      <w:r>
        <w:fldChar w:fldCharType="separate"/>
      </w:r>
      <w:r>
        <w:t>87</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_Toc11575 </w:instrText>
      </w:r>
      <w:r>
        <w:rPr>
          <w:szCs w:val="21"/>
        </w:rPr>
        <w:fldChar w:fldCharType="separate"/>
      </w:r>
      <w:r>
        <w:rPr>
          <w:rFonts w:hint="eastAsia"/>
        </w:rPr>
        <w:t xml:space="preserve">7.4 </w:t>
      </w:r>
      <w:r>
        <w:rPr>
          <w:rFonts w:hint="eastAsia"/>
          <w:lang w:eastAsia="zh-CN"/>
        </w:rPr>
        <w:t>环境风险分析</w:t>
      </w:r>
      <w:r>
        <w:tab/>
      </w:r>
      <w:r>
        <w:fldChar w:fldCharType="begin"/>
      </w:r>
      <w:r>
        <w:instrText xml:space="preserve"> PAGEREF _Toc11575 </w:instrText>
      </w:r>
      <w:r>
        <w:fldChar w:fldCharType="separate"/>
      </w:r>
      <w:r>
        <w:t>87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_Toc30262 </w:instrText>
      </w:r>
      <w:r>
        <w:rPr>
          <w:szCs w:val="21"/>
        </w:rPr>
        <w:fldChar w:fldCharType="separate"/>
      </w:r>
      <w:r>
        <w:rPr>
          <w:rFonts w:hint="eastAsia"/>
        </w:rPr>
        <w:t xml:space="preserve">7.4.1 </w:t>
      </w:r>
      <w:r>
        <w:rPr>
          <w:rFonts w:hint="eastAsia"/>
          <w:lang w:eastAsia="zh-CN"/>
        </w:rPr>
        <w:t>氨环境风险分析</w:t>
      </w:r>
      <w:r>
        <w:tab/>
      </w:r>
      <w:r>
        <w:fldChar w:fldCharType="begin"/>
      </w:r>
      <w:r>
        <w:instrText xml:space="preserve"> PAGEREF _Toc30262 </w:instrText>
      </w:r>
      <w:r>
        <w:fldChar w:fldCharType="separate"/>
      </w:r>
      <w:r>
        <w:t>87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_Toc8226 </w:instrText>
      </w:r>
      <w:r>
        <w:rPr>
          <w:szCs w:val="21"/>
        </w:rPr>
        <w:fldChar w:fldCharType="separate"/>
      </w:r>
      <w:r>
        <w:rPr>
          <w:rFonts w:hint="eastAsia"/>
        </w:rPr>
        <w:t xml:space="preserve">7.4.2 </w:t>
      </w:r>
      <w:r>
        <w:rPr>
          <w:rFonts w:hint="eastAsia"/>
          <w:lang w:eastAsia="zh-CN"/>
        </w:rPr>
        <w:t>污废水环境风险分析</w:t>
      </w:r>
      <w:r>
        <w:tab/>
      </w:r>
      <w:r>
        <w:fldChar w:fldCharType="begin"/>
      </w:r>
      <w:r>
        <w:instrText xml:space="preserve"> PAGEREF _Toc8226 </w:instrText>
      </w:r>
      <w:r>
        <w:fldChar w:fldCharType="separate"/>
      </w:r>
      <w:r>
        <w:t>89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_Toc18580 </w:instrText>
      </w:r>
      <w:r>
        <w:rPr>
          <w:szCs w:val="21"/>
        </w:rPr>
        <w:fldChar w:fldCharType="separate"/>
      </w:r>
      <w:r>
        <w:rPr>
          <w:rFonts w:hint="eastAsia"/>
        </w:rPr>
        <w:t xml:space="preserve">7.4.3 </w:t>
      </w:r>
      <w:r>
        <w:rPr>
          <w:rFonts w:hint="eastAsia"/>
          <w:lang w:eastAsia="zh-CN"/>
        </w:rPr>
        <w:t>氯酸钠及盐酸环境风险分析</w:t>
      </w:r>
      <w:r>
        <w:tab/>
      </w:r>
      <w:r>
        <w:fldChar w:fldCharType="begin"/>
      </w:r>
      <w:r>
        <w:instrText xml:space="preserve"> PAGEREF _Toc18580 </w:instrText>
      </w:r>
      <w:r>
        <w:fldChar w:fldCharType="separate"/>
      </w:r>
      <w:r>
        <w:t>89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_Toc32202 </w:instrText>
      </w:r>
      <w:r>
        <w:rPr>
          <w:szCs w:val="21"/>
        </w:rPr>
        <w:fldChar w:fldCharType="separate"/>
      </w:r>
      <w:r>
        <w:rPr>
          <w:rFonts w:hint="eastAsia"/>
        </w:rPr>
        <w:t xml:space="preserve">7.4.4 </w:t>
      </w:r>
      <w:r>
        <w:rPr>
          <w:rFonts w:hint="eastAsia"/>
          <w:lang w:eastAsia="zh-CN"/>
        </w:rPr>
        <w:t>硫化氢和氨环境风险分析</w:t>
      </w:r>
      <w:r>
        <w:tab/>
      </w:r>
      <w:r>
        <w:fldChar w:fldCharType="begin"/>
      </w:r>
      <w:r>
        <w:instrText xml:space="preserve"> PAGEREF _Toc32202 </w:instrText>
      </w:r>
      <w:r>
        <w:fldChar w:fldCharType="separate"/>
      </w:r>
      <w:r>
        <w:t>94</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_Toc12019 </w:instrText>
      </w:r>
      <w:r>
        <w:rPr>
          <w:szCs w:val="21"/>
        </w:rPr>
        <w:fldChar w:fldCharType="separate"/>
      </w:r>
      <w:r>
        <w:rPr>
          <w:rFonts w:hint="eastAsia"/>
        </w:rPr>
        <w:t xml:space="preserve">7.5 </w:t>
      </w:r>
      <w:r>
        <w:rPr>
          <w:rFonts w:hint="eastAsia"/>
          <w:highlight w:val="none"/>
          <w:lang w:eastAsia="zh-CN"/>
        </w:rPr>
        <w:t>环境风险防范措施与应急要求</w:t>
      </w:r>
      <w:r>
        <w:tab/>
      </w:r>
      <w:r>
        <w:fldChar w:fldCharType="begin"/>
      </w:r>
      <w:r>
        <w:instrText xml:space="preserve"> PAGEREF _Toc12019 </w:instrText>
      </w:r>
      <w:r>
        <w:fldChar w:fldCharType="separate"/>
      </w:r>
      <w:r>
        <w:t>95</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_Toc21448 </w:instrText>
      </w:r>
      <w:r>
        <w:rPr>
          <w:szCs w:val="21"/>
        </w:rPr>
        <w:fldChar w:fldCharType="separate"/>
      </w:r>
      <w:r>
        <w:rPr>
          <w:rFonts w:hint="eastAsia"/>
        </w:rPr>
        <w:t xml:space="preserve">7.5.1 </w:t>
      </w:r>
      <w:r>
        <w:rPr>
          <w:rFonts w:hint="eastAsia"/>
          <w:highlight w:val="none"/>
          <w:lang w:eastAsia="zh-CN"/>
        </w:rPr>
        <w:t>氨环境风险防范措施及应急要求</w:t>
      </w:r>
      <w:r>
        <w:tab/>
      </w:r>
      <w:r>
        <w:fldChar w:fldCharType="begin"/>
      </w:r>
      <w:r>
        <w:instrText xml:space="preserve"> PAGEREF _Toc21448 </w:instrText>
      </w:r>
      <w:r>
        <w:fldChar w:fldCharType="separate"/>
      </w:r>
      <w:r>
        <w:t>95</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_Toc31821 </w:instrText>
      </w:r>
      <w:r>
        <w:rPr>
          <w:szCs w:val="21"/>
        </w:rPr>
        <w:fldChar w:fldCharType="separate"/>
      </w:r>
      <w:r>
        <w:rPr>
          <w:rFonts w:hint="eastAsia"/>
        </w:rPr>
        <w:t xml:space="preserve">7.5.2 </w:t>
      </w:r>
      <w:r>
        <w:rPr>
          <w:rFonts w:hint="eastAsia"/>
          <w:highlight w:val="none"/>
          <w:lang w:eastAsia="zh-CN"/>
        </w:rPr>
        <w:t>污废水环境风险防范措施及应急要求</w:t>
      </w:r>
      <w:r>
        <w:tab/>
      </w:r>
      <w:r>
        <w:fldChar w:fldCharType="begin"/>
      </w:r>
      <w:r>
        <w:instrText xml:space="preserve"> PAGEREF _Toc31821 </w:instrText>
      </w:r>
      <w:r>
        <w:fldChar w:fldCharType="separate"/>
      </w:r>
      <w:r>
        <w:t>97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_Toc15846 </w:instrText>
      </w:r>
      <w:r>
        <w:rPr>
          <w:szCs w:val="21"/>
        </w:rPr>
        <w:fldChar w:fldCharType="separate"/>
      </w:r>
      <w:r>
        <w:rPr>
          <w:rFonts w:hint="eastAsia"/>
        </w:rPr>
        <w:t xml:space="preserve">7.5.3 </w:t>
      </w:r>
      <w:r>
        <w:rPr>
          <w:rFonts w:hint="eastAsia"/>
          <w:lang w:eastAsia="zh-CN"/>
        </w:rPr>
        <w:t>氯酸钠及盐酸环境风险防范措施及应急要求</w:t>
      </w:r>
      <w:r>
        <w:tab/>
      </w:r>
      <w:r>
        <w:fldChar w:fldCharType="begin"/>
      </w:r>
      <w:r>
        <w:instrText xml:space="preserve"> PAGEREF _Toc15846 </w:instrText>
      </w:r>
      <w:r>
        <w:fldChar w:fldCharType="separate"/>
      </w:r>
      <w:r>
        <w:t>98</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_Toc1806 </w:instrText>
      </w:r>
      <w:r>
        <w:rPr>
          <w:szCs w:val="21"/>
        </w:rPr>
        <w:fldChar w:fldCharType="separate"/>
      </w:r>
      <w:r>
        <w:rPr>
          <w:rFonts w:hint="eastAsia"/>
        </w:rPr>
        <w:t xml:space="preserve">7.5.4 </w:t>
      </w:r>
      <w:r>
        <w:rPr>
          <w:rFonts w:hint="eastAsia"/>
          <w:lang w:eastAsia="zh-CN"/>
        </w:rPr>
        <w:t>硫化氢和氨环境风险防范措施及应急要求</w:t>
      </w:r>
      <w:r>
        <w:tab/>
      </w:r>
      <w:r>
        <w:fldChar w:fldCharType="begin"/>
      </w:r>
      <w:r>
        <w:instrText xml:space="preserve"> PAGEREF _Toc1806 </w:instrText>
      </w:r>
      <w:r>
        <w:fldChar w:fldCharType="separate"/>
      </w:r>
      <w:r>
        <w:t>98</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_Toc874 </w:instrText>
      </w:r>
      <w:r>
        <w:rPr>
          <w:szCs w:val="21"/>
        </w:rPr>
        <w:fldChar w:fldCharType="separate"/>
      </w:r>
      <w:r>
        <w:rPr>
          <w:rFonts w:hint="eastAsia"/>
        </w:rPr>
        <w:t xml:space="preserve">7.6 </w:t>
      </w:r>
      <w:r>
        <w:rPr>
          <w:rFonts w:hint="eastAsia"/>
          <w:lang w:eastAsia="zh-CN"/>
        </w:rPr>
        <w:t>分析结论</w:t>
      </w:r>
      <w:r>
        <w:tab/>
      </w:r>
      <w:r>
        <w:fldChar w:fldCharType="begin"/>
      </w:r>
      <w:r>
        <w:instrText xml:space="preserve"> PAGEREF _Toc874 </w:instrText>
      </w:r>
      <w:r>
        <w:fldChar w:fldCharType="separate"/>
      </w:r>
      <w:r>
        <w:t>98</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_Toc16849 </w:instrText>
      </w:r>
      <w:r>
        <w:rPr>
          <w:szCs w:val="21"/>
        </w:rPr>
        <w:fldChar w:fldCharType="separate"/>
      </w:r>
      <w:r>
        <w:rPr>
          <w:rFonts w:hint="eastAsia"/>
        </w:rPr>
        <w:t xml:space="preserve">8 </w:t>
      </w:r>
      <w:r>
        <w:rPr>
          <w:rFonts w:hint="eastAsia"/>
          <w:lang w:eastAsia="zh-CN"/>
        </w:rPr>
        <w:t>环境保护措施及其可行性论证</w:t>
      </w:r>
      <w:r>
        <w:tab/>
      </w:r>
      <w:r>
        <w:fldChar w:fldCharType="begin"/>
      </w:r>
      <w:r>
        <w:instrText xml:space="preserve"> PAGEREF _Toc16849 </w:instrText>
      </w:r>
      <w:r>
        <w:fldChar w:fldCharType="separate"/>
      </w:r>
      <w:r>
        <w:t>99</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_Toc31581 </w:instrText>
      </w:r>
      <w:r>
        <w:rPr>
          <w:szCs w:val="21"/>
        </w:rPr>
        <w:fldChar w:fldCharType="separate"/>
      </w:r>
      <w:r>
        <w:rPr>
          <w:rFonts w:hint="eastAsia"/>
        </w:rPr>
        <w:t xml:space="preserve">8.1 </w:t>
      </w:r>
      <w:r>
        <w:rPr>
          <w:rFonts w:hint="eastAsia"/>
          <w:lang w:eastAsia="zh-CN"/>
        </w:rPr>
        <w:t>施工期环境保护措施</w:t>
      </w:r>
      <w:r>
        <w:tab/>
      </w:r>
      <w:r>
        <w:fldChar w:fldCharType="begin"/>
      </w:r>
      <w:r>
        <w:instrText xml:space="preserve"> PAGEREF _Toc31581 </w:instrText>
      </w:r>
      <w:r>
        <w:fldChar w:fldCharType="separate"/>
      </w:r>
      <w:r>
        <w:t>99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_Toc739 </w:instrText>
      </w:r>
      <w:r>
        <w:rPr>
          <w:szCs w:val="21"/>
        </w:rPr>
        <w:fldChar w:fldCharType="separate"/>
      </w:r>
      <w:r>
        <w:rPr>
          <w:rFonts w:hint="eastAsia"/>
        </w:rPr>
        <w:t xml:space="preserve">8.1.1 </w:t>
      </w:r>
      <w:r>
        <w:rPr>
          <w:rFonts w:hint="eastAsia"/>
          <w:lang w:eastAsia="zh-CN"/>
        </w:rPr>
        <w:t>施工期噪声防治措施</w:t>
      </w:r>
      <w:r>
        <w:tab/>
      </w:r>
      <w:r>
        <w:fldChar w:fldCharType="begin"/>
      </w:r>
      <w:r>
        <w:instrText xml:space="preserve"> PAGEREF _Toc739 </w:instrText>
      </w:r>
      <w:r>
        <w:fldChar w:fldCharType="separate"/>
      </w:r>
      <w:r>
        <w:t>99</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_Toc22659 </w:instrText>
      </w:r>
      <w:r>
        <w:rPr>
          <w:szCs w:val="21"/>
        </w:rPr>
        <w:fldChar w:fldCharType="separate"/>
      </w:r>
      <w:r>
        <w:rPr>
          <w:rFonts w:hint="eastAsia"/>
        </w:rPr>
        <w:t xml:space="preserve">8.1.2 </w:t>
      </w:r>
      <w:r>
        <w:rPr>
          <w:rFonts w:hint="eastAsia"/>
          <w:lang w:eastAsia="zh-CN"/>
        </w:rPr>
        <w:t>施工期大气污染防治措施</w:t>
      </w:r>
      <w:r>
        <w:tab/>
      </w:r>
      <w:r>
        <w:fldChar w:fldCharType="begin"/>
      </w:r>
      <w:r>
        <w:instrText xml:space="preserve"> PAGEREF _Toc22659 </w:instrText>
      </w:r>
      <w:r>
        <w:fldChar w:fldCharType="separate"/>
      </w:r>
      <w:r>
        <w:t>100</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_Toc14592 </w:instrText>
      </w:r>
      <w:r>
        <w:rPr>
          <w:szCs w:val="21"/>
        </w:rPr>
        <w:fldChar w:fldCharType="separate"/>
      </w:r>
      <w:r>
        <w:rPr>
          <w:rFonts w:hint="eastAsia"/>
        </w:rPr>
        <w:t xml:space="preserve">8.1.3 </w:t>
      </w:r>
      <w:r>
        <w:rPr>
          <w:rFonts w:hint="eastAsia"/>
          <w:lang w:eastAsia="zh-CN"/>
        </w:rPr>
        <w:t>施工期水污染防治措施</w:t>
      </w:r>
      <w:r>
        <w:tab/>
      </w:r>
      <w:r>
        <w:fldChar w:fldCharType="begin"/>
      </w:r>
      <w:r>
        <w:instrText xml:space="preserve"> PAGEREF _Toc14592 </w:instrText>
      </w:r>
      <w:r>
        <w:fldChar w:fldCharType="separate"/>
      </w:r>
      <w:r>
        <w:t>102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_Toc16799 </w:instrText>
      </w:r>
      <w:r>
        <w:rPr>
          <w:szCs w:val="21"/>
        </w:rPr>
        <w:fldChar w:fldCharType="separate"/>
      </w:r>
      <w:r>
        <w:rPr>
          <w:rFonts w:hint="eastAsia"/>
        </w:rPr>
        <w:t xml:space="preserve">8.1.4 </w:t>
      </w:r>
      <w:r>
        <w:rPr>
          <w:rFonts w:hint="eastAsia"/>
          <w:lang w:eastAsia="zh-CN"/>
        </w:rPr>
        <w:t>施工期固体废物防治措施</w:t>
      </w:r>
      <w:r>
        <w:tab/>
      </w:r>
      <w:r>
        <w:fldChar w:fldCharType="begin"/>
      </w:r>
      <w:r>
        <w:instrText xml:space="preserve"> PAGEREF _Toc16799 </w:instrText>
      </w:r>
      <w:r>
        <w:fldChar w:fldCharType="separate"/>
      </w:r>
      <w:r>
        <w:t>102</w:t>
      </w:r>
      <w:r>
        <w:fldChar w:fldCharType="end"/>
      </w:r>
      <w:r>
        <w:rPr>
          <w:szCs w:val="21"/>
        </w:rPr>
        <w:fldChar w:fldCharType="end"/>
      </w:r>
      <w:bookmarkStart w:id="413" w:name="_GoBack"/>
      <w:bookmarkEnd w:id="413"/>
    </w:p>
    <w:p>
      <w:pPr>
        <w:pStyle w:val="44"/>
        <w:tabs>
          <w:tab w:val="right" w:leader="dot" w:pos="8312"/>
        </w:tabs>
      </w:pPr>
      <w:r>
        <w:rPr>
          <w:szCs w:val="21"/>
        </w:rPr>
        <w:fldChar w:fldCharType="begin"/>
      </w:r>
      <w:r>
        <w:rPr>
          <w:szCs w:val="21"/>
        </w:rPr>
        <w:instrText xml:space="preserve"> HYPERLINK \l _Toc32493 </w:instrText>
      </w:r>
      <w:r>
        <w:rPr>
          <w:szCs w:val="21"/>
        </w:rPr>
        <w:fldChar w:fldCharType="separate"/>
      </w:r>
      <w:r>
        <w:rPr>
          <w:rFonts w:hint="eastAsia"/>
        </w:rPr>
        <w:t xml:space="preserve">8.1.5 </w:t>
      </w:r>
      <w:r>
        <w:rPr>
          <w:rFonts w:hint="eastAsia"/>
          <w:lang w:eastAsia="zh-CN"/>
        </w:rPr>
        <w:t>施工期生态环境保护措施</w:t>
      </w:r>
      <w:r>
        <w:tab/>
      </w:r>
      <w:r>
        <w:fldChar w:fldCharType="begin"/>
      </w:r>
      <w:r>
        <w:instrText xml:space="preserve"> PAGEREF _Toc32493 </w:instrText>
      </w:r>
      <w:r>
        <w:fldChar w:fldCharType="separate"/>
      </w:r>
      <w:r>
        <w:t>103</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_Toc304 </w:instrText>
      </w:r>
      <w:r>
        <w:rPr>
          <w:szCs w:val="21"/>
        </w:rPr>
        <w:fldChar w:fldCharType="separate"/>
      </w:r>
      <w:r>
        <w:rPr>
          <w:rFonts w:hint="eastAsia"/>
        </w:rPr>
        <w:t xml:space="preserve">8.2 </w:t>
      </w:r>
      <w:r>
        <w:rPr>
          <w:rFonts w:hint="eastAsia"/>
          <w:lang w:eastAsia="zh-CN"/>
        </w:rPr>
        <w:t>营运期环境保护措施及可行性分析</w:t>
      </w:r>
      <w:r>
        <w:tab/>
      </w:r>
      <w:r>
        <w:fldChar w:fldCharType="begin"/>
      </w:r>
      <w:r>
        <w:instrText xml:space="preserve"> PAGEREF _Toc304 </w:instrText>
      </w:r>
      <w:r>
        <w:fldChar w:fldCharType="separate"/>
      </w:r>
      <w:r>
        <w:t>104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_Toc19667 </w:instrText>
      </w:r>
      <w:r>
        <w:rPr>
          <w:szCs w:val="21"/>
        </w:rPr>
        <w:fldChar w:fldCharType="separate"/>
      </w:r>
      <w:r>
        <w:rPr>
          <w:rFonts w:hint="eastAsia"/>
        </w:rPr>
        <w:t xml:space="preserve">8.2.1 </w:t>
      </w:r>
      <w:r>
        <w:rPr>
          <w:rFonts w:hint="eastAsia"/>
          <w:lang w:eastAsia="zh-CN"/>
        </w:rPr>
        <w:t>营运期大气污染防治措施</w:t>
      </w:r>
      <w:r>
        <w:tab/>
      </w:r>
      <w:r>
        <w:fldChar w:fldCharType="begin"/>
      </w:r>
      <w:r>
        <w:instrText xml:space="preserve"> PAGEREF _Toc19667 </w:instrText>
      </w:r>
      <w:r>
        <w:fldChar w:fldCharType="separate"/>
      </w:r>
      <w:r>
        <w:t>104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_Toc12243 </w:instrText>
      </w:r>
      <w:r>
        <w:rPr>
          <w:szCs w:val="21"/>
        </w:rPr>
        <w:fldChar w:fldCharType="separate"/>
      </w:r>
      <w:r>
        <w:rPr>
          <w:rFonts w:hint="eastAsia"/>
        </w:rPr>
        <w:t xml:space="preserve">8.2.2 </w:t>
      </w:r>
      <w:r>
        <w:rPr>
          <w:rFonts w:hint="eastAsia"/>
          <w:lang w:eastAsia="zh-CN"/>
        </w:rPr>
        <w:t>营运期水污染防治措施可行性分析</w:t>
      </w:r>
      <w:r>
        <w:tab/>
      </w:r>
      <w:r>
        <w:fldChar w:fldCharType="begin"/>
      </w:r>
      <w:r>
        <w:instrText xml:space="preserve"> PAGEREF _Toc12243 </w:instrText>
      </w:r>
      <w:r>
        <w:fldChar w:fldCharType="separate"/>
      </w:r>
      <w:r>
        <w:t>106</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_Toc15755 </w:instrText>
      </w:r>
      <w:r>
        <w:rPr>
          <w:szCs w:val="21"/>
        </w:rPr>
        <w:fldChar w:fldCharType="separate"/>
      </w:r>
      <w:r>
        <w:rPr>
          <w:rFonts w:hint="eastAsia"/>
        </w:rPr>
        <w:t xml:space="preserve">8.2.2.1 </w:t>
      </w:r>
      <w:r>
        <w:t>废水</w:t>
      </w:r>
      <w:r>
        <w:rPr>
          <w:rFonts w:hint="eastAsia"/>
          <w:lang w:eastAsia="zh-CN"/>
        </w:rPr>
        <w:t>产生情况</w:t>
      </w:r>
      <w:r>
        <w:tab/>
      </w:r>
      <w:r>
        <w:fldChar w:fldCharType="begin"/>
      </w:r>
      <w:r>
        <w:instrText xml:space="preserve"> PAGEREF _Toc15755 </w:instrText>
      </w:r>
      <w:r>
        <w:fldChar w:fldCharType="separate"/>
      </w:r>
      <w:r>
        <w:t>106</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_Toc5862 </w:instrText>
      </w:r>
      <w:r>
        <w:rPr>
          <w:szCs w:val="21"/>
        </w:rPr>
        <w:fldChar w:fldCharType="separate"/>
      </w:r>
      <w:r>
        <w:rPr>
          <w:rFonts w:hint="eastAsia"/>
        </w:rPr>
        <w:t xml:space="preserve">8.2.2.2 </w:t>
      </w:r>
      <w:r>
        <w:t>废水</w:t>
      </w:r>
      <w:r>
        <w:rPr>
          <w:rFonts w:hint="eastAsia"/>
          <w:lang w:eastAsia="zh-CN"/>
        </w:rPr>
        <w:t>处理工艺</w:t>
      </w:r>
      <w:r>
        <w:tab/>
      </w:r>
      <w:r>
        <w:fldChar w:fldCharType="begin"/>
      </w:r>
      <w:r>
        <w:instrText xml:space="preserve"> PAGEREF _Toc5862 </w:instrText>
      </w:r>
      <w:r>
        <w:fldChar w:fldCharType="separate"/>
      </w:r>
      <w:r>
        <w:t>106</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_Toc20287 </w:instrText>
      </w:r>
      <w:r>
        <w:rPr>
          <w:szCs w:val="21"/>
        </w:rPr>
        <w:fldChar w:fldCharType="separate"/>
      </w:r>
      <w:r>
        <w:rPr>
          <w:rFonts w:hint="eastAsia"/>
        </w:rPr>
        <w:t xml:space="preserve">8.2.2.3 </w:t>
      </w:r>
      <w:r>
        <w:rPr>
          <w:rFonts w:hint="eastAsia"/>
          <w:lang w:eastAsia="zh-CN"/>
        </w:rPr>
        <w:t>纳管可行性</w:t>
      </w:r>
      <w:r>
        <w:tab/>
      </w:r>
      <w:r>
        <w:fldChar w:fldCharType="begin"/>
      </w:r>
      <w:r>
        <w:instrText xml:space="preserve"> PAGEREF _Toc20287 </w:instrText>
      </w:r>
      <w:r>
        <w:fldChar w:fldCharType="separate"/>
      </w:r>
      <w:r>
        <w:t>107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_Toc13607 </w:instrText>
      </w:r>
      <w:r>
        <w:rPr>
          <w:szCs w:val="21"/>
        </w:rPr>
        <w:fldChar w:fldCharType="separate"/>
      </w:r>
      <w:r>
        <w:rPr>
          <w:rFonts w:hint="eastAsia"/>
        </w:rPr>
        <w:t xml:space="preserve">8.2.3 </w:t>
      </w:r>
      <w:r>
        <w:rPr>
          <w:rFonts w:hint="eastAsia"/>
          <w:lang w:eastAsia="zh-CN"/>
        </w:rPr>
        <w:t>噪声防治措施可行性分析</w:t>
      </w:r>
      <w:r>
        <w:tab/>
      </w:r>
      <w:r>
        <w:fldChar w:fldCharType="begin"/>
      </w:r>
      <w:r>
        <w:instrText xml:space="preserve"> PAGEREF _Toc13607 </w:instrText>
      </w:r>
      <w:r>
        <w:fldChar w:fldCharType="separate"/>
      </w:r>
      <w:r>
        <w:t>107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_Toc516 </w:instrText>
      </w:r>
      <w:r>
        <w:rPr>
          <w:szCs w:val="21"/>
        </w:rPr>
        <w:fldChar w:fldCharType="separate"/>
      </w:r>
      <w:r>
        <w:rPr>
          <w:rFonts w:hint="eastAsia"/>
        </w:rPr>
        <w:t xml:space="preserve">8.2.4 </w:t>
      </w:r>
      <w:r>
        <w:rPr>
          <w:rFonts w:hint="eastAsia"/>
          <w:lang w:eastAsia="zh-CN"/>
        </w:rPr>
        <w:t>营运期固体废弃物防治措施</w:t>
      </w:r>
      <w:r>
        <w:tab/>
      </w:r>
      <w:r>
        <w:fldChar w:fldCharType="begin"/>
      </w:r>
      <w:r>
        <w:instrText xml:space="preserve"> PAGEREF _Toc516 </w:instrText>
      </w:r>
      <w:r>
        <w:fldChar w:fldCharType="separate"/>
      </w:r>
      <w:r>
        <w:t>107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_Toc23904 </w:instrText>
      </w:r>
      <w:r>
        <w:rPr>
          <w:szCs w:val="21"/>
        </w:rPr>
        <w:fldChar w:fldCharType="separate"/>
      </w:r>
      <w:r>
        <w:rPr>
          <w:rFonts w:hint="eastAsia"/>
        </w:rPr>
        <w:t xml:space="preserve">8.2.5 </w:t>
      </w:r>
      <w:r>
        <w:rPr>
          <w:rFonts w:hint="eastAsia"/>
          <w:lang w:eastAsia="zh-CN"/>
        </w:rPr>
        <w:t>环境风险防范措施可行性分析</w:t>
      </w:r>
      <w:r>
        <w:tab/>
      </w:r>
      <w:r>
        <w:fldChar w:fldCharType="begin"/>
      </w:r>
      <w:r>
        <w:instrText xml:space="preserve"> PAGEREF _Toc23904 </w:instrText>
      </w:r>
      <w:r>
        <w:fldChar w:fldCharType="separate"/>
      </w:r>
      <w:r>
        <w:t>109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_Toc3165 </w:instrText>
      </w:r>
      <w:r>
        <w:rPr>
          <w:szCs w:val="21"/>
        </w:rPr>
        <w:fldChar w:fldCharType="separate"/>
      </w:r>
      <w:r>
        <w:rPr>
          <w:rFonts w:hint="eastAsia"/>
        </w:rPr>
        <w:t xml:space="preserve">8.2.5.1 </w:t>
      </w:r>
      <w:r>
        <w:rPr>
          <w:rFonts w:hint="eastAsia"/>
          <w:lang w:eastAsia="zh-CN"/>
        </w:rPr>
        <w:t>危化品贮存风险防范措施</w:t>
      </w:r>
      <w:r>
        <w:tab/>
      </w:r>
      <w:r>
        <w:fldChar w:fldCharType="begin"/>
      </w:r>
      <w:r>
        <w:instrText xml:space="preserve"> PAGEREF _Toc3165 </w:instrText>
      </w:r>
      <w:r>
        <w:fldChar w:fldCharType="separate"/>
      </w:r>
      <w:r>
        <w:t>109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_Toc26468 </w:instrText>
      </w:r>
      <w:r>
        <w:rPr>
          <w:szCs w:val="21"/>
        </w:rPr>
        <w:fldChar w:fldCharType="separate"/>
      </w:r>
      <w:r>
        <w:rPr>
          <w:rFonts w:hint="eastAsia"/>
        </w:rPr>
        <w:t xml:space="preserve">8.2.5.2 </w:t>
      </w:r>
      <w:r>
        <w:rPr>
          <w:rFonts w:hint="eastAsia"/>
          <w:lang w:eastAsia="zh-CN"/>
        </w:rPr>
        <w:t>废水事故风险防范措施</w:t>
      </w:r>
      <w:r>
        <w:tab/>
      </w:r>
      <w:r>
        <w:fldChar w:fldCharType="begin"/>
      </w:r>
      <w:r>
        <w:instrText xml:space="preserve"> PAGEREF _Toc26468 </w:instrText>
      </w:r>
      <w:r>
        <w:fldChar w:fldCharType="separate"/>
      </w:r>
      <w:r>
        <w:t>109</w:t>
      </w:r>
      <w:r>
        <w:fldChar w:fldCharType="end"/>
      </w:r>
      <w:r>
        <w:rPr>
          <w:szCs w:val="21"/>
        </w:rPr>
        <w:fldChar w:fldCharType="end"/>
      </w:r>
    </w:p>
    <w:p>
      <w:pPr>
        <w:pStyle w:val="61"/>
        <w:tabs>
          <w:tab w:val="right" w:leader="dot" w:pos="8312"/>
        </w:tabs>
      </w:pPr>
      <w:r>
        <w:rPr>
          <w:szCs w:val="21"/>
        </w:rPr>
        <w:fldChar w:fldCharType="begin"/>
      </w:r>
      <w:r>
        <w:rPr>
          <w:szCs w:val="21"/>
        </w:rPr>
        <w:instrText xml:space="preserve"> HYPERLINK \l _Toc23753 </w:instrText>
      </w:r>
      <w:r>
        <w:rPr>
          <w:szCs w:val="21"/>
        </w:rPr>
        <w:fldChar w:fldCharType="separate"/>
      </w:r>
      <w:r>
        <w:rPr>
          <w:rFonts w:hint="eastAsia"/>
        </w:rPr>
        <w:t xml:space="preserve">8.2.5.3 </w:t>
      </w:r>
      <w:r>
        <w:rPr>
          <w:rFonts w:hint="eastAsia"/>
          <w:lang w:eastAsia="zh-CN"/>
        </w:rPr>
        <w:t>风险管理措施</w:t>
      </w:r>
      <w:r>
        <w:tab/>
      </w:r>
      <w:r>
        <w:fldChar w:fldCharType="begin"/>
      </w:r>
      <w:r>
        <w:instrText xml:space="preserve"> PAGEREF _Toc23753 </w:instrText>
      </w:r>
      <w:r>
        <w:fldChar w:fldCharType="separate"/>
      </w:r>
      <w:r>
        <w:t>110</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_Toc28124 </w:instrText>
      </w:r>
      <w:r>
        <w:rPr>
          <w:szCs w:val="21"/>
        </w:rPr>
        <w:fldChar w:fldCharType="separate"/>
      </w:r>
      <w:r>
        <w:rPr>
          <w:rFonts w:hint="eastAsia"/>
        </w:rPr>
        <w:t xml:space="preserve">8.3 </w:t>
      </w:r>
      <w:r>
        <w:rPr>
          <w:rFonts w:hint="eastAsia"/>
          <w:lang w:eastAsia="zh-CN"/>
        </w:rPr>
        <w:t>污染物治理措施一览表</w:t>
      </w:r>
      <w:r>
        <w:tab/>
      </w:r>
      <w:r>
        <w:fldChar w:fldCharType="begin"/>
      </w:r>
      <w:r>
        <w:instrText xml:space="preserve"> PAGEREF _Toc28124 </w:instrText>
      </w:r>
      <w:r>
        <w:fldChar w:fldCharType="separate"/>
      </w:r>
      <w:r>
        <w:t>110</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_Toc6345 </w:instrText>
      </w:r>
      <w:r>
        <w:rPr>
          <w:szCs w:val="21"/>
        </w:rPr>
        <w:fldChar w:fldCharType="separate"/>
      </w:r>
      <w:r>
        <w:rPr>
          <w:rFonts w:hint="eastAsia"/>
        </w:rPr>
        <w:t xml:space="preserve">9 </w:t>
      </w:r>
      <w:r>
        <w:t>建设项目环境经济损益分析</w:t>
      </w:r>
      <w:r>
        <w:tab/>
      </w:r>
      <w:r>
        <w:fldChar w:fldCharType="begin"/>
      </w:r>
      <w:r>
        <w:instrText xml:space="preserve"> PAGEREF _Toc6345 </w:instrText>
      </w:r>
      <w:r>
        <w:fldChar w:fldCharType="separate"/>
      </w:r>
      <w:r>
        <w:t>112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_Toc10181 </w:instrText>
      </w:r>
      <w:r>
        <w:rPr>
          <w:szCs w:val="21"/>
        </w:rPr>
        <w:fldChar w:fldCharType="separate"/>
      </w:r>
      <w:r>
        <w:rPr>
          <w:rFonts w:hint="eastAsia"/>
        </w:rPr>
        <w:t xml:space="preserve">9.1 </w:t>
      </w:r>
      <w:r>
        <w:rPr>
          <w:rFonts w:hint="eastAsia"/>
          <w:lang w:eastAsia="zh-CN"/>
        </w:rPr>
        <w:t>社会、经济</w:t>
      </w:r>
      <w:r>
        <w:t>效益分析</w:t>
      </w:r>
      <w:r>
        <w:tab/>
      </w:r>
      <w:r>
        <w:fldChar w:fldCharType="begin"/>
      </w:r>
      <w:r>
        <w:instrText xml:space="preserve"> PAGEREF _Toc10181 </w:instrText>
      </w:r>
      <w:r>
        <w:fldChar w:fldCharType="separate"/>
      </w:r>
      <w:r>
        <w:t>112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_Toc3323 </w:instrText>
      </w:r>
      <w:r>
        <w:rPr>
          <w:szCs w:val="21"/>
        </w:rPr>
        <w:fldChar w:fldCharType="separate"/>
      </w:r>
      <w:r>
        <w:rPr>
          <w:rFonts w:hint="eastAsia"/>
        </w:rPr>
        <w:t xml:space="preserve">9.2 </w:t>
      </w:r>
      <w:r>
        <w:rPr>
          <w:rFonts w:hint="eastAsia"/>
          <w:lang w:eastAsia="zh-CN"/>
        </w:rPr>
        <w:t>环境、经济</w:t>
      </w:r>
      <w:r>
        <w:t>效益分析</w:t>
      </w:r>
      <w:r>
        <w:tab/>
      </w:r>
      <w:r>
        <w:fldChar w:fldCharType="begin"/>
      </w:r>
      <w:r>
        <w:instrText xml:space="preserve"> PAGEREF _Toc3323 </w:instrText>
      </w:r>
      <w:r>
        <w:fldChar w:fldCharType="separate"/>
      </w:r>
      <w:r>
        <w:t>112</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_Toc8839 </w:instrText>
      </w:r>
      <w:r>
        <w:rPr>
          <w:szCs w:val="21"/>
        </w:rPr>
        <w:fldChar w:fldCharType="separate"/>
      </w:r>
      <w:r>
        <w:rPr>
          <w:rFonts w:hint="eastAsia"/>
        </w:rPr>
        <w:t xml:space="preserve">9.3 </w:t>
      </w:r>
      <w:r>
        <w:t>分析结论</w:t>
      </w:r>
      <w:r>
        <w:tab/>
      </w:r>
      <w:r>
        <w:fldChar w:fldCharType="begin"/>
      </w:r>
      <w:r>
        <w:instrText xml:space="preserve"> PAGEREF _Toc8839 </w:instrText>
      </w:r>
      <w:r>
        <w:fldChar w:fldCharType="separate"/>
      </w:r>
      <w:r>
        <w:t>113</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_Toc24392 </w:instrText>
      </w:r>
      <w:r>
        <w:rPr>
          <w:szCs w:val="21"/>
        </w:rPr>
        <w:fldChar w:fldCharType="separate"/>
      </w:r>
      <w:r>
        <w:rPr>
          <w:rFonts w:hint="eastAsia"/>
        </w:rPr>
        <w:t xml:space="preserve">10 </w:t>
      </w:r>
      <w:r>
        <w:t>环境管理及监测</w:t>
      </w:r>
      <w:r>
        <w:tab/>
      </w:r>
      <w:r>
        <w:fldChar w:fldCharType="begin"/>
      </w:r>
      <w:r>
        <w:instrText xml:space="preserve"> PAGEREF _Toc24392 </w:instrText>
      </w:r>
      <w:r>
        <w:fldChar w:fldCharType="separate"/>
      </w:r>
      <w:r>
        <w:t>114</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_Toc2569 </w:instrText>
      </w:r>
      <w:r>
        <w:rPr>
          <w:szCs w:val="21"/>
        </w:rPr>
        <w:fldChar w:fldCharType="separate"/>
      </w:r>
      <w:r>
        <w:rPr>
          <w:rFonts w:hint="eastAsia"/>
        </w:rPr>
        <w:t xml:space="preserve">10.1 </w:t>
      </w:r>
      <w:r>
        <w:t>环境管理计划</w:t>
      </w:r>
      <w:r>
        <w:tab/>
      </w:r>
      <w:r>
        <w:fldChar w:fldCharType="begin"/>
      </w:r>
      <w:r>
        <w:instrText xml:space="preserve"> PAGEREF _Toc2569 </w:instrText>
      </w:r>
      <w:r>
        <w:fldChar w:fldCharType="separate"/>
      </w:r>
      <w:r>
        <w:t>114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_Toc6957 </w:instrText>
      </w:r>
      <w:r>
        <w:rPr>
          <w:szCs w:val="21"/>
        </w:rPr>
        <w:fldChar w:fldCharType="separate"/>
      </w:r>
      <w:r>
        <w:rPr>
          <w:rFonts w:hint="eastAsia"/>
        </w:rPr>
        <w:t xml:space="preserve">10.1.1 </w:t>
      </w:r>
      <w:r>
        <w:t>施工期环境管理计划</w:t>
      </w:r>
      <w:r>
        <w:tab/>
      </w:r>
      <w:r>
        <w:fldChar w:fldCharType="begin"/>
      </w:r>
      <w:r>
        <w:instrText xml:space="preserve"> PAGEREF _Toc6957 </w:instrText>
      </w:r>
      <w:r>
        <w:fldChar w:fldCharType="separate"/>
      </w:r>
      <w:r>
        <w:t>114</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_Toc22070 </w:instrText>
      </w:r>
      <w:r>
        <w:rPr>
          <w:szCs w:val="21"/>
        </w:rPr>
        <w:fldChar w:fldCharType="separate"/>
      </w:r>
      <w:r>
        <w:rPr>
          <w:rFonts w:hint="eastAsia"/>
        </w:rPr>
        <w:t xml:space="preserve">10.1.2 </w:t>
      </w:r>
      <w:r>
        <w:t>运营期环境管理计划</w:t>
      </w:r>
      <w:r>
        <w:tab/>
      </w:r>
      <w:r>
        <w:fldChar w:fldCharType="begin"/>
      </w:r>
      <w:r>
        <w:instrText xml:space="preserve"> PAGEREF _Toc22070 </w:instrText>
      </w:r>
      <w:r>
        <w:fldChar w:fldCharType="separate"/>
      </w:r>
      <w:r>
        <w:t>115</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_Toc12717 </w:instrText>
      </w:r>
      <w:r>
        <w:rPr>
          <w:szCs w:val="21"/>
        </w:rPr>
        <w:fldChar w:fldCharType="separate"/>
      </w:r>
      <w:r>
        <w:rPr>
          <w:rFonts w:hint="eastAsia"/>
        </w:rPr>
        <w:t xml:space="preserve">10.1.3 </w:t>
      </w:r>
      <w:r>
        <w:t>环境监理</w:t>
      </w:r>
      <w:r>
        <w:tab/>
      </w:r>
      <w:r>
        <w:fldChar w:fldCharType="begin"/>
      </w:r>
      <w:r>
        <w:instrText xml:space="preserve"> PAGEREF _Toc12717 </w:instrText>
      </w:r>
      <w:r>
        <w:fldChar w:fldCharType="separate"/>
      </w:r>
      <w:r>
        <w:t>116</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_Toc12743 </w:instrText>
      </w:r>
      <w:r>
        <w:rPr>
          <w:szCs w:val="21"/>
        </w:rPr>
        <w:fldChar w:fldCharType="separate"/>
      </w:r>
      <w:r>
        <w:rPr>
          <w:rFonts w:hint="eastAsia"/>
        </w:rPr>
        <w:t xml:space="preserve">10.2 </w:t>
      </w:r>
      <w:r>
        <w:t>环境监测计划</w:t>
      </w:r>
      <w:r>
        <w:tab/>
      </w:r>
      <w:r>
        <w:fldChar w:fldCharType="begin"/>
      </w:r>
      <w:r>
        <w:instrText xml:space="preserve"> PAGEREF _Toc12743 </w:instrText>
      </w:r>
      <w:r>
        <w:fldChar w:fldCharType="separate"/>
      </w:r>
      <w:r>
        <w:t>117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_Toc4459 </w:instrText>
      </w:r>
      <w:r>
        <w:rPr>
          <w:szCs w:val="21"/>
        </w:rPr>
        <w:fldChar w:fldCharType="separate"/>
      </w:r>
      <w:r>
        <w:rPr>
          <w:rFonts w:hint="eastAsia"/>
        </w:rPr>
        <w:t xml:space="preserve">10.2.1 </w:t>
      </w:r>
      <w:r>
        <w:t>施工期环境监测计划</w:t>
      </w:r>
      <w:r>
        <w:tab/>
      </w:r>
      <w:r>
        <w:fldChar w:fldCharType="begin"/>
      </w:r>
      <w:r>
        <w:instrText xml:space="preserve"> PAGEREF _Toc4459 </w:instrText>
      </w:r>
      <w:r>
        <w:fldChar w:fldCharType="separate"/>
      </w:r>
      <w:r>
        <w:t>117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_Toc19542 </w:instrText>
      </w:r>
      <w:r>
        <w:rPr>
          <w:szCs w:val="21"/>
        </w:rPr>
        <w:fldChar w:fldCharType="separate"/>
      </w:r>
      <w:r>
        <w:rPr>
          <w:rFonts w:hint="eastAsia"/>
        </w:rPr>
        <w:t xml:space="preserve">10.2.2 </w:t>
      </w:r>
      <w:r>
        <w:t>运营期环境监测计划</w:t>
      </w:r>
      <w:r>
        <w:tab/>
      </w:r>
      <w:r>
        <w:fldChar w:fldCharType="begin"/>
      </w:r>
      <w:r>
        <w:instrText xml:space="preserve"> PAGEREF _Toc19542 </w:instrText>
      </w:r>
      <w:r>
        <w:fldChar w:fldCharType="separate"/>
      </w:r>
      <w:r>
        <w:t>117</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_Toc24829 </w:instrText>
      </w:r>
      <w:r>
        <w:rPr>
          <w:szCs w:val="21"/>
        </w:rPr>
        <w:fldChar w:fldCharType="separate"/>
      </w:r>
      <w:r>
        <w:rPr>
          <w:rFonts w:hint="eastAsia"/>
        </w:rPr>
        <w:t xml:space="preserve">10.2.3 </w:t>
      </w:r>
      <w:r>
        <w:rPr>
          <w:rFonts w:hint="eastAsia"/>
          <w:lang w:eastAsia="zh-CN"/>
        </w:rPr>
        <w:t>环境监测管理</w:t>
      </w:r>
      <w:r>
        <w:tab/>
      </w:r>
      <w:r>
        <w:fldChar w:fldCharType="begin"/>
      </w:r>
      <w:r>
        <w:instrText xml:space="preserve"> PAGEREF _Toc24829 </w:instrText>
      </w:r>
      <w:r>
        <w:fldChar w:fldCharType="separate"/>
      </w:r>
      <w:r>
        <w:t>118</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_Toc6658 </w:instrText>
      </w:r>
      <w:r>
        <w:rPr>
          <w:szCs w:val="21"/>
        </w:rPr>
        <w:fldChar w:fldCharType="separate"/>
      </w:r>
      <w:r>
        <w:rPr>
          <w:rFonts w:hint="eastAsia"/>
        </w:rPr>
        <w:t xml:space="preserve">10.3 </w:t>
      </w:r>
      <w:r>
        <w:rPr>
          <w:rFonts w:hint="eastAsia"/>
          <w:lang w:eastAsia="zh-CN"/>
        </w:rPr>
        <w:t>“三同时”竣工验收内容</w:t>
      </w:r>
      <w:r>
        <w:tab/>
      </w:r>
      <w:r>
        <w:fldChar w:fldCharType="begin"/>
      </w:r>
      <w:r>
        <w:instrText xml:space="preserve"> PAGEREF _Toc6658 </w:instrText>
      </w:r>
      <w:r>
        <w:fldChar w:fldCharType="separate"/>
      </w:r>
      <w:r>
        <w:t>118</w:t>
      </w:r>
      <w:r>
        <w:fldChar w:fldCharType="end"/>
      </w:r>
      <w:r>
        <w:rPr>
          <w:szCs w:val="21"/>
        </w:rPr>
        <w:fldChar w:fldCharType="end"/>
      </w:r>
    </w:p>
    <w:p>
      <w:pPr>
        <w:pStyle w:val="59"/>
        <w:tabs>
          <w:tab w:val="right" w:leader="dot" w:pos="8312"/>
          <w:tab w:val="clear" w:pos="8302"/>
        </w:tabs>
      </w:pPr>
      <w:r>
        <w:rPr>
          <w:szCs w:val="21"/>
        </w:rPr>
        <w:fldChar w:fldCharType="begin"/>
      </w:r>
      <w:r>
        <w:rPr>
          <w:szCs w:val="21"/>
        </w:rPr>
        <w:instrText xml:space="preserve"> HYPERLINK \l _Toc29819 </w:instrText>
      </w:r>
      <w:r>
        <w:rPr>
          <w:szCs w:val="21"/>
        </w:rPr>
        <w:fldChar w:fldCharType="separate"/>
      </w:r>
      <w:r>
        <w:rPr>
          <w:rFonts w:hint="eastAsia"/>
        </w:rPr>
        <w:t xml:space="preserve">11 </w:t>
      </w:r>
      <w:r>
        <w:t>结论与建议</w:t>
      </w:r>
      <w:r>
        <w:tab/>
      </w:r>
      <w:r>
        <w:fldChar w:fldCharType="begin"/>
      </w:r>
      <w:r>
        <w:instrText xml:space="preserve"> PAGEREF _Toc29819 </w:instrText>
      </w:r>
      <w:r>
        <w:fldChar w:fldCharType="separate"/>
      </w:r>
      <w:r>
        <w:t>121</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_Toc21798 </w:instrText>
      </w:r>
      <w:r>
        <w:rPr>
          <w:szCs w:val="21"/>
        </w:rPr>
        <w:fldChar w:fldCharType="separate"/>
      </w:r>
      <w:r>
        <w:rPr>
          <w:rFonts w:hint="eastAsia"/>
        </w:rPr>
        <w:t xml:space="preserve">11.1 </w:t>
      </w:r>
      <w:r>
        <w:t>结论</w:t>
      </w:r>
      <w:r>
        <w:tab/>
      </w:r>
      <w:r>
        <w:fldChar w:fldCharType="begin"/>
      </w:r>
      <w:r>
        <w:instrText xml:space="preserve"> PAGEREF _Toc21798 </w:instrText>
      </w:r>
      <w:r>
        <w:fldChar w:fldCharType="separate"/>
      </w:r>
      <w:r>
        <w:t>121</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_Toc8401 </w:instrText>
      </w:r>
      <w:r>
        <w:rPr>
          <w:szCs w:val="21"/>
        </w:rPr>
        <w:fldChar w:fldCharType="separate"/>
      </w:r>
      <w:r>
        <w:rPr>
          <w:rFonts w:hint="eastAsia"/>
        </w:rPr>
        <w:t xml:space="preserve">11.1.1 </w:t>
      </w:r>
      <w:r>
        <w:t>项目概况</w:t>
      </w:r>
      <w:r>
        <w:tab/>
      </w:r>
      <w:r>
        <w:fldChar w:fldCharType="begin"/>
      </w:r>
      <w:r>
        <w:instrText xml:space="preserve"> PAGEREF _Toc8401 </w:instrText>
      </w:r>
      <w:r>
        <w:fldChar w:fldCharType="separate"/>
      </w:r>
      <w:r>
        <w:t>121</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_Toc31485 </w:instrText>
      </w:r>
      <w:r>
        <w:rPr>
          <w:szCs w:val="21"/>
        </w:rPr>
        <w:fldChar w:fldCharType="separate"/>
      </w:r>
      <w:r>
        <w:rPr>
          <w:rFonts w:hint="eastAsia"/>
        </w:rPr>
        <w:t xml:space="preserve">11.1.2 </w:t>
      </w:r>
      <w:r>
        <w:t>本项目建设符合我国当前相关产业政策</w:t>
      </w:r>
      <w:r>
        <w:tab/>
      </w:r>
      <w:r>
        <w:fldChar w:fldCharType="begin"/>
      </w:r>
      <w:r>
        <w:instrText xml:space="preserve"> PAGEREF _Toc31485 </w:instrText>
      </w:r>
      <w:r>
        <w:fldChar w:fldCharType="separate"/>
      </w:r>
      <w:r>
        <w:t>121</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_Toc25186 </w:instrText>
      </w:r>
      <w:r>
        <w:rPr>
          <w:szCs w:val="21"/>
        </w:rPr>
        <w:fldChar w:fldCharType="separate"/>
      </w:r>
      <w:r>
        <w:rPr>
          <w:rFonts w:hint="eastAsia"/>
        </w:rPr>
        <w:t xml:space="preserve">11.1.3 </w:t>
      </w:r>
      <w:r>
        <w:t>本项目选址可行</w:t>
      </w:r>
      <w:r>
        <w:tab/>
      </w:r>
      <w:r>
        <w:fldChar w:fldCharType="begin"/>
      </w:r>
      <w:r>
        <w:instrText xml:space="preserve"> PAGEREF _Toc25186 </w:instrText>
      </w:r>
      <w:r>
        <w:fldChar w:fldCharType="separate"/>
      </w:r>
      <w:r>
        <w:t>121</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_Toc548 </w:instrText>
      </w:r>
      <w:r>
        <w:rPr>
          <w:szCs w:val="21"/>
        </w:rPr>
        <w:fldChar w:fldCharType="separate"/>
      </w:r>
      <w:r>
        <w:rPr>
          <w:rFonts w:hint="eastAsia"/>
        </w:rPr>
        <w:t xml:space="preserve">11.1.4 </w:t>
      </w:r>
      <w:r>
        <w:t>项目所在地环境质量现状</w:t>
      </w:r>
      <w:r>
        <w:tab/>
      </w:r>
      <w:r>
        <w:fldChar w:fldCharType="begin"/>
      </w:r>
      <w:r>
        <w:instrText xml:space="preserve"> PAGEREF _Toc548 </w:instrText>
      </w:r>
      <w:r>
        <w:fldChar w:fldCharType="separate"/>
      </w:r>
      <w:r>
        <w:t>121</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_Toc14844 </w:instrText>
      </w:r>
      <w:r>
        <w:rPr>
          <w:szCs w:val="21"/>
        </w:rPr>
        <w:fldChar w:fldCharType="separate"/>
      </w:r>
      <w:r>
        <w:rPr>
          <w:rFonts w:hint="eastAsia"/>
        </w:rPr>
        <w:t xml:space="preserve">11.1.5 </w:t>
      </w:r>
      <w:r>
        <w:rPr>
          <w:rFonts w:hint="eastAsia"/>
          <w:lang w:eastAsia="zh-CN"/>
        </w:rPr>
        <w:t>运营期环境影响分析结论</w:t>
      </w:r>
      <w:r>
        <w:tab/>
      </w:r>
      <w:r>
        <w:fldChar w:fldCharType="begin"/>
      </w:r>
      <w:r>
        <w:instrText xml:space="preserve"> PAGEREF _Toc14844 </w:instrText>
      </w:r>
      <w:r>
        <w:fldChar w:fldCharType="separate"/>
      </w:r>
      <w:r>
        <w:t>122</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_Toc16976 </w:instrText>
      </w:r>
      <w:r>
        <w:rPr>
          <w:szCs w:val="21"/>
        </w:rPr>
        <w:fldChar w:fldCharType="separate"/>
      </w:r>
      <w:r>
        <w:rPr>
          <w:rFonts w:hint="eastAsia"/>
        </w:rPr>
        <w:t xml:space="preserve">11.1.6 </w:t>
      </w:r>
      <w:r>
        <w:rPr>
          <w:rFonts w:hint="eastAsia"/>
          <w:lang w:eastAsia="zh-CN"/>
        </w:rPr>
        <w:t>总量控制结论</w:t>
      </w:r>
      <w:r>
        <w:tab/>
      </w:r>
      <w:r>
        <w:fldChar w:fldCharType="begin"/>
      </w:r>
      <w:r>
        <w:instrText xml:space="preserve"> PAGEREF _Toc16976 </w:instrText>
      </w:r>
      <w:r>
        <w:fldChar w:fldCharType="separate"/>
      </w:r>
      <w:r>
        <w:t>123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_Toc31275 </w:instrText>
      </w:r>
      <w:r>
        <w:rPr>
          <w:szCs w:val="21"/>
        </w:rPr>
        <w:fldChar w:fldCharType="separate"/>
      </w:r>
      <w:r>
        <w:rPr>
          <w:rFonts w:hint="eastAsia"/>
        </w:rPr>
        <w:t xml:space="preserve">11.1.7 </w:t>
      </w:r>
      <w:r>
        <w:rPr>
          <w:rFonts w:hint="eastAsia"/>
          <w:lang w:eastAsia="zh-CN"/>
        </w:rPr>
        <w:t>公众参与结论</w:t>
      </w:r>
      <w:r>
        <w:tab/>
      </w:r>
      <w:r>
        <w:fldChar w:fldCharType="begin"/>
      </w:r>
      <w:r>
        <w:instrText xml:space="preserve"> PAGEREF _Toc31275 </w:instrText>
      </w:r>
      <w:r>
        <w:fldChar w:fldCharType="separate"/>
      </w:r>
      <w:r>
        <w:t>123</w:t>
      </w:r>
      <w:r>
        <w:fldChar w:fldCharType="end"/>
      </w:r>
      <w:r>
        <w:rPr>
          <w:szCs w:val="21"/>
        </w:rPr>
        <w:fldChar w:fldCharType="end"/>
      </w:r>
    </w:p>
    <w:p>
      <w:pPr>
        <w:pStyle w:val="44"/>
        <w:tabs>
          <w:tab w:val="right" w:leader="dot" w:pos="8312"/>
        </w:tabs>
      </w:pPr>
      <w:r>
        <w:rPr>
          <w:szCs w:val="21"/>
        </w:rPr>
        <w:fldChar w:fldCharType="begin"/>
      </w:r>
      <w:r>
        <w:rPr>
          <w:szCs w:val="21"/>
        </w:rPr>
        <w:instrText xml:space="preserve"> HYPERLINK \l _Toc32452 </w:instrText>
      </w:r>
      <w:r>
        <w:rPr>
          <w:szCs w:val="21"/>
        </w:rPr>
        <w:fldChar w:fldCharType="separate"/>
      </w:r>
      <w:r>
        <w:rPr>
          <w:rFonts w:hint="eastAsia"/>
        </w:rPr>
        <w:t xml:space="preserve">11.1.8 </w:t>
      </w:r>
      <w:r>
        <w:rPr>
          <w:rFonts w:hint="eastAsia"/>
          <w:lang w:eastAsia="zh-CN"/>
        </w:rPr>
        <w:t>结论</w:t>
      </w:r>
      <w:r>
        <w:tab/>
      </w:r>
      <w:r>
        <w:fldChar w:fldCharType="begin"/>
      </w:r>
      <w:r>
        <w:instrText xml:space="preserve"> PAGEREF _Toc32452 </w:instrText>
      </w:r>
      <w:r>
        <w:fldChar w:fldCharType="separate"/>
      </w:r>
      <w:r>
        <w:t>124</w:t>
      </w:r>
      <w:r>
        <w:fldChar w:fldCharType="end"/>
      </w:r>
      <w:r>
        <w:rPr>
          <w:szCs w:val="21"/>
        </w:rPr>
        <w:fldChar w:fldCharType="end"/>
      </w:r>
    </w:p>
    <w:p>
      <w:pPr>
        <w:pStyle w:val="74"/>
        <w:tabs>
          <w:tab w:val="right" w:leader="dot" w:pos="8312"/>
        </w:tabs>
      </w:pPr>
      <w:r>
        <w:rPr>
          <w:szCs w:val="21"/>
        </w:rPr>
        <w:fldChar w:fldCharType="begin"/>
      </w:r>
      <w:r>
        <w:rPr>
          <w:szCs w:val="21"/>
        </w:rPr>
        <w:instrText xml:space="preserve"> HYPERLINK \l _Toc20590 </w:instrText>
      </w:r>
      <w:r>
        <w:rPr>
          <w:szCs w:val="21"/>
        </w:rPr>
        <w:fldChar w:fldCharType="separate"/>
      </w:r>
      <w:r>
        <w:rPr>
          <w:rFonts w:hint="eastAsia"/>
        </w:rPr>
        <w:t xml:space="preserve">11.2 </w:t>
      </w:r>
      <w:r>
        <w:rPr>
          <w:rFonts w:hint="eastAsia"/>
          <w:lang w:eastAsia="zh-CN"/>
        </w:rPr>
        <w:t>建议与要求</w:t>
      </w:r>
      <w:r>
        <w:tab/>
      </w:r>
      <w:r>
        <w:fldChar w:fldCharType="begin"/>
      </w:r>
      <w:r>
        <w:instrText xml:space="preserve"> PAGEREF _Toc20590 </w:instrText>
      </w:r>
      <w:r>
        <w:fldChar w:fldCharType="separate"/>
      </w:r>
      <w:r>
        <w:t>124</w:t>
      </w:r>
      <w:r>
        <w:fldChar w:fldCharType="end"/>
      </w:r>
      <w:r>
        <w:rPr>
          <w:szCs w:val="21"/>
        </w:rPr>
        <w:fldChar w:fldCharType="end"/>
      </w:r>
    </w:p>
    <w:p>
      <w:pPr>
        <w:spacing w:line="360" w:lineRule="auto"/>
        <w:jc w:val="center"/>
        <w:rPr>
          <w:rFonts w:eastAsia="黑体"/>
          <w:sz w:val="32"/>
          <w:szCs w:val="32"/>
        </w:rPr>
      </w:pPr>
      <w:r>
        <w:rPr>
          <w:szCs w:val="21"/>
        </w:rPr>
        <w:fldChar w:fldCharType="end"/>
      </w:r>
    </w:p>
    <w:p>
      <w:pPr>
        <w:spacing w:line="360" w:lineRule="auto"/>
        <w:jc w:val="center"/>
        <w:rPr>
          <w:rFonts w:eastAsia="黑体"/>
          <w:sz w:val="32"/>
          <w:szCs w:val="32"/>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425" w:num="1"/>
          <w:docGrid w:linePitch="312" w:charSpace="0"/>
        </w:sectPr>
      </w:pPr>
    </w:p>
    <w:p>
      <w:pPr>
        <w:pStyle w:val="4"/>
        <w:spacing w:before="240" w:after="240"/>
      </w:pPr>
      <w:bookmarkStart w:id="26" w:name="_Toc28952"/>
      <w:r>
        <w:t>前言</w:t>
      </w:r>
      <w:bookmarkEnd w:id="26"/>
    </w:p>
    <w:p>
      <w:pPr>
        <w:pStyle w:val="5"/>
        <w:spacing w:before="120" w:after="120"/>
      </w:pPr>
      <w:bookmarkStart w:id="27" w:name="_Toc248308483"/>
      <w:bookmarkStart w:id="28" w:name="_Toc133825620"/>
      <w:bookmarkStart w:id="29" w:name="_Toc124332531"/>
      <w:bookmarkStart w:id="30" w:name="_Toc128904951"/>
      <w:bookmarkStart w:id="31" w:name="_Toc137734557"/>
      <w:bookmarkStart w:id="32" w:name="_Toc178061198"/>
      <w:bookmarkStart w:id="33" w:name="_Toc128446316"/>
      <w:bookmarkStart w:id="34" w:name="_Toc133825659"/>
      <w:bookmarkStart w:id="35" w:name="_Toc128446279"/>
      <w:bookmarkStart w:id="36" w:name="_Toc196880386"/>
      <w:bookmarkStart w:id="37" w:name="_Toc4754"/>
      <w:r>
        <w:t>项目由来</w:t>
      </w:r>
      <w:bookmarkEnd w:id="0"/>
      <w:bookmarkEnd w:id="27"/>
      <w:bookmarkEnd w:id="28"/>
      <w:bookmarkEnd w:id="29"/>
      <w:bookmarkEnd w:id="30"/>
      <w:bookmarkEnd w:id="31"/>
      <w:bookmarkEnd w:id="32"/>
      <w:bookmarkEnd w:id="33"/>
      <w:bookmarkEnd w:id="34"/>
      <w:bookmarkEnd w:id="35"/>
      <w:bookmarkEnd w:id="36"/>
      <w:bookmarkEnd w:id="37"/>
    </w:p>
    <w:p>
      <w:pPr>
        <w:pStyle w:val="22"/>
        <w:spacing w:line="360" w:lineRule="auto"/>
        <w:ind w:firstLine="480"/>
        <w:rPr>
          <w:rFonts w:hint="eastAsia"/>
          <w:sz w:val="24"/>
          <w:lang w:val="en-US" w:eastAsia="zh-CN"/>
        </w:rPr>
      </w:pPr>
      <w:r>
        <w:rPr>
          <w:rFonts w:hint="eastAsia"/>
          <w:sz w:val="24"/>
          <w:lang w:val="en-US" w:eastAsia="zh-CN"/>
        </w:rPr>
        <w:t xml:space="preserve">我国是肉类生产和消费大国，肉类总产量占世界总产量三分之一左右，其中猪肉占到一半以上。根据国家统计局数据，2018年我国肉类总产量8517万吨，其中，羊肉产量475.07万吨，牛肉产量644.06万吨，猪肉产量5404万吨。但是随着2018年8月非洲猪瘟的爆发，我国肉类市场遭受动荡，随着时间的变化疫情并没有得到很好的控制致使猪肉供应严重下滑，连带其他肉类需求上涨，价格也随之上涨。 </w:t>
      </w:r>
    </w:p>
    <w:p>
      <w:pPr>
        <w:pStyle w:val="22"/>
        <w:spacing w:line="360" w:lineRule="auto"/>
        <w:ind w:firstLine="480"/>
        <w:rPr>
          <w:rFonts w:hint="eastAsia"/>
          <w:sz w:val="24"/>
          <w:lang w:eastAsia="zh-CN"/>
        </w:rPr>
      </w:pPr>
      <w:r>
        <w:rPr>
          <w:rFonts w:hint="eastAsia"/>
          <w:sz w:val="24"/>
          <w:lang w:val="en-US" w:eastAsia="zh-CN"/>
        </w:rPr>
        <w:t>近年来，特别是2018年以来，我国牛肉产品价格高位运行，鲜肉、冷冻肉基本维持在70元/kg以上，严重影响了人民群众的正常生活、影响了社会稳定，给国民经济带来了通货膨胀的巨大压力。为了促使这一矛盾得到解决，党中央、国务院和各级党委政府决定大力发展畜牧业，确保市场有效供给，正常市场畜禽产品价格，维护社会稳定。</w:t>
      </w:r>
      <w:r>
        <w:rPr>
          <w:rFonts w:hint="eastAsia"/>
          <w:sz w:val="24"/>
          <w:lang w:eastAsia="zh-CN"/>
        </w:rPr>
        <w:t>先后出台了《</w:t>
      </w:r>
      <w:r>
        <w:rPr>
          <w:rFonts w:hint="eastAsia"/>
          <w:sz w:val="24"/>
          <w:lang w:val="en-US" w:eastAsia="zh-CN"/>
        </w:rPr>
        <w:t>关于家禽等养殖业发展增加肉蛋产品供应的通知</w:t>
      </w:r>
      <w:r>
        <w:rPr>
          <w:rFonts w:hint="eastAsia"/>
          <w:sz w:val="24"/>
          <w:lang w:eastAsia="zh-CN"/>
        </w:rPr>
        <w:t>》、《关于印发2019年工作要点的通知》、</w:t>
      </w:r>
      <w:r>
        <w:rPr>
          <w:rFonts w:hint="eastAsia"/>
          <w:sz w:val="24"/>
          <w:lang w:val="en-US" w:eastAsia="zh-CN"/>
        </w:rPr>
        <w:t>《2019年畜牧兽医工作要点》、</w:t>
      </w:r>
      <w:r>
        <w:rPr>
          <w:rFonts w:hint="eastAsia"/>
          <w:sz w:val="24"/>
          <w:lang w:eastAsia="zh-CN"/>
        </w:rPr>
        <w:t>《关于加快推进畜禽养殖废弃物资源化利用的意见》等政策文件提出，要打好非洲猪瘟防控攻坚战，要加快推进现代畜牧业、现代饲料工业和现代畜禽牧草种业高质量发展，严格落实畜牧法、畜禽规模养殖污染防治条例等法律法规要求，优化和促进家禽牛羊和水产养殖业发展，加快农业供给侧结构性改革，满足广大群众对动物蛋白多样化需求。</w:t>
      </w:r>
    </w:p>
    <w:p>
      <w:pPr>
        <w:pStyle w:val="22"/>
        <w:spacing w:line="360" w:lineRule="auto"/>
        <w:ind w:firstLine="480"/>
        <w:rPr>
          <w:rFonts w:hint="eastAsia"/>
          <w:sz w:val="24"/>
          <w:lang w:eastAsia="zh-CN"/>
        </w:rPr>
      </w:pPr>
      <w:r>
        <w:rPr>
          <w:rFonts w:hint="eastAsia"/>
          <w:sz w:val="24"/>
          <w:lang w:eastAsia="zh-CN"/>
        </w:rPr>
        <w:t>牛肉属于高蛋白、低脂肪食品，肉牛处于动物生态链的最前端，所需饲料主要为粮食作物秸秆和牧草，较少污染，对人体危害较少，所以，近年来国际、国内市场牛肉食品价格一路稳步上扬，而且受非洲猪瘟的影响，作为猪肉的替代品其价格上涨更甚。另外，牛肉通过加工，无病原菌和病毒存在，消除了人们消费的恐惧，国际、国内市场对牛肉制品的消费需求倍增。</w:t>
      </w:r>
    </w:p>
    <w:p>
      <w:pPr>
        <w:pStyle w:val="22"/>
        <w:spacing w:line="360" w:lineRule="auto"/>
        <w:ind w:firstLine="480"/>
        <w:rPr>
          <w:rFonts w:hint="eastAsia"/>
          <w:sz w:val="24"/>
          <w:lang w:eastAsia="zh-CN"/>
        </w:rPr>
      </w:pPr>
      <w:r>
        <w:rPr>
          <w:rFonts w:hint="eastAsia"/>
          <w:sz w:val="24"/>
          <w:lang w:eastAsia="zh-CN"/>
        </w:rPr>
        <w:t>传统畜牧养殖业经营模式只能短时间的解决肉类短缺的困境，不具有更为长远的竞争优势，要获得更大的优势与市场竞争力就必须大力发展畜牧产品的深加工，努力提高畜牧产品的附加值，促进义龙新区的畜牧养殖业的产业结构的调整，延长产业链条。贵州兴牛</w:t>
      </w:r>
      <w:r>
        <w:rPr>
          <w:rFonts w:hint="eastAsia"/>
          <w:sz w:val="24"/>
          <w:lang w:val="en-US" w:eastAsia="zh-CN"/>
        </w:rPr>
        <w:t>肉类食品</w:t>
      </w:r>
      <w:r>
        <w:rPr>
          <w:rFonts w:hint="eastAsia"/>
          <w:sz w:val="24"/>
          <w:lang w:eastAsia="zh-CN"/>
        </w:rPr>
        <w:t>有限公司（</w:t>
      </w:r>
      <w:r>
        <w:rPr>
          <w:rFonts w:hint="eastAsia"/>
          <w:sz w:val="24"/>
          <w:lang w:val="en-US" w:eastAsia="zh-CN"/>
        </w:rPr>
        <w:t>文后简称“兴牛肉食”</w:t>
      </w:r>
      <w:r>
        <w:rPr>
          <w:rFonts w:hint="eastAsia"/>
          <w:sz w:val="24"/>
          <w:lang w:eastAsia="zh-CN"/>
        </w:rPr>
        <w:t>）立足食品安全和健康农业，发展开拓大联合、大合作、大组织的农业管理与治理方式，致力建设国际现代农业产业投行，成为产业价值链组织者和管理商，</w:t>
      </w:r>
      <w:r>
        <w:rPr>
          <w:rFonts w:hint="eastAsia"/>
          <w:sz w:val="24"/>
          <w:lang w:val="en-US" w:eastAsia="zh-CN"/>
        </w:rPr>
        <w:t>兴牛肉食拟投资25004.5万元建设黔西南州义龙新区“中国万屯”肉牛屠宰深加工项目。</w:t>
      </w:r>
      <w:r>
        <w:rPr>
          <w:rFonts w:hint="eastAsia"/>
          <w:sz w:val="24"/>
          <w:lang w:eastAsia="zh-CN"/>
        </w:rPr>
        <w:t>本项目的实施，顺应产业和市场发展要求和趋势，对义龙新区农业产业结构的调整，增加税收，助推贫困户脱贫均具有积极意义。</w:t>
      </w:r>
    </w:p>
    <w:p>
      <w:pPr>
        <w:pStyle w:val="1841"/>
        <w:spacing w:line="360" w:lineRule="auto"/>
        <w:ind w:firstLine="468"/>
      </w:pPr>
      <w:r>
        <w:t>根据</w:t>
      </w:r>
      <w:r>
        <w:rPr>
          <w:rFonts w:hint="eastAsia"/>
          <w:lang w:val="en-US" w:eastAsia="zh-CN"/>
        </w:rPr>
        <w:t>黔西南州义龙试验区发展和改革局</w:t>
      </w:r>
      <w:r>
        <w:t>文件</w:t>
      </w:r>
      <w:r>
        <w:rPr>
          <w:rFonts w:hint="eastAsia"/>
          <w:lang w:eastAsia="zh-CN"/>
        </w:rPr>
        <w:t>（</w:t>
      </w:r>
      <w:r>
        <w:rPr>
          <w:rFonts w:hint="eastAsia"/>
          <w:lang w:val="en-US" w:eastAsia="zh-CN"/>
        </w:rPr>
        <w:t>贵州省企业投资项目备案证明，项目编码：2019-522391-13-03-144866</w:t>
      </w:r>
      <w:r>
        <w:rPr>
          <w:rFonts w:hint="eastAsia"/>
          <w:lang w:eastAsia="zh-CN"/>
        </w:rPr>
        <w:t>）</w:t>
      </w:r>
      <w:r>
        <w:t>，</w:t>
      </w:r>
      <w:r>
        <w:rPr>
          <w:rFonts w:hint="eastAsia"/>
          <w:lang w:eastAsia="zh-CN"/>
        </w:rPr>
        <w:t>《</w:t>
      </w:r>
      <w:r>
        <w:rPr>
          <w:rFonts w:hint="eastAsia"/>
          <w:lang w:val="en-US" w:eastAsia="zh-CN"/>
        </w:rPr>
        <w:t>黔西南州义龙新区“中国万屯”肉牛屠宰深加工项目</w:t>
      </w:r>
      <w:r>
        <w:rPr>
          <w:rFonts w:hint="eastAsia"/>
          <w:lang w:eastAsia="zh-CN"/>
        </w:rPr>
        <w:t>》</w:t>
      </w:r>
      <w:r>
        <w:rPr>
          <w:rFonts w:hint="eastAsia"/>
          <w:lang w:val="en-US" w:eastAsia="zh-CN"/>
        </w:rPr>
        <w:t>已经于2019年12月24日通过当地发改委备案，</w:t>
      </w:r>
      <w:r>
        <w:t>详见附件 1。</w:t>
      </w:r>
    </w:p>
    <w:p>
      <w:pPr>
        <w:pStyle w:val="22"/>
        <w:spacing w:line="360" w:lineRule="auto"/>
        <w:ind w:firstLine="480"/>
        <w:rPr>
          <w:rFonts w:hint="eastAsia" w:eastAsia="宋体"/>
          <w:sz w:val="24"/>
          <w:lang w:eastAsia="zh-CN"/>
        </w:rPr>
      </w:pPr>
      <w:r>
        <w:rPr>
          <w:sz w:val="24"/>
        </w:rPr>
        <w:t>根据《中华人民共和国环境保护法》、《中华人民共和国环境影响评价法》</w:t>
      </w:r>
      <w:r>
        <w:rPr>
          <w:rFonts w:hint="eastAsia"/>
          <w:sz w:val="24"/>
          <w:lang w:eastAsia="zh-CN"/>
        </w:rPr>
        <w:t>、《建设项目环境保护管理条例》（第 682 号令）和《建设项目环境影响评价分类管理名录》（部令第 44 号）有关规定《关于修改〈建设项目环境影响评价分类管理名录〉部分内容的决定》（生态环境部令 部令 第 1 号)，“年屠宰生猪 10 万头、肉牛 1 万头、肉羊15 万只、禽类 1000 万只及以上”的屠宰项目应编制环境影响报告书，贵州兴牛</w:t>
      </w:r>
      <w:r>
        <w:rPr>
          <w:rFonts w:hint="eastAsia"/>
          <w:sz w:val="24"/>
          <w:lang w:val="en-US" w:eastAsia="zh-CN"/>
        </w:rPr>
        <w:t>肉类食品</w:t>
      </w:r>
      <w:r>
        <w:rPr>
          <w:rFonts w:hint="eastAsia"/>
          <w:sz w:val="24"/>
          <w:lang w:eastAsia="zh-CN"/>
        </w:rPr>
        <w:t>有限公司</w:t>
      </w:r>
      <w:r>
        <w:rPr>
          <w:sz w:val="24"/>
        </w:rPr>
        <w:t>委托</w:t>
      </w:r>
      <w:r>
        <w:rPr>
          <w:rFonts w:hint="eastAsia"/>
          <w:sz w:val="24"/>
          <w:lang w:eastAsia="zh-CN"/>
        </w:rPr>
        <w:t>贵州博远环咨科技有限公司</w:t>
      </w:r>
      <w:r>
        <w:rPr>
          <w:sz w:val="24"/>
        </w:rPr>
        <w:t>承担“</w:t>
      </w:r>
      <w:r>
        <w:rPr>
          <w:rFonts w:hint="eastAsia"/>
          <w:sz w:val="24"/>
          <w:lang w:val="en-US" w:eastAsia="zh-CN"/>
        </w:rPr>
        <w:t>黔西南州义龙新区“中国万屯”肉牛屠宰深加工项目</w:t>
      </w:r>
      <w:r>
        <w:rPr>
          <w:sz w:val="24"/>
        </w:rPr>
        <w:t>”环境影响评价工作</w:t>
      </w:r>
      <w:r>
        <w:rPr>
          <w:rFonts w:hint="eastAsia"/>
          <w:sz w:val="24"/>
          <w:lang w:eastAsia="zh-CN"/>
        </w:rPr>
        <w:t>，</w:t>
      </w:r>
      <w:r>
        <w:rPr>
          <w:sz w:val="24"/>
        </w:rPr>
        <w:t>最终于20</w:t>
      </w:r>
      <w:r>
        <w:rPr>
          <w:rFonts w:hint="eastAsia"/>
          <w:sz w:val="24"/>
          <w:lang w:val="en-US" w:eastAsia="zh-CN"/>
        </w:rPr>
        <w:t>20</w:t>
      </w:r>
      <w:r>
        <w:rPr>
          <w:sz w:val="24"/>
        </w:rPr>
        <w:t>年</w:t>
      </w:r>
      <w:r>
        <w:rPr>
          <w:rFonts w:hint="eastAsia"/>
          <w:sz w:val="24"/>
          <w:lang w:val="en-US" w:eastAsia="zh-CN"/>
        </w:rPr>
        <w:t>7</w:t>
      </w:r>
      <w:r>
        <w:rPr>
          <w:sz w:val="24"/>
        </w:rPr>
        <w:t>月编制完成了《</w:t>
      </w:r>
      <w:r>
        <w:rPr>
          <w:rFonts w:hint="eastAsia"/>
          <w:sz w:val="24"/>
          <w:lang w:val="en-US" w:eastAsia="zh-CN"/>
        </w:rPr>
        <w:t>黔西南州义龙新区“中国万屯”肉牛屠宰深加工</w:t>
      </w:r>
      <w:r>
        <w:rPr>
          <w:sz w:val="24"/>
        </w:rPr>
        <w:t>项目环境影响报告书》（送审稿），现报送黔西南州环保局，敬请审查；经审查批复后作为环保工程设计及环境管理的依据。</w:t>
      </w:r>
    </w:p>
    <w:p>
      <w:pPr>
        <w:pStyle w:val="5"/>
        <w:spacing w:before="120" w:after="120"/>
      </w:pPr>
      <w:bookmarkStart w:id="38" w:name="_Toc18214"/>
      <w:bookmarkStart w:id="39" w:name="_Toc332008913"/>
      <w:r>
        <w:t>项目的特点</w:t>
      </w:r>
      <w:bookmarkEnd w:id="38"/>
    </w:p>
    <w:p>
      <w:pPr>
        <w:pStyle w:val="1659"/>
        <w:rPr>
          <w:rFonts w:hint="default" w:eastAsia="宋体"/>
          <w:lang w:val="en-US" w:eastAsia="zh-CN"/>
        </w:rPr>
      </w:pPr>
      <w:r>
        <w:rPr>
          <w:rFonts w:hint="eastAsia"/>
          <w:lang w:val="en-US" w:eastAsia="zh-CN"/>
        </w:rPr>
        <w:t>项目建成后形成年屠宰肉牛3万头，实现肉牛（冷鲜肉）销售6750吨，行业类别为畜禽屠宰C1351，项目性质属于新建。</w:t>
      </w:r>
    </w:p>
    <w:p>
      <w:pPr>
        <w:pStyle w:val="1659"/>
        <w:rPr>
          <w:rFonts w:hint="default" w:eastAsia="宋体"/>
          <w:lang w:val="en-US" w:eastAsia="zh-CN"/>
        </w:rPr>
      </w:pPr>
      <w:r>
        <w:rPr>
          <w:rFonts w:hint="eastAsia"/>
          <w:lang w:val="en-US" w:eastAsia="zh-CN"/>
        </w:rPr>
        <w:t>项目营运期产生的污染物主要以废水、恶臭气体、固体废物和设备运行噪声为主，其中废水、恶臭及固体废物为评价重点。</w:t>
      </w:r>
    </w:p>
    <w:bookmarkEnd w:id="39"/>
    <w:p>
      <w:pPr>
        <w:pStyle w:val="5"/>
        <w:spacing w:before="120" w:after="120"/>
      </w:pPr>
      <w:bookmarkStart w:id="40" w:name="_Toc788"/>
      <w:r>
        <w:rPr>
          <w:rFonts w:hint="eastAsia"/>
          <w:lang w:eastAsia="zh-CN"/>
        </w:rPr>
        <w:t>分析判定情况</w:t>
      </w:r>
      <w:bookmarkEnd w:id="40"/>
    </w:p>
    <w:p>
      <w:pPr>
        <w:pStyle w:val="6"/>
        <w:ind w:left="894" w:hanging="894" w:hangingChars="298"/>
        <w:rPr>
          <w:szCs w:val="28"/>
        </w:rPr>
      </w:pPr>
      <w:bookmarkStart w:id="41" w:name="_Toc5175"/>
      <w:r>
        <w:rPr>
          <w:rFonts w:hint="eastAsia"/>
          <w:szCs w:val="28"/>
          <w:lang w:eastAsia="zh-CN"/>
        </w:rPr>
        <w:t>产业政策合理性分析</w:t>
      </w:r>
      <w:bookmarkEnd w:id="41"/>
    </w:p>
    <w:p>
      <w:pPr>
        <w:pStyle w:val="22"/>
        <w:spacing w:line="360" w:lineRule="auto"/>
        <w:ind w:firstLine="480"/>
        <w:rPr>
          <w:sz w:val="24"/>
        </w:rPr>
      </w:pPr>
      <w:r>
        <w:rPr>
          <w:sz w:val="24"/>
        </w:rPr>
        <w:t>对照《产业结构调整指导目录（201</w:t>
      </w:r>
      <w:r>
        <w:rPr>
          <w:rFonts w:hint="eastAsia"/>
          <w:sz w:val="24"/>
          <w:lang w:val="en-US" w:eastAsia="zh-CN"/>
        </w:rPr>
        <w:t>9</w:t>
      </w:r>
      <w:r>
        <w:rPr>
          <w:sz w:val="24"/>
        </w:rPr>
        <w:t>年本）》（国家发改委第2</w:t>
      </w:r>
      <w:r>
        <w:rPr>
          <w:rFonts w:hint="eastAsia"/>
          <w:sz w:val="24"/>
          <w:lang w:val="en-US" w:eastAsia="zh-CN"/>
        </w:rPr>
        <w:t>9</w:t>
      </w:r>
      <w:r>
        <w:rPr>
          <w:sz w:val="24"/>
        </w:rPr>
        <w:t>号令）</w:t>
      </w:r>
      <w:r>
        <w:rPr>
          <w:rFonts w:hint="eastAsia"/>
          <w:sz w:val="24"/>
          <w:lang w:eastAsia="zh-CN"/>
        </w:rPr>
        <w:t>，</w:t>
      </w:r>
      <w:r>
        <w:rPr>
          <w:sz w:val="24"/>
        </w:rPr>
        <w:t>本项目</w:t>
      </w:r>
      <w:r>
        <w:rPr>
          <w:rFonts w:hint="eastAsia"/>
          <w:sz w:val="24"/>
          <w:lang w:val="en-US" w:eastAsia="zh-CN"/>
        </w:rPr>
        <w:t>建成后将年屠宰肉牛3万头，行业类别属于C1351畜禽屠宰，不属于限制类和淘汰类，</w:t>
      </w:r>
      <w:r>
        <w:rPr>
          <w:sz w:val="24"/>
        </w:rPr>
        <w:t>属于</w:t>
      </w:r>
      <w:r>
        <w:rPr>
          <w:rFonts w:hint="eastAsia"/>
          <w:sz w:val="24"/>
          <w:lang w:val="en-US" w:eastAsia="zh-CN"/>
        </w:rPr>
        <w:t>允许</w:t>
      </w:r>
      <w:r>
        <w:rPr>
          <w:sz w:val="24"/>
        </w:rPr>
        <w:t>类项目</w:t>
      </w:r>
      <w:r>
        <w:rPr>
          <w:rFonts w:hint="eastAsia"/>
          <w:sz w:val="24"/>
        </w:rPr>
        <w:t>，</w:t>
      </w:r>
      <w:r>
        <w:rPr>
          <w:rFonts w:hint="eastAsia"/>
          <w:sz w:val="24"/>
          <w:lang w:val="en-US" w:eastAsia="zh-CN"/>
        </w:rPr>
        <w:t>项目建设已通过黔西南州义龙新区发展和改革委员会备案，</w:t>
      </w:r>
      <w:r>
        <w:rPr>
          <w:sz w:val="24"/>
        </w:rPr>
        <w:t>因此本项目建设符合国家产业政策。</w:t>
      </w:r>
    </w:p>
    <w:p>
      <w:pPr>
        <w:pStyle w:val="22"/>
        <w:spacing w:line="360" w:lineRule="auto"/>
        <w:ind w:firstLine="480"/>
        <w:rPr>
          <w:sz w:val="24"/>
        </w:rPr>
      </w:pPr>
      <w:r>
        <w:rPr>
          <w:sz w:val="24"/>
        </w:rPr>
        <w:t>本项目符合《</w:t>
      </w:r>
      <w:r>
        <w:rPr>
          <w:sz w:val="24"/>
        </w:rPr>
        <w:fldChar w:fldCharType="begin"/>
      </w:r>
      <w:r>
        <w:rPr>
          <w:sz w:val="24"/>
        </w:rPr>
        <w:instrText xml:space="preserve"> HYPERLINK "https://baike.baidu.com/item/%E2%80%9C%E5%8D%81%E4%B8%89%E4%BA%94%E2%80%9D%E5%9B%BD%E5%AE%B6%E9%A3%9F%E5%93%81%E5%AE%89%E5%85%A8%E8%A7%84%E5%88%92/20360343" \h </w:instrText>
      </w:r>
      <w:r>
        <w:rPr>
          <w:sz w:val="24"/>
        </w:rPr>
        <w:fldChar w:fldCharType="separate"/>
      </w:r>
      <w:r>
        <w:rPr>
          <w:sz w:val="24"/>
        </w:rPr>
        <w:t>“十三五”国家食品安全规划</w:t>
      </w:r>
      <w:r>
        <w:rPr>
          <w:sz w:val="24"/>
        </w:rPr>
        <w:fldChar w:fldCharType="end"/>
      </w:r>
      <w:r>
        <w:rPr>
          <w:sz w:val="24"/>
        </w:rPr>
        <w:t>》国发【2017】12 号要求，建立最严谨的食品安全标准体系。加快制修订产业发展和监管急需的食品基础标准、产品标准、配套检验方法标准、生产经营卫生规范等。鼓励食品生产企业制定严于食品安全国家标准、地方标准的企业标准，鼓励行业协会制定严于食品安全国家标准的团体标准。整合建设监测抽检数据库和食品毒理学数据库，提升标准基础研究水平，项目建设有利于普安县食品安全把控，并建设严谨的食品安全标准检测体系，项目符合《</w:t>
      </w:r>
      <w:r>
        <w:rPr>
          <w:sz w:val="24"/>
        </w:rPr>
        <w:fldChar w:fldCharType="begin"/>
      </w:r>
      <w:r>
        <w:rPr>
          <w:sz w:val="24"/>
        </w:rPr>
        <w:instrText xml:space="preserve"> HYPERLINK "https://baike.baidu.com/item/%E2%80%9C%E5%8D%81%E4%B8%89%E4%BA%94%E2%80%9D%E5%9B%BD%E5%AE%B6%E9%A3%9F%E5%93%81%E5%AE%89%E5%85%A8%E8%A7%84%E5%88%92/20360343" \h </w:instrText>
      </w:r>
      <w:r>
        <w:rPr>
          <w:sz w:val="24"/>
        </w:rPr>
        <w:fldChar w:fldCharType="separate"/>
      </w:r>
      <w:r>
        <w:rPr>
          <w:sz w:val="24"/>
        </w:rPr>
        <w:t>“十</w:t>
      </w:r>
      <w:r>
        <w:rPr>
          <w:sz w:val="24"/>
        </w:rPr>
        <w:fldChar w:fldCharType="end"/>
      </w:r>
      <w:r>
        <w:rPr>
          <w:sz w:val="24"/>
        </w:rPr>
        <w:fldChar w:fldCharType="begin"/>
      </w:r>
      <w:r>
        <w:rPr>
          <w:sz w:val="24"/>
        </w:rPr>
        <w:instrText xml:space="preserve"> HYPERLINK "https://baike.baidu.com/item/%E2%80%9C%E5%8D%81%E4%B8%89%E4%BA%94%E2%80%9D%E5%9B%BD%E5%AE%B6%E9%A3%9F%E5%93%81%E5%AE%89%E5%85%A8%E8%A7%84%E5%88%92/20360343" \h </w:instrText>
      </w:r>
      <w:r>
        <w:rPr>
          <w:sz w:val="24"/>
        </w:rPr>
        <w:fldChar w:fldCharType="separate"/>
      </w:r>
      <w:r>
        <w:rPr>
          <w:sz w:val="24"/>
        </w:rPr>
        <w:t>三五”国家食品安全规划</w:t>
      </w:r>
      <w:r>
        <w:rPr>
          <w:sz w:val="24"/>
        </w:rPr>
        <w:fldChar w:fldCharType="end"/>
      </w:r>
      <w:r>
        <w:rPr>
          <w:sz w:val="24"/>
        </w:rPr>
        <w:t>》国发【2017】12号要求。</w:t>
      </w:r>
    </w:p>
    <w:p>
      <w:pPr>
        <w:pStyle w:val="6"/>
        <w:ind w:left="894" w:hanging="894" w:hangingChars="298"/>
        <w:rPr>
          <w:szCs w:val="28"/>
        </w:rPr>
      </w:pPr>
      <w:bookmarkStart w:id="42" w:name="_Toc23607"/>
      <w:r>
        <w:rPr>
          <w:rFonts w:hint="eastAsia"/>
          <w:szCs w:val="28"/>
          <w:lang w:eastAsia="zh-CN"/>
        </w:rPr>
        <w:t>项目建设与“三线一单”符合性分析</w:t>
      </w:r>
      <w:bookmarkEnd w:id="42"/>
    </w:p>
    <w:p>
      <w:pPr>
        <w:snapToGrid w:val="0"/>
        <w:spacing w:line="360" w:lineRule="auto"/>
        <w:ind w:firstLine="480" w:firstLineChars="200"/>
        <w:rPr>
          <w:sz w:val="24"/>
        </w:rPr>
      </w:pPr>
      <w:r>
        <w:rPr>
          <w:rFonts w:hint="eastAsia"/>
          <w:sz w:val="24"/>
          <w:lang w:eastAsia="zh-CN"/>
        </w:rPr>
        <w:t>（</w:t>
      </w:r>
      <w:r>
        <w:rPr>
          <w:sz w:val="24"/>
        </w:rPr>
        <w:t>1</w:t>
      </w:r>
      <w:r>
        <w:rPr>
          <w:rFonts w:hint="eastAsia"/>
          <w:sz w:val="24"/>
          <w:lang w:eastAsia="zh-CN"/>
        </w:rPr>
        <w:t>）</w:t>
      </w:r>
      <w:r>
        <w:rPr>
          <w:sz w:val="24"/>
        </w:rPr>
        <w:t>生态保护红线</w:t>
      </w:r>
    </w:p>
    <w:p>
      <w:pPr>
        <w:snapToGrid w:val="0"/>
        <w:spacing w:line="360" w:lineRule="auto"/>
        <w:ind w:firstLine="480" w:firstLineChars="200"/>
        <w:rPr>
          <w:sz w:val="24"/>
        </w:rPr>
      </w:pPr>
      <w:r>
        <w:rPr>
          <w:rFonts w:hint="default"/>
          <w:sz w:val="24"/>
          <w:lang w:val="en-US" w:eastAsia="zh-CN"/>
        </w:rPr>
        <w:t>“</w:t>
      </w:r>
      <w:r>
        <w:rPr>
          <w:rFonts w:hint="eastAsia"/>
          <w:sz w:val="24"/>
          <w:lang w:val="en-US" w:eastAsia="zh-CN"/>
        </w:rPr>
        <w:t>生态保护红线</w:t>
      </w:r>
      <w:r>
        <w:rPr>
          <w:rFonts w:hint="default"/>
          <w:sz w:val="24"/>
          <w:lang w:val="en-US" w:eastAsia="zh-CN"/>
        </w:rPr>
        <w:t>”</w:t>
      </w:r>
      <w:r>
        <w:rPr>
          <w:rFonts w:hint="eastAsia"/>
          <w:sz w:val="24"/>
          <w:lang w:val="en-US" w:eastAsia="zh-CN"/>
        </w:rPr>
        <w:t>是</w:t>
      </w:r>
      <w:r>
        <w:rPr>
          <w:rFonts w:hint="default"/>
          <w:sz w:val="24"/>
          <w:lang w:val="en-US" w:eastAsia="zh-CN"/>
        </w:rPr>
        <w:t>“</w:t>
      </w:r>
      <w:r>
        <w:rPr>
          <w:rFonts w:hint="eastAsia"/>
          <w:sz w:val="24"/>
          <w:lang w:val="en-US" w:eastAsia="zh-CN"/>
        </w:rPr>
        <w:t xml:space="preserve">生态空间范围内具有特殊重要生态功能必须实行强制性严格保护的区域。按生态功能不降低，面积不减少，性质不改变的基本要求，实施严格管控。 </w:t>
      </w:r>
    </w:p>
    <w:p>
      <w:pPr>
        <w:snapToGrid w:val="0"/>
        <w:spacing w:line="360" w:lineRule="auto"/>
        <w:ind w:firstLine="480" w:firstLineChars="200"/>
        <w:rPr>
          <w:sz w:val="24"/>
        </w:rPr>
      </w:pPr>
      <w:r>
        <w:rPr>
          <w:rFonts w:hint="eastAsia"/>
          <w:sz w:val="24"/>
          <w:lang w:val="en-US" w:eastAsia="zh-CN"/>
        </w:rPr>
        <w:t xml:space="preserve">项目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 </w:t>
      </w:r>
    </w:p>
    <w:p>
      <w:pPr>
        <w:snapToGrid w:val="0"/>
        <w:spacing w:line="360" w:lineRule="auto"/>
        <w:ind w:firstLine="480" w:firstLineChars="200"/>
        <w:rPr>
          <w:sz w:val="24"/>
        </w:rPr>
      </w:pPr>
      <w:r>
        <w:rPr>
          <w:rFonts w:hint="eastAsia"/>
          <w:sz w:val="24"/>
          <w:lang w:val="en-US" w:eastAsia="zh-CN"/>
        </w:rPr>
        <w:t xml:space="preserve">根据《贵州省生态功能区划》，该规划将贵州省划分为 </w:t>
      </w:r>
      <w:r>
        <w:rPr>
          <w:rFonts w:hint="default"/>
          <w:sz w:val="24"/>
          <w:lang w:val="en-US" w:eastAsia="zh-CN"/>
        </w:rPr>
        <w:t xml:space="preserve">5 </w:t>
      </w:r>
      <w:r>
        <w:rPr>
          <w:rFonts w:hint="eastAsia"/>
          <w:sz w:val="24"/>
          <w:lang w:val="en-US" w:eastAsia="zh-CN"/>
        </w:rPr>
        <w:t>个生态区、</w:t>
      </w:r>
      <w:r>
        <w:rPr>
          <w:rFonts w:hint="default"/>
          <w:sz w:val="24"/>
          <w:lang w:val="en-US" w:eastAsia="zh-CN"/>
        </w:rPr>
        <w:t xml:space="preserve">10 </w:t>
      </w:r>
      <w:r>
        <w:rPr>
          <w:rFonts w:hint="eastAsia"/>
          <w:sz w:val="24"/>
          <w:lang w:val="en-US" w:eastAsia="zh-CN"/>
        </w:rPr>
        <w:t xml:space="preserve">个生态亚区和 </w:t>
      </w:r>
      <w:r>
        <w:rPr>
          <w:rFonts w:hint="default"/>
          <w:sz w:val="24"/>
          <w:lang w:val="en-US" w:eastAsia="zh-CN"/>
        </w:rPr>
        <w:t xml:space="preserve">64 </w:t>
      </w:r>
      <w:r>
        <w:rPr>
          <w:rFonts w:hint="eastAsia"/>
          <w:sz w:val="24"/>
          <w:lang w:val="en-US" w:eastAsia="zh-CN"/>
        </w:rPr>
        <w:t xml:space="preserve">个生态功能区，本项目所在地属于西部半湿润亚热带针阔混交林、草山喀斯特脆弱环境生态区，根据黔西南生态环境保护红线划定分类图可知，本项目评价区不涉及自然保护区，工程建设对该区域生物多样性保护功能影响较小，不会造成功能的退化。 </w:t>
      </w:r>
    </w:p>
    <w:p>
      <w:pPr>
        <w:snapToGrid w:val="0"/>
        <w:spacing w:line="360" w:lineRule="auto"/>
        <w:ind w:firstLine="480" w:firstLineChars="200"/>
        <w:rPr>
          <w:sz w:val="24"/>
        </w:rPr>
      </w:pPr>
      <w:r>
        <w:rPr>
          <w:rFonts w:hint="eastAsia"/>
          <w:sz w:val="24"/>
          <w:lang w:val="en-US" w:eastAsia="zh-CN"/>
        </w:rPr>
        <w:t>因此，本项目的建设符合《贵州省生态功能区划》中关于该区的发展定位要求。</w:t>
      </w:r>
    </w:p>
    <w:p>
      <w:pPr>
        <w:snapToGrid w:val="0"/>
        <w:spacing w:line="360" w:lineRule="auto"/>
        <w:ind w:firstLine="480" w:firstLineChars="200"/>
        <w:rPr>
          <w:sz w:val="24"/>
        </w:rPr>
      </w:pPr>
      <w:r>
        <w:rPr>
          <w:rFonts w:hint="eastAsia"/>
          <w:sz w:val="24"/>
          <w:lang w:val="en-US" w:eastAsia="zh-CN"/>
        </w:rPr>
        <w:t>黔西南州生态保护区包括：册亨</w:t>
      </w:r>
      <w:r>
        <w:rPr>
          <w:rFonts w:hint="default"/>
          <w:sz w:val="24"/>
          <w:lang w:val="en-US" w:eastAsia="zh-CN"/>
        </w:rPr>
        <w:t>—</w:t>
      </w:r>
      <w:r>
        <w:rPr>
          <w:rFonts w:hint="eastAsia"/>
          <w:sz w:val="24"/>
          <w:lang w:val="en-US" w:eastAsia="zh-CN"/>
        </w:rPr>
        <w:t>望谟南、北盘江下游河谷石漠化防治与水土保持区（望谟县、册亨县）；岭河峡谷风景名胜区（兴义市）、贞丰三岔河风景名胜区（贞丰县）、泥凼石林风景名胜区（兴义市）、鲁布革风景名胜区（兴义市）、晴隆三望坪风景名胜区（晴隆县）；安龙仙鹤坪国家森林公园（安龙县）；普安银鲫省级水产种质资源保护区，本项目不在以上生态保护区，且本项目产生的污染物节能达标排放，因此项目建设符合生态红线要求。</w:t>
      </w:r>
    </w:p>
    <w:p>
      <w:pPr>
        <w:spacing w:line="360" w:lineRule="auto"/>
        <w:ind w:firstLine="480" w:firstLineChars="200"/>
        <w:rPr>
          <w:sz w:val="24"/>
        </w:rPr>
      </w:pPr>
      <w:r>
        <w:rPr>
          <w:rFonts w:hint="eastAsia"/>
          <w:sz w:val="24"/>
          <w:lang w:eastAsia="zh-CN"/>
        </w:rPr>
        <w:t>（</w:t>
      </w:r>
      <w:r>
        <w:rPr>
          <w:sz w:val="24"/>
        </w:rPr>
        <w:t>2</w:t>
      </w:r>
      <w:r>
        <w:rPr>
          <w:rFonts w:hint="eastAsia"/>
          <w:sz w:val="24"/>
          <w:lang w:eastAsia="zh-CN"/>
        </w:rPr>
        <w:t>）</w:t>
      </w:r>
      <w:r>
        <w:rPr>
          <w:sz w:val="24"/>
        </w:rPr>
        <w:t>环境质量底线</w:t>
      </w:r>
    </w:p>
    <w:p>
      <w:pPr>
        <w:spacing w:line="360" w:lineRule="auto"/>
        <w:ind w:firstLine="480" w:firstLineChars="200"/>
        <w:rPr>
          <w:sz w:val="24"/>
          <w:highlight w:val="none"/>
        </w:rPr>
      </w:pPr>
      <w:r>
        <w:rPr>
          <w:rFonts w:hint="default"/>
          <w:sz w:val="24"/>
          <w:highlight w:val="none"/>
          <w:lang w:val="en-US" w:eastAsia="zh-CN"/>
        </w:rPr>
        <w:t>“</w:t>
      </w:r>
      <w:r>
        <w:rPr>
          <w:rFonts w:hint="eastAsia"/>
          <w:sz w:val="24"/>
          <w:highlight w:val="none"/>
          <w:lang w:val="en-US" w:eastAsia="zh-CN"/>
        </w:rPr>
        <w:t>环境质量底线</w:t>
      </w:r>
      <w:r>
        <w:rPr>
          <w:rFonts w:hint="default"/>
          <w:sz w:val="24"/>
          <w:highlight w:val="none"/>
          <w:lang w:val="en-US" w:eastAsia="zh-CN"/>
        </w:rPr>
        <w:t>”</w:t>
      </w:r>
      <w:r>
        <w:rPr>
          <w:rFonts w:hint="eastAsia"/>
          <w:sz w:val="24"/>
          <w:highlight w:val="none"/>
          <w:lang w:val="en-US" w:eastAsia="zh-CN"/>
        </w:rPr>
        <w:t xml:space="preserve">是国家和地方设置的大气、水和土壤环境质量目标，也是改善环境质量的基准线。有关环评应结合水环境现状、大气环境现状、土壤环境现状和相关规划、功能区划要求，落实区域环境质量目标管理，提出区域或者行业污染物排放总量管控建议以及优化区域或行业发展布局、结构和规模的对策措施，深入分析预测项目建设对环境质量的影响，强化污染防治措施和污染物排放控制要求。 </w:t>
      </w:r>
    </w:p>
    <w:p>
      <w:pPr>
        <w:spacing w:line="360" w:lineRule="auto"/>
        <w:ind w:firstLine="480" w:firstLineChars="200"/>
        <w:rPr>
          <w:sz w:val="24"/>
          <w:highlight w:val="none"/>
        </w:rPr>
      </w:pPr>
      <w:r>
        <w:rPr>
          <w:rFonts w:hint="eastAsia"/>
          <w:sz w:val="24"/>
          <w:highlight w:val="none"/>
          <w:lang w:val="en-US" w:eastAsia="zh-CN"/>
        </w:rPr>
        <w:t>本项目属于典型的农村环境，空气质量相对市区较好，尚有容量进行项目建设。项目选址区域为环境空气功能区二类区，执行二级标准。根据《声环境质量标准》（</w:t>
      </w:r>
      <w:r>
        <w:rPr>
          <w:rFonts w:hint="default"/>
          <w:sz w:val="24"/>
          <w:highlight w:val="none"/>
          <w:lang w:val="en-US" w:eastAsia="zh-CN"/>
        </w:rPr>
        <w:t>GB3096-2008</w:t>
      </w:r>
      <w:r>
        <w:rPr>
          <w:rFonts w:hint="eastAsia"/>
          <w:sz w:val="24"/>
          <w:highlight w:val="none"/>
          <w:lang w:val="en-US" w:eastAsia="zh-CN"/>
        </w:rPr>
        <w:t xml:space="preserve">）分类，项目区域属于 </w:t>
      </w:r>
      <w:r>
        <w:rPr>
          <w:rFonts w:hint="default"/>
          <w:sz w:val="24"/>
          <w:highlight w:val="none"/>
          <w:lang w:val="en-US" w:eastAsia="zh-CN"/>
        </w:rPr>
        <w:t xml:space="preserve">2 </w:t>
      </w:r>
      <w:r>
        <w:rPr>
          <w:rFonts w:hint="eastAsia"/>
          <w:sz w:val="24"/>
          <w:highlight w:val="none"/>
          <w:lang w:val="en-US" w:eastAsia="zh-CN"/>
        </w:rPr>
        <w:t>类功能区。目前，区域内主要噪声源为少量的交通噪声，项目区域声环境可达到《声环境质量标准》（</w:t>
      </w:r>
      <w:r>
        <w:rPr>
          <w:rFonts w:hint="default"/>
          <w:sz w:val="24"/>
          <w:highlight w:val="none"/>
          <w:lang w:val="en-US" w:eastAsia="zh-CN"/>
        </w:rPr>
        <w:t>GB3096-2008</w:t>
      </w:r>
      <w:r>
        <w:rPr>
          <w:rFonts w:hint="eastAsia"/>
          <w:sz w:val="24"/>
          <w:highlight w:val="none"/>
          <w:lang w:val="en-US" w:eastAsia="zh-CN"/>
        </w:rPr>
        <w:t>）</w:t>
      </w:r>
      <w:r>
        <w:rPr>
          <w:rFonts w:hint="default"/>
          <w:sz w:val="24"/>
          <w:highlight w:val="none"/>
          <w:lang w:val="en-US" w:eastAsia="zh-CN"/>
        </w:rPr>
        <w:t xml:space="preserve">2 </w:t>
      </w:r>
      <w:r>
        <w:rPr>
          <w:rFonts w:hint="eastAsia"/>
          <w:sz w:val="24"/>
          <w:highlight w:val="none"/>
          <w:lang w:val="en-US" w:eastAsia="zh-CN"/>
        </w:rPr>
        <w:t xml:space="preserve">类标准限值。同时本项目建成后污染物节能达标排放。能满足《环境空气质量标准》二级标准。 </w:t>
      </w:r>
    </w:p>
    <w:p>
      <w:pPr>
        <w:spacing w:line="360" w:lineRule="auto"/>
        <w:ind w:firstLine="480" w:firstLineChars="200"/>
        <w:rPr>
          <w:rFonts w:hint="eastAsia"/>
          <w:sz w:val="24"/>
          <w:highlight w:val="none"/>
          <w:lang w:val="en-US" w:eastAsia="zh-CN"/>
        </w:rPr>
      </w:pPr>
      <w:r>
        <w:rPr>
          <w:rFonts w:hint="eastAsia"/>
          <w:sz w:val="24"/>
          <w:highlight w:val="none"/>
          <w:lang w:val="en-US" w:eastAsia="zh-CN"/>
        </w:rPr>
        <w:t>综上，本项目的建设符合环境质量底线要求。</w:t>
      </w:r>
    </w:p>
    <w:p>
      <w:pPr>
        <w:pStyle w:val="16"/>
        <w:rPr>
          <w:sz w:val="24"/>
        </w:rPr>
      </w:pPr>
      <w:r>
        <w:rPr>
          <w:rFonts w:hint="eastAsia"/>
          <w:sz w:val="24"/>
          <w:highlight w:val="none"/>
          <w:lang w:val="en-US" w:eastAsia="zh-CN"/>
        </w:rPr>
        <w:t>（3）</w:t>
      </w:r>
      <w:r>
        <w:rPr>
          <w:rFonts w:hint="eastAsia"/>
          <w:sz w:val="24"/>
          <w:lang w:eastAsia="zh-CN"/>
        </w:rPr>
        <w:t>与资源利用上线、产业政策相符性</w:t>
      </w:r>
      <w:r>
        <w:rPr>
          <w:sz w:val="24"/>
        </w:rPr>
        <w:t>分析</w:t>
      </w:r>
    </w:p>
    <w:p>
      <w:pPr>
        <w:spacing w:line="360" w:lineRule="auto"/>
        <w:ind w:firstLine="480" w:firstLineChars="200"/>
        <w:rPr>
          <w:sz w:val="24"/>
        </w:rPr>
      </w:pPr>
      <w:r>
        <w:rPr>
          <w:rFonts w:hint="eastAsia"/>
          <w:sz w:val="24"/>
          <w:lang w:eastAsia="zh-CN"/>
        </w:rPr>
        <w:t>对照《产业结构调整指导目录（201</w:t>
      </w:r>
      <w:r>
        <w:rPr>
          <w:rFonts w:hint="eastAsia"/>
          <w:sz w:val="24"/>
          <w:lang w:val="en-US" w:eastAsia="zh-CN"/>
        </w:rPr>
        <w:t>9</w:t>
      </w:r>
      <w:r>
        <w:rPr>
          <w:rFonts w:hint="eastAsia"/>
          <w:sz w:val="24"/>
          <w:lang w:eastAsia="zh-CN"/>
        </w:rPr>
        <w:t>年本）》（国家发改委第2</w:t>
      </w:r>
      <w:r>
        <w:rPr>
          <w:rFonts w:hint="eastAsia"/>
          <w:sz w:val="24"/>
          <w:lang w:val="en-US" w:eastAsia="zh-CN"/>
        </w:rPr>
        <w:t>9</w:t>
      </w:r>
      <w:r>
        <w:rPr>
          <w:rFonts w:hint="eastAsia"/>
          <w:sz w:val="24"/>
          <w:lang w:eastAsia="zh-CN"/>
        </w:rPr>
        <w:t>号令），本项目</w:t>
      </w:r>
      <w:r>
        <w:rPr>
          <w:rFonts w:hint="eastAsia"/>
          <w:sz w:val="24"/>
          <w:lang w:val="en-US" w:eastAsia="zh-CN"/>
        </w:rPr>
        <w:t>建成后将年屠宰肉牛3万头，行业类别属于C1351畜禽屠宰，不属于限制类和淘汰类，</w:t>
      </w:r>
      <w:r>
        <w:rPr>
          <w:rFonts w:hint="eastAsia"/>
          <w:sz w:val="24"/>
          <w:lang w:eastAsia="zh-CN"/>
        </w:rPr>
        <w:t>属于</w:t>
      </w:r>
      <w:r>
        <w:rPr>
          <w:rFonts w:hint="eastAsia"/>
          <w:sz w:val="24"/>
          <w:lang w:val="en-US" w:eastAsia="zh-CN"/>
        </w:rPr>
        <w:t>允许</w:t>
      </w:r>
      <w:r>
        <w:rPr>
          <w:rFonts w:hint="eastAsia"/>
          <w:sz w:val="24"/>
          <w:lang w:eastAsia="zh-CN"/>
        </w:rPr>
        <w:t>类项目，</w:t>
      </w:r>
      <w:r>
        <w:rPr>
          <w:rFonts w:hint="eastAsia"/>
          <w:sz w:val="24"/>
          <w:lang w:val="en-US" w:eastAsia="zh-CN"/>
        </w:rPr>
        <w:t>项目建设已通过黔西南州义龙新区发展和改革委员会备案，</w:t>
      </w:r>
      <w:r>
        <w:rPr>
          <w:rFonts w:hint="eastAsia"/>
          <w:sz w:val="24"/>
          <w:lang w:eastAsia="zh-CN"/>
        </w:rPr>
        <w:t>因此本项目建设符合国家产业政策。</w:t>
      </w:r>
    </w:p>
    <w:p>
      <w:pPr>
        <w:spacing w:line="360" w:lineRule="auto"/>
        <w:ind w:firstLine="480" w:firstLineChars="200"/>
        <w:rPr>
          <w:rFonts w:hint="eastAsia" w:eastAsia="宋体"/>
          <w:color w:val="auto"/>
          <w:sz w:val="24"/>
          <w:lang w:val="en-US" w:eastAsia="zh-CN"/>
        </w:rPr>
      </w:pPr>
      <w:r>
        <w:rPr>
          <w:rFonts w:hint="eastAsia"/>
          <w:color w:val="auto"/>
          <w:sz w:val="24"/>
          <w:lang w:eastAsia="zh-CN"/>
        </w:rPr>
        <w:t>本项目生活、生产用水取自市政自来水管网，项目用水量较当地供水量所占比例较小，项目施工、运营期用电量不会超过区域用电负荷，因此，不会达到水资源、能源利用上线。</w:t>
      </w:r>
      <w:r>
        <w:rPr>
          <w:rFonts w:hint="eastAsia"/>
          <w:sz w:val="24"/>
          <w:lang w:val="en-US" w:eastAsia="zh-CN"/>
        </w:rPr>
        <w:t>项目用地已经通过了黔西南州义龙新区管理委员会专题会议纪要（管专议〔2019〕523 号）</w:t>
      </w:r>
      <w:r>
        <w:rPr>
          <w:rFonts w:hint="eastAsia"/>
          <w:color w:val="auto"/>
          <w:sz w:val="24"/>
          <w:lang w:eastAsia="zh-CN"/>
        </w:rPr>
        <w:t>，</w:t>
      </w:r>
      <w:r>
        <w:rPr>
          <w:rFonts w:hint="eastAsia"/>
          <w:color w:val="auto"/>
          <w:sz w:val="24"/>
          <w:lang w:val="en-US" w:eastAsia="zh-CN"/>
        </w:rPr>
        <w:t>土地消耗符合要求</w:t>
      </w:r>
      <w:r>
        <w:rPr>
          <w:rFonts w:hint="eastAsia"/>
          <w:color w:val="auto"/>
          <w:sz w:val="24"/>
          <w:lang w:eastAsia="zh-CN"/>
        </w:rPr>
        <w:t>。</w:t>
      </w:r>
    </w:p>
    <w:p>
      <w:pPr>
        <w:adjustRightInd w:val="0"/>
        <w:snapToGrid w:val="0"/>
        <w:spacing w:line="360" w:lineRule="auto"/>
        <w:ind w:firstLine="480" w:firstLineChars="200"/>
        <w:jc w:val="left"/>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rPr>
        <w:t>与园区产业基本准入要求及产业负面清单相符性分析</w:t>
      </w:r>
    </w:p>
    <w:p>
      <w:pPr>
        <w:adjustRightInd w:val="0"/>
        <w:snapToGrid w:val="0"/>
        <w:spacing w:line="360" w:lineRule="auto"/>
        <w:ind w:firstLine="480" w:firstLineChars="200"/>
        <w:jc w:val="left"/>
        <w:rPr>
          <w:rFonts w:hint="default" w:ascii="宋体" w:hAnsi="宋体"/>
          <w:sz w:val="24"/>
          <w:lang w:val="en-US" w:eastAsia="zh-CN"/>
        </w:rPr>
      </w:pPr>
      <w:r>
        <w:rPr>
          <w:rFonts w:hint="eastAsia" w:ascii="宋体" w:hAnsi="宋体"/>
          <w:sz w:val="24"/>
        </w:rPr>
        <w:t>项目选址位于</w:t>
      </w:r>
      <w:r>
        <w:rPr>
          <w:rFonts w:hint="eastAsia" w:ascii="宋体" w:hAnsi="宋体"/>
          <w:sz w:val="24"/>
          <w:lang w:val="en-US" w:eastAsia="zh-CN"/>
        </w:rPr>
        <w:t>义龙试验区</w:t>
      </w:r>
      <w:r>
        <w:rPr>
          <w:rFonts w:hint="eastAsia" w:ascii="宋体" w:hAnsi="宋体"/>
          <w:sz w:val="24"/>
        </w:rPr>
        <w:t>，</w:t>
      </w:r>
      <w:r>
        <w:rPr>
          <w:rFonts w:hint="eastAsia" w:ascii="宋体" w:hAnsi="宋体"/>
          <w:sz w:val="24"/>
          <w:lang w:val="en-US" w:eastAsia="zh-CN"/>
        </w:rPr>
        <w:t>根据</w:t>
      </w:r>
      <w:r>
        <w:rPr>
          <w:rFonts w:hint="eastAsia" w:ascii="宋体" w:hAnsi="宋体"/>
          <w:sz w:val="24"/>
        </w:rPr>
        <w:t>规划及规划环评，</w:t>
      </w:r>
      <w:r>
        <w:rPr>
          <w:rFonts w:hint="eastAsia" w:ascii="宋体" w:hAnsi="宋体"/>
          <w:sz w:val="24"/>
          <w:lang w:val="en-US" w:eastAsia="zh-CN"/>
        </w:rPr>
        <w:t>园区产业负面清单如下：</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 xml:space="preserve">对于达不到进区企业要求的建设项目不支持进入。主要体现为： </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 xml:space="preserve">①不符合规划区产业定位、污染排放较大的行业。 </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 xml:space="preserve">②废水中如含有难降解的有机物、有毒有害、重金属等物质的项目。 </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 xml:space="preserve">③高物耗、高能耗和高水耗的项目。 </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 xml:space="preserve">④如进驻项目预处理水质达不到污水处理厂接管要求的项目。 </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⑤工艺尾气中含有难处理的、有毒有害物质的项目不支持引进。</w:t>
      </w:r>
    </w:p>
    <w:p>
      <w:pPr>
        <w:adjustRightInd w:val="0"/>
        <w:snapToGrid w:val="0"/>
        <w:spacing w:line="360" w:lineRule="auto"/>
        <w:ind w:firstLine="480" w:firstLineChars="200"/>
        <w:jc w:val="left"/>
        <w:rPr>
          <w:rFonts w:hint="eastAsia" w:ascii="宋体" w:hAnsi="宋体"/>
          <w:i/>
          <w:iCs/>
          <w:sz w:val="24"/>
          <w:lang w:val="en-US" w:eastAsia="zh-CN"/>
        </w:rPr>
      </w:pPr>
      <w:r>
        <w:rPr>
          <w:rFonts w:hint="eastAsia" w:ascii="宋体" w:hAnsi="宋体"/>
          <w:i/>
          <w:iCs/>
          <w:sz w:val="24"/>
          <w:lang w:val="en-US" w:eastAsia="zh-CN"/>
        </w:rPr>
        <w:t>⑥采用落后的生产工艺或生产设备，不符合国家相关产业政策、达不到规模经济的项目。</w:t>
      </w:r>
    </w:p>
    <w:p>
      <w:pPr>
        <w:adjustRightInd w:val="0"/>
        <w:snapToGrid w:val="0"/>
        <w:spacing w:line="360" w:lineRule="auto"/>
        <w:ind w:firstLine="480" w:firstLineChars="200"/>
        <w:jc w:val="left"/>
        <w:rPr>
          <w:rFonts w:ascii="宋体" w:hAnsi="宋体"/>
          <w:sz w:val="24"/>
        </w:rPr>
      </w:pPr>
      <w:r>
        <w:rPr>
          <w:rFonts w:hint="eastAsia" w:ascii="宋体" w:hAnsi="宋体"/>
          <w:sz w:val="24"/>
        </w:rPr>
        <w:t>对照以上要求：</w:t>
      </w:r>
    </w:p>
    <w:p>
      <w:pPr>
        <w:adjustRightInd w:val="0"/>
        <w:snapToGrid w:val="0"/>
        <w:spacing w:line="360" w:lineRule="auto"/>
        <w:ind w:firstLine="480" w:firstLineChars="200"/>
        <w:jc w:val="left"/>
        <w:rPr>
          <w:rFonts w:ascii="宋体" w:hAnsi="宋体"/>
          <w:sz w:val="24"/>
        </w:rPr>
      </w:pPr>
      <w:r>
        <w:rPr>
          <w:rFonts w:hint="eastAsia" w:ascii="宋体" w:hAnsi="宋体"/>
          <w:sz w:val="24"/>
        </w:rPr>
        <w:t>①项目符合国家的产业政策</w:t>
      </w:r>
      <w:r>
        <w:rPr>
          <w:rFonts w:hint="eastAsia" w:ascii="宋体" w:hAnsi="宋体"/>
          <w:sz w:val="24"/>
          <w:lang w:eastAsia="zh-CN"/>
        </w:rPr>
        <w:t>，符合园区产业定位。</w:t>
      </w:r>
    </w:p>
    <w:p>
      <w:pPr>
        <w:adjustRightInd w:val="0"/>
        <w:snapToGrid w:val="0"/>
        <w:spacing w:line="360" w:lineRule="auto"/>
        <w:ind w:firstLine="480" w:firstLineChars="200"/>
        <w:jc w:val="left"/>
        <w:rPr>
          <w:rFonts w:ascii="宋体" w:hAnsi="宋体"/>
          <w:sz w:val="24"/>
        </w:rPr>
      </w:pPr>
      <w:r>
        <w:rPr>
          <w:rFonts w:hint="eastAsia" w:ascii="宋体" w:hAnsi="宋体"/>
          <w:sz w:val="24"/>
        </w:rPr>
        <w:t>②</w:t>
      </w:r>
      <w:r>
        <w:rPr>
          <w:rFonts w:hint="eastAsia" w:ascii="宋体" w:hAnsi="宋体"/>
          <w:sz w:val="24"/>
          <w:lang w:eastAsia="zh-CN"/>
        </w:rPr>
        <w:t>项目废水中无难降解的有机物、有毒有害、重金属等物质</w:t>
      </w:r>
      <w:r>
        <w:rPr>
          <w:rFonts w:hint="eastAsia" w:ascii="宋体" w:hAnsi="宋体"/>
          <w:sz w:val="24"/>
        </w:rPr>
        <w:t>。</w:t>
      </w:r>
    </w:p>
    <w:p>
      <w:pPr>
        <w:adjustRightInd w:val="0"/>
        <w:snapToGrid w:val="0"/>
        <w:spacing w:line="360" w:lineRule="auto"/>
        <w:ind w:firstLine="480" w:firstLineChars="200"/>
        <w:jc w:val="left"/>
        <w:rPr>
          <w:rFonts w:hint="eastAsia" w:ascii="宋体" w:hAnsi="宋体"/>
          <w:sz w:val="24"/>
          <w:lang w:eastAsia="zh-CN"/>
        </w:rPr>
      </w:pPr>
      <w:r>
        <w:rPr>
          <w:rFonts w:hint="eastAsia" w:ascii="宋体" w:hAnsi="宋体"/>
          <w:sz w:val="24"/>
        </w:rPr>
        <w:t>③</w:t>
      </w:r>
      <w:r>
        <w:rPr>
          <w:rFonts w:hint="eastAsia" w:ascii="宋体" w:hAnsi="宋体"/>
          <w:sz w:val="24"/>
          <w:lang w:eastAsia="zh-CN"/>
        </w:rPr>
        <w:t>项目不属于高物耗、高能耗、高水耗项目。</w:t>
      </w:r>
    </w:p>
    <w:p>
      <w:pPr>
        <w:adjustRightInd w:val="0"/>
        <w:snapToGrid w:val="0"/>
        <w:spacing w:line="360" w:lineRule="auto"/>
        <w:ind w:firstLine="480" w:firstLineChars="200"/>
        <w:jc w:val="left"/>
        <w:rPr>
          <w:rFonts w:ascii="宋体" w:hAnsi="宋体"/>
          <w:sz w:val="24"/>
        </w:rPr>
      </w:pPr>
      <w:r>
        <w:rPr>
          <w:rFonts w:hint="eastAsia" w:ascii="宋体" w:hAnsi="宋体"/>
          <w:sz w:val="24"/>
        </w:rPr>
        <w:t>④</w:t>
      </w:r>
      <w:r>
        <w:rPr>
          <w:rFonts w:hint="eastAsia" w:ascii="宋体" w:hAnsi="宋体"/>
          <w:sz w:val="24"/>
          <w:lang w:eastAsia="zh-CN"/>
        </w:rPr>
        <w:t>本项目废水经污水处理系统处理后达标排放</w:t>
      </w:r>
      <w:r>
        <w:rPr>
          <w:rFonts w:hint="eastAsia" w:ascii="宋体" w:hAnsi="宋体"/>
          <w:sz w:val="24"/>
        </w:rPr>
        <w:t>。</w:t>
      </w:r>
    </w:p>
    <w:p>
      <w:pPr>
        <w:adjustRightInd w:val="0"/>
        <w:snapToGrid w:val="0"/>
        <w:spacing w:line="360" w:lineRule="auto"/>
        <w:ind w:firstLine="480" w:firstLineChars="200"/>
        <w:jc w:val="left"/>
        <w:rPr>
          <w:rFonts w:ascii="宋体" w:hAnsi="宋体"/>
          <w:sz w:val="24"/>
        </w:rPr>
      </w:pPr>
      <w:r>
        <w:rPr>
          <w:rFonts w:hint="eastAsia" w:ascii="宋体" w:hAnsi="宋体"/>
          <w:sz w:val="24"/>
          <w:lang w:eastAsia="zh-CN"/>
        </w:rPr>
        <w:t>⑤项目工艺尾气中不含难处理的、有毒有害物质</w:t>
      </w:r>
      <w:r>
        <w:rPr>
          <w:rFonts w:hint="eastAsia" w:ascii="宋体" w:hAnsi="宋体"/>
          <w:sz w:val="24"/>
        </w:rPr>
        <w:t>。</w:t>
      </w:r>
    </w:p>
    <w:p>
      <w:pPr>
        <w:adjustRightInd w:val="0"/>
        <w:snapToGrid w:val="0"/>
        <w:spacing w:line="360" w:lineRule="auto"/>
        <w:ind w:firstLine="480" w:firstLineChars="200"/>
        <w:jc w:val="left"/>
        <w:rPr>
          <w:rFonts w:hint="eastAsia" w:ascii="宋体" w:hAnsi="宋体"/>
          <w:sz w:val="24"/>
        </w:rPr>
      </w:pPr>
      <w:r>
        <w:rPr>
          <w:rFonts w:hint="eastAsia" w:ascii="宋体" w:hAnsi="宋体"/>
          <w:sz w:val="24"/>
          <w:lang w:eastAsia="zh-CN"/>
        </w:rPr>
        <w:t>⑥项采用先进的生产工艺、设备，符合国家相关产业政策，是区域脱贫的重要依托。</w:t>
      </w:r>
    </w:p>
    <w:p>
      <w:pPr>
        <w:adjustRightInd w:val="0"/>
        <w:snapToGrid w:val="0"/>
        <w:spacing w:line="360" w:lineRule="auto"/>
        <w:ind w:firstLine="480" w:firstLineChars="200"/>
        <w:jc w:val="left"/>
        <w:rPr>
          <w:rFonts w:ascii="宋体" w:hAnsi="宋体"/>
          <w:sz w:val="24"/>
        </w:rPr>
      </w:pPr>
      <w:r>
        <w:rPr>
          <w:rFonts w:ascii="宋体" w:hAnsi="宋体"/>
          <w:sz w:val="24"/>
        </w:rPr>
        <w:t>通过初步筛查，建设项目符合国家产业政策，符合区域总体规划，环保规划</w:t>
      </w:r>
      <w:r>
        <w:rPr>
          <w:rFonts w:hint="eastAsia" w:ascii="宋体" w:hAnsi="宋体"/>
          <w:sz w:val="24"/>
        </w:rPr>
        <w:t>和园区规划</w:t>
      </w:r>
      <w:r>
        <w:rPr>
          <w:rFonts w:ascii="宋体" w:hAnsi="宋体"/>
          <w:sz w:val="24"/>
        </w:rPr>
        <w:t>。</w:t>
      </w:r>
    </w:p>
    <w:p>
      <w:pPr>
        <w:pStyle w:val="6"/>
        <w:ind w:left="894" w:hanging="894" w:hangingChars="298"/>
        <w:rPr>
          <w:szCs w:val="28"/>
        </w:rPr>
      </w:pPr>
      <w:bookmarkStart w:id="43" w:name="_Toc29546"/>
      <w:r>
        <w:rPr>
          <w:szCs w:val="28"/>
        </w:rPr>
        <w:t>评价流程</w:t>
      </w:r>
      <w:bookmarkEnd w:id="43"/>
    </w:p>
    <w:p>
      <w:pPr>
        <w:pStyle w:val="22"/>
        <w:spacing w:line="360" w:lineRule="auto"/>
        <w:ind w:firstLine="480"/>
        <w:rPr>
          <w:sz w:val="24"/>
        </w:rPr>
      </w:pPr>
      <w:r>
        <w:rPr>
          <w:sz w:val="24"/>
        </w:rPr>
        <w:t>我公司接受环评委托后，立即成立项目组，第一时间进行了现场调查、对建设单位提供的各种资料进行梳理、查阅相关资料、分析工程内容，并到项目地进行实地踏勘和调查，收集项目区第一手的资料。报告书编制过程中，委托具有环境监测资质的单位对项目区及附近进行环境质量现状监测；并协助建设单位按《环境影响评价公众参与暂行办法》等对周边居民、企事业单位进行第一次公众意见调查，报告书编制基本完成后，进行了环评公示及公众意见征集。</w:t>
      </w:r>
    </w:p>
    <w:p>
      <w:pPr>
        <w:adjustRightInd w:val="0"/>
        <w:snapToGrid w:val="0"/>
        <w:spacing w:line="360" w:lineRule="auto"/>
        <w:ind w:firstLine="480" w:firstLineChars="200"/>
        <w:rPr>
          <w:kern w:val="0"/>
          <w:sz w:val="24"/>
        </w:rPr>
      </w:pPr>
      <w:r>
        <w:rPr>
          <w:kern w:val="0"/>
          <w:sz w:val="24"/>
        </w:rPr>
        <w:t>在上述大量工作的基础上，编制完成该项目的环境影响报告书。环境影响评价工作程序见图1.3-1。</w:t>
      </w:r>
    </w:p>
    <w:p>
      <w:pPr>
        <w:adjustRightInd w:val="0"/>
        <w:snapToGrid w:val="0"/>
        <w:spacing w:line="360" w:lineRule="auto"/>
        <w:jc w:val="left"/>
        <w:rPr>
          <w:kern w:val="0"/>
          <w:sz w:val="24"/>
        </w:rPr>
      </w:pPr>
      <w:r>
        <w:rPr>
          <w:kern w:val="0"/>
          <w:sz w:val="24"/>
        </w:rPr>
        <w:drawing>
          <wp:inline distT="0" distB="0" distL="0" distR="0">
            <wp:extent cx="5278120" cy="4944110"/>
            <wp:effectExtent l="0" t="0" r="0" b="8890"/>
            <wp:docPr id="2753" name="图片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 name="图片 27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4944110"/>
                    </a:xfrm>
                    <a:prstGeom prst="rect">
                      <a:avLst/>
                    </a:prstGeom>
                  </pic:spPr>
                </pic:pic>
              </a:graphicData>
            </a:graphic>
          </wp:inline>
        </w:drawing>
      </w:r>
    </w:p>
    <w:p>
      <w:pPr>
        <w:pStyle w:val="1191"/>
      </w:pPr>
      <w:r>
        <w:t>图1.3-1 环境影响评价工作</w:t>
      </w:r>
      <w:r>
        <w:rPr>
          <w:rFonts w:hint="eastAsia"/>
          <w:lang w:val="en-US" w:eastAsia="zh-CN"/>
        </w:rPr>
        <w:t>流</w:t>
      </w:r>
      <w:r>
        <w:t>程图</w:t>
      </w:r>
    </w:p>
    <w:p>
      <w:pPr>
        <w:pStyle w:val="5"/>
        <w:spacing w:before="120" w:after="120"/>
      </w:pPr>
      <w:bookmarkStart w:id="44" w:name="_Toc31719"/>
      <w:r>
        <w:t>主要关注的环境问题</w:t>
      </w:r>
      <w:bookmarkEnd w:id="44"/>
    </w:p>
    <w:p>
      <w:pPr>
        <w:adjustRightInd w:val="0"/>
        <w:snapToGrid w:val="0"/>
        <w:spacing w:line="360" w:lineRule="auto"/>
        <w:ind w:firstLine="480" w:firstLineChars="200"/>
        <w:rPr>
          <w:rFonts w:hint="eastAsia" w:ascii="宋体" w:hAnsi="宋体" w:cs="宋体"/>
          <w:snapToGrid w:val="0"/>
          <w:kern w:val="0"/>
          <w:sz w:val="24"/>
          <w:szCs w:val="24"/>
          <w:lang w:val="zh-CN"/>
        </w:rPr>
      </w:pPr>
      <w:r>
        <w:rPr>
          <w:rFonts w:hint="eastAsia" w:ascii="宋体" w:hAnsi="宋体" w:cs="宋体"/>
          <w:snapToGrid w:val="0"/>
          <w:kern w:val="0"/>
          <w:sz w:val="24"/>
          <w:szCs w:val="24"/>
          <w:lang w:val="zh-CN"/>
        </w:rPr>
        <w:t>（1）施工期主要环境问题为：施工扬尘、施工噪声、施工人员生活污水和施工废水、固体废物（废土石、生活垃圾等）对周边环境的影响以及工程建设对生态环境的影响。</w:t>
      </w:r>
    </w:p>
    <w:p>
      <w:pPr>
        <w:adjustRightInd w:val="0"/>
        <w:snapToGrid w:val="0"/>
        <w:spacing w:line="360" w:lineRule="auto"/>
        <w:ind w:firstLine="480" w:firstLineChars="200"/>
        <w:rPr>
          <w:rFonts w:hint="eastAsia" w:ascii="宋体" w:hAnsi="宋体" w:cs="宋体"/>
          <w:snapToGrid w:val="0"/>
          <w:kern w:val="0"/>
          <w:sz w:val="24"/>
          <w:szCs w:val="24"/>
          <w:lang w:val="zh-CN"/>
        </w:rPr>
      </w:pPr>
      <w:r>
        <w:rPr>
          <w:rFonts w:hint="eastAsia" w:ascii="宋体" w:hAnsi="宋体" w:cs="宋体"/>
          <w:snapToGrid w:val="0"/>
          <w:kern w:val="0"/>
          <w:sz w:val="24"/>
          <w:szCs w:val="24"/>
          <w:lang w:val="zh-CN"/>
        </w:rPr>
        <w:t>（2）运营期主要环境问题：屠宰场产生的恶臭气体、污水、粪便、员工生活废水、生活垃圾等影响，以及对应的污染防治措施。</w:t>
      </w:r>
    </w:p>
    <w:p>
      <w:pPr>
        <w:adjustRightInd w:val="0"/>
        <w:snapToGrid w:val="0"/>
        <w:spacing w:line="360" w:lineRule="auto"/>
        <w:ind w:firstLine="480" w:firstLineChars="200"/>
        <w:rPr>
          <w:rFonts w:hint="eastAsia" w:ascii="宋体" w:hAnsi="宋体" w:cs="宋体"/>
          <w:snapToGrid w:val="0"/>
          <w:kern w:val="0"/>
          <w:sz w:val="24"/>
          <w:szCs w:val="24"/>
          <w:lang w:val="zh-CN"/>
        </w:rPr>
      </w:pPr>
      <w:r>
        <w:rPr>
          <w:rFonts w:hint="eastAsia" w:ascii="宋体" w:hAnsi="宋体" w:cs="宋体"/>
          <w:snapToGrid w:val="0"/>
          <w:kern w:val="0"/>
          <w:sz w:val="24"/>
          <w:szCs w:val="24"/>
          <w:lang w:val="zh-CN"/>
        </w:rPr>
        <w:t>（3）本报告主要关注项目选址是否合理，是否符合国家产业政策、总平面布置的合理性、屠宰场的污水处理措施可行性，明确环境影响的程度和范围及污染防治措施经济技术可行性。</w:t>
      </w:r>
    </w:p>
    <w:p>
      <w:pPr>
        <w:pStyle w:val="5"/>
        <w:spacing w:before="120" w:after="120"/>
      </w:pPr>
      <w:bookmarkStart w:id="45" w:name="_Toc25885"/>
      <w:r>
        <w:t>主要环评结论</w:t>
      </w:r>
      <w:bookmarkEnd w:id="45"/>
    </w:p>
    <w:p>
      <w:pPr>
        <w:adjustRightInd w:val="0"/>
        <w:snapToGrid w:val="0"/>
        <w:spacing w:line="360" w:lineRule="auto"/>
        <w:ind w:firstLine="480" w:firstLineChars="200"/>
        <w:rPr>
          <w:sz w:val="24"/>
        </w:rPr>
      </w:pPr>
      <w:r>
        <w:rPr>
          <w:sz w:val="24"/>
        </w:rPr>
        <w:t>对照《产业结构调整指导目录（201</w:t>
      </w:r>
      <w:r>
        <w:rPr>
          <w:rFonts w:hint="eastAsia"/>
          <w:sz w:val="24"/>
          <w:lang w:val="en-US" w:eastAsia="zh-CN"/>
        </w:rPr>
        <w:t>9</w:t>
      </w:r>
      <w:r>
        <w:rPr>
          <w:sz w:val="24"/>
        </w:rPr>
        <w:t>年本）》（国家发改委第2</w:t>
      </w:r>
      <w:r>
        <w:rPr>
          <w:rFonts w:hint="eastAsia"/>
          <w:sz w:val="24"/>
          <w:lang w:val="en-US" w:eastAsia="zh-CN"/>
        </w:rPr>
        <w:t>9</w:t>
      </w:r>
      <w:r>
        <w:rPr>
          <w:sz w:val="24"/>
        </w:rPr>
        <w:t>号令）</w:t>
      </w:r>
      <w:r>
        <w:rPr>
          <w:rFonts w:hint="eastAsia"/>
          <w:sz w:val="24"/>
          <w:lang w:eastAsia="zh-CN"/>
        </w:rPr>
        <w:t>，</w:t>
      </w:r>
      <w:r>
        <w:rPr>
          <w:sz w:val="24"/>
        </w:rPr>
        <w:t>本项目</w:t>
      </w:r>
      <w:r>
        <w:rPr>
          <w:rFonts w:hint="eastAsia"/>
          <w:sz w:val="24"/>
          <w:lang w:val="en-US" w:eastAsia="zh-CN"/>
        </w:rPr>
        <w:t>建成后将年屠宰肉牛3万头，行业类别属于C1351畜禽屠宰，不属于限制类和淘汰类，</w:t>
      </w:r>
      <w:r>
        <w:rPr>
          <w:sz w:val="24"/>
        </w:rPr>
        <w:t>属于</w:t>
      </w:r>
      <w:r>
        <w:rPr>
          <w:rFonts w:hint="eastAsia"/>
          <w:sz w:val="24"/>
          <w:lang w:val="en-US" w:eastAsia="zh-CN"/>
        </w:rPr>
        <w:t>允许</w:t>
      </w:r>
      <w:r>
        <w:rPr>
          <w:sz w:val="24"/>
        </w:rPr>
        <w:t>类项目</w:t>
      </w:r>
      <w:r>
        <w:rPr>
          <w:rFonts w:hint="eastAsia"/>
          <w:sz w:val="24"/>
        </w:rPr>
        <w:t>，</w:t>
      </w:r>
      <w:r>
        <w:rPr>
          <w:rFonts w:hint="eastAsia"/>
          <w:sz w:val="24"/>
          <w:lang w:val="en-US" w:eastAsia="zh-CN"/>
        </w:rPr>
        <w:t>项目建设已通过黔西南州义龙新区发展和改革委员会备案，</w:t>
      </w:r>
      <w:r>
        <w:rPr>
          <w:sz w:val="24"/>
        </w:rPr>
        <w:t>因此本项目建设符合国家产业政策。项目符合《</w:t>
      </w:r>
      <w:r>
        <w:rPr>
          <w:sz w:val="24"/>
        </w:rPr>
        <w:fldChar w:fldCharType="begin"/>
      </w:r>
      <w:r>
        <w:rPr>
          <w:sz w:val="24"/>
        </w:rPr>
        <w:instrText xml:space="preserve"> HYPERLINK "https://baike.baidu.com/item/%E2%80%9C%E5%8D%81%E4%B8%89%E4%BA%94%E2%80%9D%E5%9B%BD%E5%AE%B6%E9%A3%9F%E5%93%81%E5%AE%89%E5%85%A8%E8%A7%84%E5%88%92/20360343" \h </w:instrText>
      </w:r>
      <w:r>
        <w:rPr>
          <w:sz w:val="24"/>
        </w:rPr>
        <w:fldChar w:fldCharType="separate"/>
      </w:r>
      <w:r>
        <w:rPr>
          <w:sz w:val="24"/>
        </w:rPr>
        <w:t>“十</w:t>
      </w:r>
      <w:r>
        <w:rPr>
          <w:sz w:val="24"/>
        </w:rPr>
        <w:fldChar w:fldCharType="end"/>
      </w:r>
      <w:r>
        <w:rPr>
          <w:sz w:val="24"/>
        </w:rPr>
        <w:fldChar w:fldCharType="begin"/>
      </w:r>
      <w:r>
        <w:rPr>
          <w:sz w:val="24"/>
        </w:rPr>
        <w:instrText xml:space="preserve"> HYPERLINK "https://baike.baidu.com/item/%E2%80%9C%E5%8D%81%E4%B8%89%E4%BA%94%E2%80%9D%E5%9B%BD%E5%AE%B6%E9%A3%9F%E5%93%81%E5%AE%89%E5%85%A8%E8%A7%84%E5%88%92/20360343" \h </w:instrText>
      </w:r>
      <w:r>
        <w:rPr>
          <w:sz w:val="24"/>
        </w:rPr>
        <w:fldChar w:fldCharType="separate"/>
      </w:r>
      <w:r>
        <w:rPr>
          <w:sz w:val="24"/>
        </w:rPr>
        <w:t>三五”国家食品安全规划</w:t>
      </w:r>
      <w:r>
        <w:rPr>
          <w:sz w:val="24"/>
        </w:rPr>
        <w:fldChar w:fldCharType="end"/>
      </w:r>
      <w:r>
        <w:rPr>
          <w:sz w:val="24"/>
        </w:rPr>
        <w:t>》国发【2017】12 号要求。</w:t>
      </w:r>
    </w:p>
    <w:p>
      <w:pPr>
        <w:adjustRightInd w:val="0"/>
        <w:snapToGrid w:val="0"/>
        <w:spacing w:line="360" w:lineRule="auto"/>
        <w:ind w:firstLine="480" w:firstLineChars="200"/>
        <w:rPr>
          <w:rFonts w:hint="eastAsia"/>
          <w:sz w:val="24"/>
          <w:lang w:val="en-US" w:eastAsia="zh-CN"/>
        </w:rPr>
      </w:pPr>
      <w:r>
        <w:rPr>
          <w:sz w:val="24"/>
        </w:rPr>
        <w:t>本项目符合</w:t>
      </w:r>
      <w:r>
        <w:rPr>
          <w:rFonts w:hint="eastAsia"/>
          <w:sz w:val="24"/>
          <w:lang w:eastAsia="zh-CN"/>
        </w:rPr>
        <w:t>当地生态红线保护规划</w:t>
      </w:r>
      <w:r>
        <w:rPr>
          <w:sz w:val="24"/>
        </w:rPr>
        <w:t>、《</w:t>
      </w:r>
      <w:r>
        <w:rPr>
          <w:sz w:val="24"/>
          <w:lang w:val="en-US" w:eastAsia="zh-CN"/>
        </w:rPr>
        <w:t xml:space="preserve">贵州省黔西南州义龙试验区(义龙新区) </w:t>
      </w:r>
      <w:r>
        <w:rPr>
          <w:rFonts w:hint="eastAsia"/>
          <w:sz w:val="24"/>
          <w:lang w:val="en-US" w:eastAsia="zh-CN"/>
        </w:rPr>
        <w:t>总体规划（2014-2030）</w:t>
      </w:r>
      <w:r>
        <w:rPr>
          <w:sz w:val="24"/>
        </w:rPr>
        <w:t>》以及土地利用等相关规划要求</w:t>
      </w:r>
      <w:r>
        <w:rPr>
          <w:rFonts w:hint="eastAsia"/>
          <w:sz w:val="24"/>
          <w:lang w:eastAsia="zh-CN"/>
        </w:rPr>
        <w:t>，</w:t>
      </w:r>
      <w:r>
        <w:rPr>
          <w:rFonts w:hint="eastAsia"/>
          <w:sz w:val="24"/>
          <w:lang w:val="en-US" w:eastAsia="zh-CN"/>
        </w:rPr>
        <w:t>项目用地已经通过了黔西南州义龙新区管理委员会专题会议纪要（管专议〔2019〕523 号）。</w:t>
      </w:r>
    </w:p>
    <w:p>
      <w:pPr>
        <w:adjustRightInd w:val="0"/>
        <w:snapToGrid w:val="0"/>
        <w:spacing w:line="360" w:lineRule="auto"/>
        <w:ind w:firstLine="480" w:firstLineChars="200"/>
        <w:rPr>
          <w:sz w:val="24"/>
        </w:rPr>
      </w:pPr>
      <w:r>
        <w:rPr>
          <w:sz w:val="24"/>
        </w:rPr>
        <w:t>本项目为屠宰场建设项目，项目建设符合国家、贵州省以及</w:t>
      </w:r>
      <w:r>
        <w:rPr>
          <w:rFonts w:hint="eastAsia"/>
          <w:sz w:val="24"/>
          <w:lang w:val="en-US" w:eastAsia="zh-CN"/>
        </w:rPr>
        <w:t>义龙新区</w:t>
      </w:r>
      <w:r>
        <w:rPr>
          <w:sz w:val="24"/>
        </w:rPr>
        <w:t>的产业政策，本项目的选址不在水源保护区、森林公园、风景名胜区、重要湿地等敏感区域内。各类污染物均可做到达标排放，排放量符合总量控制要求；项目运营后对区域环境造成的影响较小，能基本维持区域环境质量现状。但项目建设也存在一定的水环境污染风险，建设单位必须全面落实本报告书中提出的各项环保管理和污染防治措施，并重点对废气、废水排放、固体废物治理，严格执行“三同时”制度，确保污染防治设施正常运转，污染物达标排放，同时项目建设取得了周边公众的支持和理解。从环保的角度来看，本项目的建设是可行的。</w:t>
      </w: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p>
    <w:p/>
    <w:p>
      <w:pPr>
        <w:sectPr>
          <w:footerReference r:id="rId8" w:type="first"/>
          <w:headerReference r:id="rId5" w:type="default"/>
          <w:footerReference r:id="rId6" w:type="default"/>
          <w:footerReference r:id="rId7" w:type="even"/>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pStyle w:val="4"/>
        <w:spacing w:before="240" w:after="240"/>
        <w:rPr>
          <w:highlight w:val="none"/>
        </w:rPr>
      </w:pPr>
      <w:bookmarkStart w:id="46" w:name="_Toc6821"/>
      <w:r>
        <w:rPr>
          <w:highlight w:val="none"/>
        </w:rPr>
        <w:t>总则</w:t>
      </w:r>
      <w:bookmarkEnd w:id="46"/>
    </w:p>
    <w:p>
      <w:pPr>
        <w:pStyle w:val="5"/>
        <w:spacing w:before="120" w:after="120"/>
      </w:pPr>
      <w:bookmarkStart w:id="47" w:name="_Toc128446320"/>
      <w:bookmarkStart w:id="48" w:name="_Toc248308484"/>
      <w:bookmarkStart w:id="49" w:name="_Toc102884883"/>
      <w:bookmarkStart w:id="50" w:name="_Toc124332535"/>
      <w:bookmarkStart w:id="51" w:name="_Toc128904955"/>
      <w:bookmarkStart w:id="52" w:name="_Toc196880390"/>
      <w:bookmarkStart w:id="53" w:name="_Toc137734561"/>
      <w:bookmarkStart w:id="54" w:name="_Toc133825663"/>
      <w:bookmarkStart w:id="55" w:name="_Toc178061202"/>
      <w:bookmarkStart w:id="56" w:name="_Toc133825624"/>
      <w:bookmarkStart w:id="57" w:name="_Toc128446283"/>
      <w:bookmarkStart w:id="58" w:name="_Toc31487"/>
      <w:bookmarkStart w:id="59" w:name="_Toc528576654"/>
      <w:bookmarkStart w:id="60" w:name="_Toc528574439"/>
      <w:bookmarkStart w:id="61" w:name="_Toc498078291"/>
      <w:bookmarkStart w:id="62" w:name="_Toc88903244"/>
      <w:bookmarkStart w:id="63" w:name="_Toc528576171"/>
      <w:r>
        <w:t>编制依据</w:t>
      </w:r>
      <w:bookmarkEnd w:id="47"/>
      <w:bookmarkEnd w:id="48"/>
      <w:bookmarkEnd w:id="49"/>
      <w:bookmarkEnd w:id="50"/>
      <w:bookmarkEnd w:id="51"/>
      <w:bookmarkEnd w:id="52"/>
      <w:bookmarkEnd w:id="53"/>
      <w:bookmarkEnd w:id="54"/>
      <w:bookmarkEnd w:id="55"/>
      <w:bookmarkEnd w:id="56"/>
      <w:bookmarkEnd w:id="57"/>
      <w:bookmarkEnd w:id="58"/>
    </w:p>
    <w:p>
      <w:pPr>
        <w:pStyle w:val="6"/>
      </w:pPr>
      <w:bookmarkStart w:id="64" w:name="_Toc6608"/>
      <w:bookmarkStart w:id="65" w:name="_Toc528576172"/>
      <w:bookmarkStart w:id="66" w:name="_Toc248308487"/>
      <w:bookmarkStart w:id="67" w:name="_Toc528574440"/>
      <w:bookmarkStart w:id="68" w:name="_Toc528576655"/>
      <w:r>
        <w:t>国家级法律、法规</w:t>
      </w:r>
      <w:bookmarkEnd w:id="64"/>
    </w:p>
    <w:p>
      <w:pPr>
        <w:pStyle w:val="1659"/>
      </w:pPr>
      <w:r>
        <w:t>（1）《中华人民共和国环境保护法》，2015 年 1 月 1 日实施；</w:t>
      </w:r>
    </w:p>
    <w:p>
      <w:pPr>
        <w:pStyle w:val="1659"/>
      </w:pPr>
      <w:r>
        <w:t>（2）《中华人民共和国环境影响评价法》，2018 年 12 月 29 日修订；</w:t>
      </w:r>
    </w:p>
    <w:p>
      <w:pPr>
        <w:pStyle w:val="1659"/>
      </w:pPr>
      <w:r>
        <w:t>（3）《中华人民共和国大气污染防治法》，2018 年 10 月 26 日修订；</w:t>
      </w:r>
    </w:p>
    <w:p>
      <w:pPr>
        <w:pStyle w:val="1659"/>
      </w:pPr>
      <w:r>
        <w:t>（4）《中华人民共和国水污染防治法》，2018 年 1 月 1 日起施行；</w:t>
      </w:r>
    </w:p>
    <w:p>
      <w:pPr>
        <w:pStyle w:val="1659"/>
      </w:pPr>
      <w:r>
        <w:t>（5）《中华人民共和国固体废物污染环境防治法》，</w:t>
      </w:r>
      <w:r>
        <w:rPr>
          <w:rFonts w:hint="default"/>
        </w:rPr>
        <w:t>2020年4月29日</w:t>
      </w:r>
      <w:r>
        <w:t>修订；</w:t>
      </w:r>
    </w:p>
    <w:p>
      <w:pPr>
        <w:pStyle w:val="1659"/>
      </w:pPr>
      <w:r>
        <w:t>（6）《中华人民共和国环境噪声污染防治法》，2018 年 12 月 29 日修订；</w:t>
      </w:r>
    </w:p>
    <w:p>
      <w:pPr>
        <w:pStyle w:val="1659"/>
      </w:pPr>
      <w:r>
        <w:t>（7）《中华人民共和国水法》，2016 年 7 月 2 日修订；</w:t>
      </w:r>
    </w:p>
    <w:p>
      <w:pPr>
        <w:pStyle w:val="1659"/>
      </w:pPr>
      <w:r>
        <w:t>（8）《中华人民共和国土地管理法》，2011 年 1 月 8 日修订；</w:t>
      </w:r>
    </w:p>
    <w:p>
      <w:pPr>
        <w:pStyle w:val="1659"/>
      </w:pPr>
      <w:r>
        <w:t>（9）《中华人民共和国水土保持法》，2011 年 3 月 1 日施行；</w:t>
      </w:r>
    </w:p>
    <w:p>
      <w:pPr>
        <w:pStyle w:val="1659"/>
      </w:pPr>
      <w:r>
        <w:t>（10）《中华人民共和国循环经济促进法》，2009 年 1 月 1 日施行；</w:t>
      </w:r>
    </w:p>
    <w:p>
      <w:pPr>
        <w:pStyle w:val="1659"/>
      </w:pPr>
      <w:r>
        <w:t>（11）《中华人民共和国城乡规划法》，2015 年 4 月 24 日修订；</w:t>
      </w:r>
    </w:p>
    <w:p>
      <w:pPr>
        <w:pStyle w:val="1659"/>
      </w:pPr>
      <w:r>
        <w:t>（1</w:t>
      </w:r>
      <w:r>
        <w:rPr>
          <w:rFonts w:hint="eastAsia"/>
          <w:lang w:val="en-US" w:eastAsia="zh-CN"/>
        </w:rPr>
        <w:t>2</w:t>
      </w:r>
      <w:r>
        <w:t>）《中华人民共和国水土保持实施条例》，国务院令第 120 号，1993 年 8月1 日；</w:t>
      </w:r>
    </w:p>
    <w:p>
      <w:pPr>
        <w:pStyle w:val="1659"/>
      </w:pPr>
      <w:r>
        <w:t>（1</w:t>
      </w:r>
      <w:r>
        <w:rPr>
          <w:rFonts w:hint="eastAsia"/>
          <w:lang w:val="en-US" w:eastAsia="zh-CN"/>
        </w:rPr>
        <w:t>3</w:t>
      </w:r>
      <w:r>
        <w:t>）《中华人民共和国土壤污染防治法》（中华人民共和国主席令第八号），2018 年 9 月 1 日起施行；</w:t>
      </w:r>
    </w:p>
    <w:p>
      <w:pPr>
        <w:pStyle w:val="1659"/>
      </w:pPr>
      <w:r>
        <w:t>（1</w:t>
      </w:r>
      <w:r>
        <w:rPr>
          <w:rFonts w:hint="eastAsia"/>
          <w:lang w:val="en-US" w:eastAsia="zh-CN"/>
        </w:rPr>
        <w:t>4</w:t>
      </w:r>
      <w:r>
        <w:t>）《中华人民共和国安全生产法》（2014 年 12 月 1 日起实施）。</w:t>
      </w:r>
    </w:p>
    <w:p>
      <w:pPr>
        <w:pStyle w:val="6"/>
      </w:pPr>
      <w:bookmarkStart w:id="69" w:name="_Toc30134"/>
      <w:r>
        <w:rPr>
          <w:rFonts w:hint="eastAsia"/>
          <w:lang w:eastAsia="zh-CN"/>
        </w:rPr>
        <w:t>部门规章</w:t>
      </w:r>
      <w:bookmarkEnd w:id="69"/>
    </w:p>
    <w:p>
      <w:pPr>
        <w:pStyle w:val="1659"/>
      </w:pPr>
      <w:bookmarkStart w:id="70" w:name="_Toc320142853"/>
      <w:bookmarkStart w:id="71" w:name="_Toc201973769"/>
      <w:bookmarkStart w:id="72" w:name="_Toc312748591"/>
      <w:bookmarkStart w:id="73" w:name="_Toc302383759"/>
      <w:bookmarkStart w:id="74" w:name="_Toc277624471"/>
      <w:bookmarkStart w:id="75" w:name="_Toc205612184"/>
      <w:bookmarkStart w:id="76" w:name="_Toc215388905"/>
      <w:r>
        <w:t>（1）《建设项目环境保护管理条例》中华人民共和国国务院令第 682 号，2017年 7 月 16 日修订；</w:t>
      </w:r>
    </w:p>
    <w:p>
      <w:pPr>
        <w:pStyle w:val="1659"/>
      </w:pPr>
      <w:r>
        <w:t>（</w:t>
      </w:r>
      <w:r>
        <w:rPr>
          <w:rFonts w:hint="eastAsia"/>
          <w:lang w:val="en-US" w:eastAsia="zh-CN"/>
        </w:rPr>
        <w:t>2</w:t>
      </w:r>
      <w:r>
        <w:t>）</w:t>
      </w:r>
      <w:r>
        <w:rPr>
          <w:rFonts w:hint="eastAsia"/>
        </w:rPr>
        <w:t>中华人民共和国国家发展和改革委员会令第9号</w:t>
      </w:r>
      <w:r>
        <w:t>，《产业结构调整指导目录(201</w:t>
      </w:r>
      <w:r>
        <w:rPr>
          <w:rFonts w:hint="eastAsia"/>
          <w:lang w:val="en-US" w:eastAsia="zh-CN"/>
        </w:rPr>
        <w:t>9</w:t>
      </w:r>
      <w:r>
        <w:t xml:space="preserve"> 年本</w:t>
      </w:r>
      <w:r>
        <w:rPr>
          <w:rFonts w:hint="eastAsia"/>
          <w:lang w:eastAsia="zh-CN"/>
        </w:rPr>
        <w:t>）</w:t>
      </w:r>
      <w:r>
        <w:t>》，201</w:t>
      </w:r>
      <w:r>
        <w:rPr>
          <w:rFonts w:hint="eastAsia"/>
          <w:lang w:val="en-US" w:eastAsia="zh-CN"/>
        </w:rPr>
        <w:t>9</w:t>
      </w:r>
      <w:r>
        <w:t xml:space="preserve"> 年 </w:t>
      </w:r>
      <w:r>
        <w:rPr>
          <w:rFonts w:hint="eastAsia"/>
          <w:lang w:val="en-US" w:eastAsia="zh-CN"/>
        </w:rPr>
        <w:t>8</w:t>
      </w:r>
      <w:r>
        <w:t xml:space="preserve">月 </w:t>
      </w:r>
      <w:r>
        <w:rPr>
          <w:rFonts w:hint="eastAsia"/>
          <w:lang w:val="en-US" w:eastAsia="zh-CN"/>
        </w:rPr>
        <w:t>27</w:t>
      </w:r>
      <w:r>
        <w:t>日；</w:t>
      </w:r>
    </w:p>
    <w:p>
      <w:pPr>
        <w:pStyle w:val="1659"/>
      </w:pPr>
      <w:r>
        <w:t>（</w:t>
      </w:r>
      <w:r>
        <w:rPr>
          <w:rFonts w:hint="eastAsia"/>
          <w:lang w:val="en-US" w:eastAsia="zh-CN"/>
        </w:rPr>
        <w:t>3</w:t>
      </w:r>
      <w:r>
        <w:t>）环境保护部，环发[2012]77 号，《关于进一步加强环境影响评价管理防范环境风险的通知》（2012 年 7 月 3 日）；</w:t>
      </w:r>
    </w:p>
    <w:p>
      <w:pPr>
        <w:pStyle w:val="1659"/>
      </w:pPr>
      <w:r>
        <w:t>（</w:t>
      </w:r>
      <w:r>
        <w:rPr>
          <w:rFonts w:hint="eastAsia"/>
          <w:lang w:val="en-US" w:eastAsia="zh-CN"/>
        </w:rPr>
        <w:t>4</w:t>
      </w:r>
      <w:r>
        <w:t>）《环境影响评价公众参与办法》(生态环境部令第 4 号，2019 年 1 月 1 日实施）；</w:t>
      </w:r>
    </w:p>
    <w:p>
      <w:pPr>
        <w:pStyle w:val="1659"/>
      </w:pPr>
      <w:r>
        <w:t>（</w:t>
      </w:r>
      <w:r>
        <w:rPr>
          <w:rFonts w:hint="eastAsia"/>
          <w:lang w:val="en-US" w:eastAsia="zh-CN"/>
        </w:rPr>
        <w:t>5</w:t>
      </w:r>
      <w:r>
        <w:t>）国家环保部第 44 号令《建设项目环境影响评价分类管理名录》(国务院令第33 号，2017 年 9 月 1 日)；</w:t>
      </w:r>
    </w:p>
    <w:p>
      <w:pPr>
        <w:pStyle w:val="1659"/>
      </w:pPr>
      <w:r>
        <w:t>（</w:t>
      </w:r>
      <w:r>
        <w:rPr>
          <w:rFonts w:hint="eastAsia"/>
          <w:lang w:val="en-US" w:eastAsia="zh-CN"/>
        </w:rPr>
        <w:t>6</w:t>
      </w:r>
      <w:r>
        <w:t>）生态环境部第 1 号令《关于修改〈建设项目环境影响评价分类管理名录〉部分内容的决定》（2018 年 4 月 28 日修改单）；</w:t>
      </w:r>
    </w:p>
    <w:p>
      <w:pPr>
        <w:pStyle w:val="1659"/>
      </w:pPr>
      <w:r>
        <w:t>（</w:t>
      </w:r>
      <w:r>
        <w:rPr>
          <w:rFonts w:hint="eastAsia"/>
          <w:lang w:val="en-US" w:eastAsia="zh-CN"/>
        </w:rPr>
        <w:t>7</w:t>
      </w:r>
      <w:r>
        <w:t>）环境保护部，环办[2013]103 号，《关于印发《建设项目环境影响评价政府信息公开指南（试行）》的通知》；</w:t>
      </w:r>
    </w:p>
    <w:p>
      <w:pPr>
        <w:pStyle w:val="1659"/>
      </w:pPr>
      <w:r>
        <w:t>（</w:t>
      </w:r>
      <w:r>
        <w:rPr>
          <w:rFonts w:hint="eastAsia"/>
          <w:lang w:val="en-US" w:eastAsia="zh-CN"/>
        </w:rPr>
        <w:t>8</w:t>
      </w:r>
      <w:r>
        <w:t>）农业部，农办医[2016]12 号，《农业部办公厅关于做好 2016 年畜禽屠宰行业管理工作的通知》，2016 年 3 月 4 日；</w:t>
      </w:r>
    </w:p>
    <w:p>
      <w:pPr>
        <w:pStyle w:val="1659"/>
      </w:pPr>
      <w:r>
        <w:t>（</w:t>
      </w:r>
      <w:r>
        <w:rPr>
          <w:rFonts w:hint="eastAsia"/>
          <w:lang w:val="en-US" w:eastAsia="zh-CN"/>
        </w:rPr>
        <w:t>9</w:t>
      </w:r>
      <w:r>
        <w:t>）《企业事业单位突发环境事件应急预案备案管理办法（试行）的通知》（环发[2015]4 号）；</w:t>
      </w:r>
    </w:p>
    <w:p>
      <w:pPr>
        <w:pStyle w:val="1659"/>
      </w:pPr>
      <w:r>
        <w:t>（1</w:t>
      </w:r>
      <w:r>
        <w:rPr>
          <w:rFonts w:hint="eastAsia"/>
          <w:lang w:val="en-US" w:eastAsia="zh-CN"/>
        </w:rPr>
        <w:t>0</w:t>
      </w:r>
      <w:r>
        <w:t>）《关于以改善环境质量为核心加强环境影响评价管理的通知》（环环评[2016]150 号）；</w:t>
      </w:r>
    </w:p>
    <w:p>
      <w:pPr>
        <w:pStyle w:val="1659"/>
      </w:pPr>
      <w:r>
        <w:t>（1</w:t>
      </w:r>
      <w:r>
        <w:rPr>
          <w:rFonts w:hint="eastAsia"/>
          <w:lang w:val="en-US" w:eastAsia="zh-CN"/>
        </w:rPr>
        <w:t>1</w:t>
      </w:r>
      <w:r>
        <w:t>）国发〔2016〕31 号《国务院关于印发土壤污染防治行动计划的通知》(2016 年 5 月 28 日)；</w:t>
      </w:r>
    </w:p>
    <w:p>
      <w:pPr>
        <w:pStyle w:val="1659"/>
      </w:pPr>
      <w:r>
        <w:t>（1</w:t>
      </w:r>
      <w:r>
        <w:rPr>
          <w:rFonts w:hint="eastAsia"/>
          <w:lang w:val="en-US" w:eastAsia="zh-CN"/>
        </w:rPr>
        <w:t>2</w:t>
      </w:r>
      <w:r>
        <w:t>）国发〔2015〕17 号《国务院关于印发水污染防治行动计划的通知》(2015年4月2日)；</w:t>
      </w:r>
    </w:p>
    <w:p>
      <w:pPr>
        <w:pStyle w:val="1659"/>
      </w:pPr>
      <w:r>
        <w:t>（1</w:t>
      </w:r>
      <w:r>
        <w:rPr>
          <w:rFonts w:hint="eastAsia"/>
          <w:lang w:val="en-US" w:eastAsia="zh-CN"/>
        </w:rPr>
        <w:t>3</w:t>
      </w:r>
      <w:r>
        <w:t>）国发〔2013〕37 号《国务院关于印发大气污染防治行动计划的通知》(2013年 9 月 10 日)；</w:t>
      </w:r>
    </w:p>
    <w:p>
      <w:pPr>
        <w:pStyle w:val="1659"/>
      </w:pPr>
      <w:r>
        <w:t>（1</w:t>
      </w:r>
      <w:r>
        <w:rPr>
          <w:rFonts w:hint="eastAsia"/>
          <w:lang w:val="en-US" w:eastAsia="zh-CN"/>
        </w:rPr>
        <w:t>4</w:t>
      </w:r>
      <w:r>
        <w:t>）国发〔2015〕17 号《国务院关于印发水污染防治行动计划的通知》(2015 年 4 月 2 日)；</w:t>
      </w:r>
    </w:p>
    <w:p>
      <w:pPr>
        <w:pStyle w:val="1659"/>
      </w:pPr>
      <w:r>
        <w:t>（1</w:t>
      </w:r>
      <w:r>
        <w:rPr>
          <w:rFonts w:hint="eastAsia"/>
          <w:lang w:val="en-US" w:eastAsia="zh-CN"/>
        </w:rPr>
        <w:t>5</w:t>
      </w:r>
      <w:r>
        <w:t>）环境保护部环办〔2013〕104 号《关于切实加强环境影响评价监督管理工作的通知》（2013 年 11 月 15 日）；</w:t>
      </w:r>
    </w:p>
    <w:p>
      <w:pPr>
        <w:pStyle w:val="1659"/>
      </w:pPr>
      <w:r>
        <w:t>（1</w:t>
      </w:r>
      <w:r>
        <w:rPr>
          <w:rFonts w:hint="eastAsia"/>
          <w:lang w:val="en-US" w:eastAsia="zh-CN"/>
        </w:rPr>
        <w:t>6</w:t>
      </w:r>
      <w:r>
        <w:t>）《印发&lt;关于加强工业节水工作的意见的通知》（国经贸资源[2000]1015号）；</w:t>
      </w:r>
    </w:p>
    <w:p>
      <w:pPr>
        <w:pStyle w:val="1659"/>
        <w:rPr>
          <w:rFonts w:hint="eastAsia" w:eastAsia="宋体"/>
          <w:lang w:eastAsia="zh-CN"/>
        </w:rPr>
      </w:pPr>
      <w:r>
        <w:t>（1</w:t>
      </w:r>
      <w:r>
        <w:rPr>
          <w:rFonts w:hint="eastAsia"/>
          <w:lang w:val="en-US" w:eastAsia="zh-CN"/>
        </w:rPr>
        <w:t>7</w:t>
      </w:r>
      <w:r>
        <w:t>）《关于加强自然资源开发生态环境保护监管工作的意见》（国家环保总局环发[2004]24 号，2004.02.12）</w:t>
      </w:r>
      <w:r>
        <w:rPr>
          <w:rFonts w:hint="eastAsia"/>
          <w:lang w:eastAsia="zh-CN"/>
        </w:rPr>
        <w:t>；</w:t>
      </w:r>
    </w:p>
    <w:p>
      <w:pPr>
        <w:pStyle w:val="1659"/>
        <w:rPr>
          <w:rFonts w:hint="eastAsia" w:eastAsia="宋体"/>
          <w:lang w:eastAsia="zh-CN"/>
        </w:rPr>
      </w:pPr>
      <w:r>
        <w:t>（1</w:t>
      </w:r>
      <w:r>
        <w:rPr>
          <w:rFonts w:hint="eastAsia"/>
          <w:lang w:val="en-US" w:eastAsia="zh-CN"/>
        </w:rPr>
        <w:t>8</w:t>
      </w:r>
      <w:r>
        <w:t>）《病死及病害动物无害化处理技术规范》（农业部，2017年7月3日）</w:t>
      </w:r>
      <w:r>
        <w:rPr>
          <w:rFonts w:hint="eastAsia"/>
          <w:lang w:eastAsia="zh-CN"/>
        </w:rPr>
        <w:t>；</w:t>
      </w:r>
    </w:p>
    <w:p>
      <w:pPr>
        <w:pStyle w:val="1659"/>
      </w:pPr>
      <w:r>
        <w:t>（1</w:t>
      </w:r>
      <w:r>
        <w:rPr>
          <w:rFonts w:hint="eastAsia"/>
          <w:lang w:val="en-US" w:eastAsia="zh-CN"/>
        </w:rPr>
        <w:t>9</w:t>
      </w:r>
      <w:r>
        <w:t>）环保部令第 35 号《环境保护公众参与办法》（2015 年 7 月 13 日）；</w:t>
      </w:r>
    </w:p>
    <w:p>
      <w:pPr>
        <w:pStyle w:val="1659"/>
      </w:pPr>
      <w:r>
        <w:t>（</w:t>
      </w:r>
      <w:r>
        <w:rPr>
          <w:rFonts w:hint="eastAsia"/>
          <w:lang w:val="en-US" w:eastAsia="zh-CN"/>
        </w:rPr>
        <w:t>20</w:t>
      </w:r>
      <w:r>
        <w:t>）环保部令第 39 号令《国家危险废物名录》（2016 年 8 月 1 日实施）；</w:t>
      </w:r>
    </w:p>
    <w:p>
      <w:pPr>
        <w:pStyle w:val="1659"/>
      </w:pPr>
      <w:r>
        <w:t>（</w:t>
      </w:r>
      <w:r>
        <w:rPr>
          <w:rFonts w:hint="eastAsia"/>
          <w:lang w:val="en-US" w:eastAsia="zh-CN"/>
        </w:rPr>
        <w:t>2</w:t>
      </w:r>
      <w:r>
        <w:t>1）环境保护部环水体[2016]186 号《排污许可证管理暂行规定》（2016 年 12月 23 日）；</w:t>
      </w:r>
    </w:p>
    <w:p>
      <w:pPr>
        <w:pStyle w:val="1659"/>
      </w:pPr>
      <w:r>
        <w:t>（</w:t>
      </w:r>
      <w:r>
        <w:rPr>
          <w:rFonts w:hint="eastAsia"/>
          <w:lang w:val="en-US" w:eastAsia="zh-CN"/>
        </w:rPr>
        <w:t>22</w:t>
      </w:r>
      <w:r>
        <w:t>）</w:t>
      </w:r>
      <w:r>
        <w:fldChar w:fldCharType="begin"/>
      </w:r>
      <w:r>
        <w:instrText xml:space="preserve"> HYPERLINK "http://www.mep.gov.cn/gkml/hbb/bl/201801/t20180117_429828.htm" \h </w:instrText>
      </w:r>
      <w:r>
        <w:fldChar w:fldCharType="separate"/>
      </w:r>
      <w:r>
        <w:t>环保部令第 48 号《排污许可管理办法（试行）》</w:t>
      </w:r>
      <w:r>
        <w:fldChar w:fldCharType="end"/>
      </w:r>
      <w:r>
        <w:t>（2018 年 1 月 25 日）；</w:t>
      </w:r>
    </w:p>
    <w:p>
      <w:pPr>
        <w:pStyle w:val="1659"/>
      </w:pPr>
      <w:r>
        <w:t>（</w:t>
      </w:r>
      <w:r>
        <w:rPr>
          <w:rFonts w:hint="eastAsia"/>
          <w:lang w:val="en-US" w:eastAsia="zh-CN"/>
        </w:rPr>
        <w:t>23</w:t>
      </w:r>
      <w:r>
        <w:t>）《建设项目环境影响评价文件分级审批规定》（环保部 5 号令）；</w:t>
      </w:r>
    </w:p>
    <w:p>
      <w:pPr>
        <w:pStyle w:val="1659"/>
      </w:pPr>
      <w:r>
        <w:t>（</w:t>
      </w:r>
      <w:r>
        <w:rPr>
          <w:rFonts w:hint="eastAsia"/>
          <w:lang w:val="en-US" w:eastAsia="zh-CN"/>
        </w:rPr>
        <w:t>24</w:t>
      </w:r>
      <w:r>
        <w:t>）国务院第 450 号令《重大动物疫情应急条例》，2005 年 11 月 16；</w:t>
      </w:r>
    </w:p>
    <w:p>
      <w:pPr>
        <w:pStyle w:val="1659"/>
      </w:pPr>
      <w:r>
        <w:t>（</w:t>
      </w:r>
      <w:r>
        <w:rPr>
          <w:rFonts w:hint="eastAsia"/>
          <w:lang w:val="en-US" w:eastAsia="zh-CN"/>
        </w:rPr>
        <w:t>25</w:t>
      </w:r>
      <w:r>
        <w:t>）《危险化学品目录（2015 版）》（安全监管总局、工业和信息化部、公安部、环境保护部、交通运输部、农业部、国家卫生计生委、质检总局、铁路局、民航局公告 2015 年第 5 号，2015 年 5 月 1 日施行）。</w:t>
      </w:r>
    </w:p>
    <w:p>
      <w:pPr>
        <w:pStyle w:val="6"/>
      </w:pPr>
      <w:bookmarkStart w:id="77" w:name="_Toc4395"/>
      <w:r>
        <w:rPr>
          <w:rFonts w:hint="eastAsia"/>
          <w:lang w:eastAsia="zh-CN"/>
        </w:rPr>
        <w:t>地方性规章规范</w:t>
      </w:r>
      <w:bookmarkEnd w:id="77"/>
    </w:p>
    <w:p>
      <w:pPr>
        <w:pStyle w:val="1659"/>
      </w:pPr>
      <w:r>
        <w:rPr>
          <w:szCs w:val="24"/>
        </w:rPr>
        <w:t>(1)</w:t>
      </w:r>
      <w:r>
        <w:t>《贵州省环境保护条例》（贵州省人大常委会，2009 年 6 月 1 日起实施）；</w:t>
      </w:r>
    </w:p>
    <w:p>
      <w:pPr>
        <w:pStyle w:val="1659"/>
      </w:pPr>
      <w:r>
        <w:rPr>
          <w:szCs w:val="24"/>
        </w:rPr>
        <w:t>(</w:t>
      </w:r>
      <w:r>
        <w:rPr>
          <w:rFonts w:hint="eastAsia"/>
          <w:szCs w:val="24"/>
          <w:lang w:val="en-US" w:eastAsia="zh-CN"/>
        </w:rPr>
        <w:t>2</w:t>
      </w:r>
      <w:r>
        <w:rPr>
          <w:szCs w:val="24"/>
        </w:rPr>
        <w:t>)</w:t>
      </w:r>
      <w:r>
        <w:t>《贵州省土地管理条例》（贵州省九届人大常委会第十八次会议修正，2001 年 1 月 1 日起实施）；</w:t>
      </w:r>
    </w:p>
    <w:p>
      <w:pPr>
        <w:pStyle w:val="1659"/>
      </w:pPr>
      <w:r>
        <w:rPr>
          <w:szCs w:val="24"/>
        </w:rPr>
        <w:t>(</w:t>
      </w:r>
      <w:r>
        <w:rPr>
          <w:rFonts w:hint="eastAsia"/>
          <w:szCs w:val="24"/>
          <w:lang w:val="en-US" w:eastAsia="zh-CN"/>
        </w:rPr>
        <w:t>3</w:t>
      </w:r>
      <w:r>
        <w:rPr>
          <w:szCs w:val="24"/>
        </w:rPr>
        <w:t>)</w:t>
      </w:r>
      <w:r>
        <w:t>《贵州省大气污染防治条例》（2016 年 9 月 1 日）；</w:t>
      </w:r>
    </w:p>
    <w:p>
      <w:pPr>
        <w:pStyle w:val="1659"/>
      </w:pPr>
      <w:r>
        <w:rPr>
          <w:szCs w:val="24"/>
        </w:rPr>
        <w:t>(</w:t>
      </w:r>
      <w:r>
        <w:rPr>
          <w:rFonts w:hint="eastAsia"/>
          <w:szCs w:val="24"/>
          <w:lang w:val="en-US" w:eastAsia="zh-CN"/>
        </w:rPr>
        <w:t>4</w:t>
      </w:r>
      <w:r>
        <w:rPr>
          <w:szCs w:val="24"/>
        </w:rPr>
        <w:t>)</w:t>
      </w:r>
      <w:r>
        <w:t>《贵州省土壤污染防治工作方案》的通知黔府发〔2016〕31 号；</w:t>
      </w:r>
    </w:p>
    <w:p>
      <w:pPr>
        <w:pStyle w:val="1659"/>
      </w:pPr>
      <w:r>
        <w:rPr>
          <w:szCs w:val="24"/>
        </w:rPr>
        <w:t>(</w:t>
      </w:r>
      <w:r>
        <w:rPr>
          <w:rFonts w:hint="eastAsia"/>
          <w:szCs w:val="24"/>
          <w:lang w:val="en-US" w:eastAsia="zh-CN"/>
        </w:rPr>
        <w:t>5</w:t>
      </w:r>
      <w:r>
        <w:rPr>
          <w:szCs w:val="24"/>
        </w:rPr>
        <w:t>)</w:t>
      </w:r>
      <w:r>
        <w:t>《贵州省水污染防治条例》（2017 年 11 月 30 日贵州省第十二届人民代表大会常务委员会第三十二次会议通过自 2018 年 2 月 1 日起施行）</w:t>
      </w:r>
    </w:p>
    <w:p>
      <w:pPr>
        <w:pStyle w:val="1659"/>
      </w:pPr>
      <w:r>
        <w:rPr>
          <w:szCs w:val="24"/>
        </w:rPr>
        <w:t>(</w:t>
      </w:r>
      <w:r>
        <w:rPr>
          <w:rFonts w:hint="eastAsia"/>
          <w:szCs w:val="24"/>
          <w:lang w:val="en-US" w:eastAsia="zh-CN"/>
        </w:rPr>
        <w:t>6</w:t>
      </w:r>
      <w:r>
        <w:rPr>
          <w:szCs w:val="24"/>
        </w:rPr>
        <w:t>)</w:t>
      </w:r>
      <w:r>
        <w:t>《贵州省环境噪声污染防治条例》（贵州省人民代表大会常务委员会，2018 年 1 月 1 日起实施）；</w:t>
      </w:r>
    </w:p>
    <w:p>
      <w:pPr>
        <w:pStyle w:val="1659"/>
      </w:pPr>
      <w:r>
        <w:rPr>
          <w:szCs w:val="24"/>
        </w:rPr>
        <w:t>(</w:t>
      </w:r>
      <w:r>
        <w:rPr>
          <w:rFonts w:hint="eastAsia"/>
          <w:szCs w:val="24"/>
          <w:lang w:val="en-US" w:eastAsia="zh-CN"/>
        </w:rPr>
        <w:t>7</w:t>
      </w:r>
      <w:r>
        <w:rPr>
          <w:szCs w:val="24"/>
        </w:rPr>
        <w:t>)</w:t>
      </w:r>
      <w:r>
        <w:t>《贵州省生态保护红线管理暂行办法》（黔府发[2016]32 号）；</w:t>
      </w:r>
    </w:p>
    <w:p>
      <w:pPr>
        <w:pStyle w:val="1659"/>
      </w:pPr>
      <w:r>
        <w:rPr>
          <w:szCs w:val="24"/>
        </w:rPr>
        <w:t>(</w:t>
      </w:r>
      <w:r>
        <w:rPr>
          <w:rFonts w:hint="eastAsia"/>
          <w:szCs w:val="24"/>
          <w:lang w:val="en-US" w:eastAsia="zh-CN"/>
        </w:rPr>
        <w:t>8</w:t>
      </w:r>
      <w:r>
        <w:rPr>
          <w:szCs w:val="24"/>
        </w:rPr>
        <w:t>)</w:t>
      </w:r>
      <w:r>
        <w:t>《贵州省水功能区划》（2015 黔府函[2015]30 号）；</w:t>
      </w:r>
    </w:p>
    <w:p>
      <w:pPr>
        <w:pStyle w:val="1659"/>
      </w:pPr>
      <w:r>
        <w:rPr>
          <w:szCs w:val="24"/>
        </w:rPr>
        <w:t>(</w:t>
      </w:r>
      <w:r>
        <w:rPr>
          <w:rFonts w:hint="eastAsia"/>
          <w:szCs w:val="24"/>
          <w:lang w:val="en-US" w:eastAsia="zh-CN"/>
        </w:rPr>
        <w:t>9</w:t>
      </w:r>
      <w:r>
        <w:rPr>
          <w:szCs w:val="24"/>
        </w:rPr>
        <w:t>)</w:t>
      </w:r>
      <w:r>
        <w:t>《贵州省生态功能区划》（贵州省环境保护局，2005.5）；</w:t>
      </w:r>
    </w:p>
    <w:p>
      <w:pPr>
        <w:pStyle w:val="1659"/>
        <w:rPr>
          <w:rFonts w:hint="eastAsia" w:eastAsia="宋体"/>
          <w:lang w:eastAsia="zh-CN"/>
        </w:rPr>
      </w:pPr>
      <w:r>
        <w:rPr>
          <w:szCs w:val="24"/>
        </w:rPr>
        <w:t>(1</w:t>
      </w:r>
      <w:r>
        <w:rPr>
          <w:rFonts w:hint="eastAsia"/>
          <w:szCs w:val="24"/>
          <w:lang w:val="en-US" w:eastAsia="zh-CN"/>
        </w:rPr>
        <w:t>0</w:t>
      </w:r>
      <w:r>
        <w:rPr>
          <w:szCs w:val="24"/>
        </w:rPr>
        <w:t>)</w:t>
      </w:r>
      <w:r>
        <w:t>贵州省人民政府黔府函〔2016〕327 号《省人民政府关于贵州省“十三五” 环境保护规划的批复》，2016.12.18</w:t>
      </w:r>
      <w:r>
        <w:rPr>
          <w:rFonts w:hint="eastAsia"/>
          <w:lang w:eastAsia="zh-CN"/>
        </w:rPr>
        <w:t>；</w:t>
      </w:r>
    </w:p>
    <w:p>
      <w:pPr>
        <w:pStyle w:val="1659"/>
      </w:pPr>
      <w:r>
        <w:rPr>
          <w:szCs w:val="24"/>
        </w:rPr>
        <w:t>(</w:t>
      </w:r>
      <w:r>
        <w:rPr>
          <w:rFonts w:hint="eastAsia"/>
          <w:szCs w:val="24"/>
          <w:lang w:val="en-US" w:eastAsia="zh-CN"/>
        </w:rPr>
        <w:t>1</w:t>
      </w:r>
      <w:r>
        <w:rPr>
          <w:szCs w:val="24"/>
        </w:rPr>
        <w:t>1)</w:t>
      </w:r>
      <w:r>
        <w:t>《贵州省水土保持条例》（2012 年 11 月 29 日贵州省第十一届人民代表大会常务委员会第三十一次会议通过）；</w:t>
      </w:r>
    </w:p>
    <w:p>
      <w:pPr>
        <w:pStyle w:val="1659"/>
      </w:pPr>
      <w:r>
        <w:rPr>
          <w:szCs w:val="24"/>
        </w:rPr>
        <w:t>(1</w:t>
      </w:r>
      <w:r>
        <w:rPr>
          <w:rFonts w:hint="eastAsia"/>
          <w:szCs w:val="24"/>
          <w:lang w:val="en-US" w:eastAsia="zh-CN"/>
        </w:rPr>
        <w:t>2</w:t>
      </w:r>
      <w:r>
        <w:rPr>
          <w:szCs w:val="24"/>
        </w:rPr>
        <w:t>)</w:t>
      </w:r>
      <w:r>
        <w:t>《贵州省生猪屠宰管理办法》（贵州省人民政府第 52 号）</w:t>
      </w:r>
    </w:p>
    <w:p>
      <w:pPr>
        <w:pStyle w:val="1659"/>
      </w:pPr>
      <w:r>
        <w:rPr>
          <w:szCs w:val="24"/>
        </w:rPr>
        <w:t>(1</w:t>
      </w:r>
      <w:r>
        <w:rPr>
          <w:rFonts w:hint="eastAsia"/>
          <w:szCs w:val="24"/>
          <w:lang w:val="en-US" w:eastAsia="zh-CN"/>
        </w:rPr>
        <w:t>3</w:t>
      </w:r>
      <w:r>
        <w:rPr>
          <w:szCs w:val="24"/>
        </w:rPr>
        <w:t>)</w:t>
      </w:r>
      <w:r>
        <w:t>《贵州省建设项目环境影响评价文件分级管理目录（2015 年本）》（黔环通〔2015〕269 号），2015 年 12 月 29 日；</w:t>
      </w:r>
    </w:p>
    <w:p>
      <w:pPr>
        <w:pStyle w:val="1659"/>
      </w:pPr>
      <w:r>
        <w:rPr>
          <w:szCs w:val="24"/>
        </w:rPr>
        <w:t>(1</w:t>
      </w:r>
      <w:r>
        <w:rPr>
          <w:rFonts w:hint="eastAsia"/>
          <w:szCs w:val="24"/>
          <w:lang w:val="en-US" w:eastAsia="zh-CN"/>
        </w:rPr>
        <w:t>4</w:t>
      </w:r>
      <w:r>
        <w:rPr>
          <w:szCs w:val="24"/>
        </w:rPr>
        <w:t>)</w:t>
      </w:r>
      <w:r>
        <w:t>《关于进一步加强环境影响评价管理工作的通知》（黔环函[2012]184号），2012 年 8 月 28 日；</w:t>
      </w:r>
    </w:p>
    <w:p>
      <w:pPr>
        <w:pStyle w:val="1659"/>
      </w:pPr>
      <w:r>
        <w:rPr>
          <w:szCs w:val="24"/>
        </w:rPr>
        <w:t>(1</w:t>
      </w:r>
      <w:r>
        <w:rPr>
          <w:rFonts w:hint="eastAsia"/>
          <w:szCs w:val="24"/>
          <w:lang w:val="en-US" w:eastAsia="zh-CN"/>
        </w:rPr>
        <w:t>5</w:t>
      </w:r>
      <w:r>
        <w:rPr>
          <w:szCs w:val="24"/>
        </w:rPr>
        <w:t>)</w:t>
      </w:r>
      <w:r>
        <w:t>《贵州省主体功能区规划》，2013 年 5 月 27 日；</w:t>
      </w:r>
    </w:p>
    <w:p>
      <w:pPr>
        <w:pStyle w:val="1659"/>
      </w:pPr>
      <w:r>
        <w:rPr>
          <w:szCs w:val="24"/>
        </w:rPr>
        <w:t>(1</w:t>
      </w:r>
      <w:r>
        <w:rPr>
          <w:rFonts w:hint="eastAsia"/>
          <w:szCs w:val="24"/>
          <w:lang w:val="en-US" w:eastAsia="zh-CN"/>
        </w:rPr>
        <w:t>6</w:t>
      </w:r>
      <w:r>
        <w:rPr>
          <w:szCs w:val="24"/>
        </w:rPr>
        <w:t>)</w:t>
      </w:r>
      <w:r>
        <w:t>《省人民政府关于印发贵州省大气污染防治行动计划实施方案的通知》（黔府发[2014]13 号），2014 年 5 月 6 日；</w:t>
      </w:r>
    </w:p>
    <w:p>
      <w:pPr>
        <w:pStyle w:val="1659"/>
      </w:pPr>
      <w:r>
        <w:rPr>
          <w:szCs w:val="24"/>
        </w:rPr>
        <w:t>(1</w:t>
      </w:r>
      <w:r>
        <w:rPr>
          <w:rFonts w:hint="eastAsia"/>
          <w:szCs w:val="24"/>
          <w:lang w:val="en-US" w:eastAsia="zh-CN"/>
        </w:rPr>
        <w:t>7</w:t>
      </w:r>
      <w:r>
        <w:rPr>
          <w:szCs w:val="24"/>
        </w:rPr>
        <w:t>)</w:t>
      </w:r>
      <w:r>
        <w:t>《省人民政府关于印发贵州省水污染防治行动计划工作方案的通知》（黔府发[2015]39 号），2015 年 12 月 30 日。</w:t>
      </w:r>
    </w:p>
    <w:p>
      <w:pPr>
        <w:pStyle w:val="1659"/>
      </w:pPr>
      <w:r>
        <w:rPr>
          <w:szCs w:val="24"/>
        </w:rPr>
        <w:t>(1</w:t>
      </w:r>
      <w:r>
        <w:rPr>
          <w:rFonts w:hint="eastAsia"/>
          <w:szCs w:val="24"/>
          <w:lang w:val="en-US" w:eastAsia="zh-CN"/>
        </w:rPr>
        <w:t>8</w:t>
      </w:r>
      <w:r>
        <w:rPr>
          <w:szCs w:val="24"/>
        </w:rPr>
        <w:t>)</w:t>
      </w:r>
      <w:r>
        <w:t>《贵州省“十三五”环境保护专项规划》（黔府函[2016]327 号），2016 年 12月 18 日；</w:t>
      </w:r>
    </w:p>
    <w:p>
      <w:pPr>
        <w:pStyle w:val="1659"/>
      </w:pPr>
      <w:r>
        <w:rPr>
          <w:szCs w:val="24"/>
        </w:rPr>
        <w:t>(1</w:t>
      </w:r>
      <w:r>
        <w:rPr>
          <w:rFonts w:hint="eastAsia"/>
          <w:szCs w:val="24"/>
          <w:lang w:val="en-US" w:eastAsia="zh-CN"/>
        </w:rPr>
        <w:t>9</w:t>
      </w:r>
      <w:r>
        <w:rPr>
          <w:szCs w:val="24"/>
        </w:rPr>
        <w:t>)</w:t>
      </w:r>
      <w:r>
        <w:t>《贵州省“十三五”生态建设规划》（黔府函[2016]312 号），2016年12月6日；</w:t>
      </w:r>
    </w:p>
    <w:p>
      <w:pPr>
        <w:pStyle w:val="1659"/>
      </w:pPr>
      <w:r>
        <w:rPr>
          <w:szCs w:val="24"/>
        </w:rPr>
        <w:t>(</w:t>
      </w:r>
      <w:r>
        <w:rPr>
          <w:rFonts w:hint="eastAsia"/>
          <w:szCs w:val="24"/>
          <w:lang w:val="en-US" w:eastAsia="zh-CN"/>
        </w:rPr>
        <w:t>20</w:t>
      </w:r>
      <w:r>
        <w:rPr>
          <w:szCs w:val="24"/>
        </w:rPr>
        <w:t>)</w:t>
      </w:r>
      <w:r>
        <w:t>《贵州省 2018 年建筑工地扬尘治理专项整治方案》（黔建建通2018年，62 号）；</w:t>
      </w:r>
    </w:p>
    <w:p>
      <w:pPr>
        <w:pStyle w:val="1659"/>
      </w:pPr>
      <w:r>
        <w:rPr>
          <w:szCs w:val="24"/>
        </w:rPr>
        <w:t>(</w:t>
      </w:r>
      <w:r>
        <w:rPr>
          <w:rFonts w:hint="eastAsia"/>
          <w:szCs w:val="24"/>
          <w:lang w:val="en-US" w:eastAsia="zh-CN"/>
        </w:rPr>
        <w:t>21</w:t>
      </w:r>
      <w:r>
        <w:rPr>
          <w:szCs w:val="24"/>
        </w:rPr>
        <w:t>)</w:t>
      </w:r>
      <w:r>
        <w:t>州人民政府办公室关于印发《黔西南州水污染防治行动计划工作方案》的通知，2016 年 3 月 31 日；</w:t>
      </w:r>
    </w:p>
    <w:p>
      <w:pPr>
        <w:pStyle w:val="1659"/>
      </w:pPr>
      <w:r>
        <w:rPr>
          <w:szCs w:val="24"/>
        </w:rPr>
        <w:t>(</w:t>
      </w:r>
      <w:r>
        <w:rPr>
          <w:rFonts w:hint="eastAsia"/>
          <w:szCs w:val="24"/>
          <w:lang w:val="en-US" w:eastAsia="zh-CN"/>
        </w:rPr>
        <w:t>22</w:t>
      </w:r>
      <w:r>
        <w:rPr>
          <w:szCs w:val="24"/>
        </w:rPr>
        <w:t>)</w:t>
      </w:r>
      <w:r>
        <w:t>《贵州省人民政府关于发布贵州省生态保护红线的通知》（黔府发【2018】16 号）；</w:t>
      </w:r>
    </w:p>
    <w:p>
      <w:pPr>
        <w:pStyle w:val="1659"/>
      </w:pPr>
      <w:r>
        <w:rPr>
          <w:szCs w:val="24"/>
        </w:rPr>
        <w:t>(</w:t>
      </w:r>
      <w:r>
        <w:rPr>
          <w:rFonts w:hint="eastAsia"/>
          <w:szCs w:val="24"/>
          <w:lang w:val="en-US" w:eastAsia="zh-CN"/>
        </w:rPr>
        <w:t>23</w:t>
      </w:r>
      <w:r>
        <w:rPr>
          <w:szCs w:val="24"/>
        </w:rPr>
        <w:t>)</w:t>
      </w:r>
      <w:r>
        <w:t>《关于全面深化环评审批制度改革工作的意见》（黔府办发〔2016〕19 号）；</w:t>
      </w:r>
    </w:p>
    <w:p>
      <w:pPr>
        <w:pStyle w:val="1659"/>
      </w:pPr>
      <w:r>
        <w:rPr>
          <w:szCs w:val="24"/>
        </w:rPr>
        <w:t>(</w:t>
      </w:r>
      <w:r>
        <w:rPr>
          <w:rFonts w:hint="eastAsia"/>
          <w:szCs w:val="24"/>
          <w:lang w:val="en-US" w:eastAsia="zh-CN"/>
        </w:rPr>
        <w:t>24</w:t>
      </w:r>
      <w:r>
        <w:rPr>
          <w:szCs w:val="24"/>
        </w:rPr>
        <w:t>)</w:t>
      </w:r>
      <w:r>
        <w:t>《关于以改善环境质量为核心加强环境影响评价管理的通知》（(环环评〔2016〕150 号)）；</w:t>
      </w:r>
    </w:p>
    <w:p>
      <w:pPr>
        <w:pStyle w:val="1659"/>
      </w:pPr>
      <w:r>
        <w:rPr>
          <w:szCs w:val="24"/>
        </w:rPr>
        <w:t>(</w:t>
      </w:r>
      <w:r>
        <w:rPr>
          <w:rFonts w:hint="eastAsia"/>
          <w:szCs w:val="24"/>
          <w:lang w:val="en-US" w:eastAsia="zh-CN"/>
        </w:rPr>
        <w:t>25</w:t>
      </w:r>
      <w:r>
        <w:rPr>
          <w:szCs w:val="24"/>
        </w:rPr>
        <w:t>)</w:t>
      </w:r>
      <w:r>
        <w:t>《贵州省牲畜屠宰条例》（2015 年 7 月 31 日修订）。</w:t>
      </w:r>
    </w:p>
    <w:p>
      <w:pPr>
        <w:pStyle w:val="6"/>
      </w:pPr>
      <w:bookmarkStart w:id="78" w:name="_Toc26822"/>
      <w:r>
        <w:t>环评导则及技术规范</w:t>
      </w:r>
      <w:bookmarkEnd w:id="70"/>
      <w:bookmarkEnd w:id="71"/>
      <w:bookmarkEnd w:id="72"/>
      <w:bookmarkEnd w:id="73"/>
      <w:bookmarkEnd w:id="74"/>
      <w:bookmarkEnd w:id="75"/>
      <w:bookmarkEnd w:id="76"/>
      <w:bookmarkEnd w:id="78"/>
    </w:p>
    <w:p>
      <w:pPr>
        <w:pStyle w:val="1659"/>
        <w:rPr>
          <w:szCs w:val="24"/>
        </w:rPr>
      </w:pPr>
      <w:r>
        <w:rPr>
          <w:szCs w:val="24"/>
        </w:rPr>
        <w:t>(1)《建设项目环境影响评价技术导则－总纲》（HJ2.1－2016）；</w:t>
      </w:r>
    </w:p>
    <w:p>
      <w:pPr>
        <w:pStyle w:val="1659"/>
        <w:rPr>
          <w:szCs w:val="24"/>
        </w:rPr>
      </w:pPr>
      <w:r>
        <w:rPr>
          <w:szCs w:val="24"/>
        </w:rPr>
        <w:t>(2)《环境影响评价技术导则－声环境》（HJ2.4－2009）；</w:t>
      </w:r>
    </w:p>
    <w:p>
      <w:pPr>
        <w:pStyle w:val="1659"/>
        <w:rPr>
          <w:szCs w:val="24"/>
        </w:rPr>
      </w:pPr>
      <w:r>
        <w:rPr>
          <w:szCs w:val="24"/>
        </w:rPr>
        <w:t>(3)《环境影响评价技术导则－大气环境》(HJ2.2－20</w:t>
      </w:r>
      <w:r>
        <w:rPr>
          <w:rFonts w:hint="eastAsia"/>
          <w:szCs w:val="24"/>
          <w:lang w:val="en-US" w:eastAsia="zh-CN"/>
        </w:rPr>
        <w:t>1</w:t>
      </w:r>
      <w:r>
        <w:rPr>
          <w:szCs w:val="24"/>
        </w:rPr>
        <w:t>8）；</w:t>
      </w:r>
    </w:p>
    <w:p>
      <w:pPr>
        <w:pStyle w:val="1659"/>
        <w:rPr>
          <w:szCs w:val="24"/>
        </w:rPr>
      </w:pPr>
      <w:r>
        <w:rPr>
          <w:szCs w:val="24"/>
        </w:rPr>
        <w:t>(4)《环境影响评价技术导则－地面水环境》(HJ2.3－</w:t>
      </w:r>
      <w:r>
        <w:rPr>
          <w:rFonts w:hint="eastAsia"/>
          <w:szCs w:val="24"/>
          <w:lang w:val="en-US" w:eastAsia="zh-CN"/>
        </w:rPr>
        <w:t>2018</w:t>
      </w:r>
      <w:r>
        <w:rPr>
          <w:szCs w:val="24"/>
        </w:rPr>
        <w:t>）；</w:t>
      </w:r>
    </w:p>
    <w:p>
      <w:pPr>
        <w:pStyle w:val="1659"/>
        <w:rPr>
          <w:szCs w:val="24"/>
        </w:rPr>
      </w:pPr>
      <w:r>
        <w:rPr>
          <w:szCs w:val="24"/>
        </w:rPr>
        <w:t>(5)《环境影响评价技术导则－生态影响》（HJ19－2011）；</w:t>
      </w:r>
    </w:p>
    <w:p>
      <w:pPr>
        <w:pStyle w:val="1659"/>
        <w:rPr>
          <w:szCs w:val="24"/>
        </w:rPr>
      </w:pPr>
      <w:r>
        <w:rPr>
          <w:szCs w:val="24"/>
        </w:rPr>
        <w:t>(6)《建设项目环境风险评价技术导则》（HJ169－20</w:t>
      </w:r>
      <w:r>
        <w:rPr>
          <w:rFonts w:hint="eastAsia"/>
          <w:szCs w:val="24"/>
          <w:lang w:val="en-US" w:eastAsia="zh-CN"/>
        </w:rPr>
        <w:t>18</w:t>
      </w:r>
      <w:r>
        <w:rPr>
          <w:szCs w:val="24"/>
        </w:rPr>
        <w:t>）；</w:t>
      </w:r>
    </w:p>
    <w:p>
      <w:pPr>
        <w:pStyle w:val="1659"/>
        <w:rPr>
          <w:szCs w:val="24"/>
        </w:rPr>
      </w:pPr>
      <w:r>
        <w:rPr>
          <w:szCs w:val="24"/>
        </w:rPr>
        <w:t>(7)《环境影响评价技术导则－地下水环境》（HJ610－2016）；</w:t>
      </w:r>
    </w:p>
    <w:p>
      <w:pPr>
        <w:pStyle w:val="1659"/>
        <w:rPr>
          <w:szCs w:val="24"/>
        </w:rPr>
      </w:pPr>
      <w:r>
        <w:rPr>
          <w:szCs w:val="24"/>
        </w:rPr>
        <w:t>(8)《建设项目危险废物环境影响评价指南》（环保部公告 2017 年第 43 号）；</w:t>
      </w:r>
    </w:p>
    <w:p>
      <w:pPr>
        <w:pStyle w:val="750"/>
        <w:adjustRightInd w:val="0"/>
        <w:snapToGrid w:val="0"/>
        <w:spacing w:line="360" w:lineRule="auto"/>
        <w:ind w:firstLine="480" w:firstLineChars="200"/>
        <w:rPr>
          <w:rFonts w:ascii="Times New Roman" w:eastAsia="宋体"/>
          <w:bCs w:val="0"/>
          <w:spacing w:val="-4"/>
          <w:sz w:val="24"/>
          <w:szCs w:val="24"/>
        </w:rPr>
      </w:pPr>
      <w:r>
        <w:rPr>
          <w:rFonts w:ascii="Times New Roman" w:eastAsia="宋体"/>
          <w:sz w:val="24"/>
          <w:szCs w:val="24"/>
        </w:rPr>
        <w:t>(9)《固体废物鉴别标准通则》（GB 34330-2017）；</w:t>
      </w:r>
    </w:p>
    <w:p>
      <w:pPr>
        <w:adjustRightInd w:val="0"/>
        <w:snapToGrid w:val="0"/>
        <w:spacing w:line="360" w:lineRule="auto"/>
        <w:ind w:firstLine="480" w:firstLineChars="200"/>
        <w:rPr>
          <w:sz w:val="24"/>
        </w:rPr>
      </w:pPr>
      <w:r>
        <w:rPr>
          <w:sz w:val="24"/>
        </w:rPr>
        <w:t>(10)《排污单位自行监测技术指南总则》（HJ 819-2017）；</w:t>
      </w:r>
    </w:p>
    <w:p>
      <w:pPr>
        <w:adjustRightInd w:val="0"/>
        <w:snapToGrid w:val="0"/>
        <w:spacing w:line="360" w:lineRule="auto"/>
        <w:ind w:firstLine="480" w:firstLineChars="200"/>
        <w:rPr>
          <w:bCs/>
          <w:spacing w:val="-2"/>
          <w:sz w:val="24"/>
        </w:rPr>
      </w:pPr>
      <w:r>
        <w:rPr>
          <w:sz w:val="24"/>
        </w:rPr>
        <w:t>(11)《屠宰与肉类加工废水治理工程技术规范》（HJ2004-2010）；</w:t>
      </w:r>
    </w:p>
    <w:p>
      <w:pPr>
        <w:adjustRightInd w:val="0"/>
        <w:snapToGrid w:val="0"/>
        <w:spacing w:line="360" w:lineRule="auto"/>
        <w:ind w:firstLine="480" w:firstLineChars="200"/>
        <w:rPr>
          <w:sz w:val="24"/>
        </w:rPr>
      </w:pPr>
      <w:r>
        <w:rPr>
          <w:sz w:val="24"/>
        </w:rPr>
        <w:t>(12)《制定地方大气污染物排放标准的技术方法》（GB/T13201-91）;</w:t>
      </w:r>
    </w:p>
    <w:p>
      <w:pPr>
        <w:adjustRightInd w:val="0"/>
        <w:snapToGrid w:val="0"/>
        <w:spacing w:line="360" w:lineRule="auto"/>
        <w:ind w:firstLine="480" w:firstLineChars="200"/>
        <w:rPr>
          <w:sz w:val="24"/>
        </w:rPr>
      </w:pPr>
      <w:r>
        <w:rPr>
          <w:sz w:val="24"/>
        </w:rPr>
        <w:t>(13)《食品企业通用卫生规范》（GB14881-2013）；</w:t>
      </w:r>
    </w:p>
    <w:p>
      <w:pPr>
        <w:adjustRightInd w:val="0"/>
        <w:snapToGrid w:val="0"/>
        <w:spacing w:line="360" w:lineRule="auto"/>
        <w:ind w:firstLine="480" w:firstLineChars="200"/>
        <w:rPr>
          <w:rFonts w:hint="eastAsia"/>
          <w:sz w:val="24"/>
          <w:lang w:val="en-US" w:eastAsia="zh-CN"/>
        </w:rPr>
      </w:pPr>
      <w:r>
        <w:rPr>
          <w:sz w:val="24"/>
        </w:rPr>
        <w:t>(14)《屠宰和肉类加工企业卫生注册管理规范》（GB/T20094-2006）；</w:t>
      </w:r>
    </w:p>
    <w:p>
      <w:pPr>
        <w:adjustRightInd w:val="0"/>
        <w:snapToGrid w:val="0"/>
        <w:spacing w:line="360" w:lineRule="auto"/>
        <w:ind w:firstLine="480" w:firstLineChars="200"/>
        <w:rPr>
          <w:rFonts w:hint="eastAsia"/>
          <w:sz w:val="24"/>
          <w:lang w:val="en-US" w:eastAsia="zh-CN"/>
        </w:rPr>
      </w:pPr>
      <w:r>
        <w:rPr>
          <w:rFonts w:hint="eastAsia"/>
          <w:sz w:val="24"/>
          <w:lang w:val="en-US" w:eastAsia="zh-CN"/>
        </w:rPr>
        <w:t>(15)《屠宰加工通用技术条件》（GB/T17237-2008）；</w:t>
      </w:r>
    </w:p>
    <w:p>
      <w:pPr>
        <w:adjustRightInd w:val="0"/>
        <w:snapToGrid w:val="0"/>
        <w:spacing w:line="360" w:lineRule="auto"/>
        <w:ind w:firstLine="480" w:firstLineChars="200"/>
        <w:rPr>
          <w:rFonts w:hint="eastAsia"/>
          <w:sz w:val="24"/>
          <w:lang w:val="en-US" w:eastAsia="zh-CN"/>
        </w:rPr>
      </w:pPr>
      <w:r>
        <w:rPr>
          <w:rFonts w:hint="eastAsia"/>
          <w:sz w:val="24"/>
          <w:lang w:val="en-US" w:eastAsia="zh-CN"/>
        </w:rPr>
        <w:t>(16)《畜禽粪便安全使用准则》（NY/T1334-2007）；</w:t>
      </w:r>
    </w:p>
    <w:p>
      <w:pPr>
        <w:adjustRightInd w:val="0"/>
        <w:snapToGrid w:val="0"/>
        <w:spacing w:line="360" w:lineRule="auto"/>
        <w:ind w:firstLine="480" w:firstLineChars="200"/>
        <w:rPr>
          <w:rFonts w:hint="eastAsia"/>
          <w:sz w:val="24"/>
          <w:lang w:val="en-US" w:eastAsia="zh-CN"/>
        </w:rPr>
      </w:pPr>
      <w:r>
        <w:rPr>
          <w:rFonts w:hint="eastAsia"/>
          <w:sz w:val="24"/>
          <w:lang w:val="en-US" w:eastAsia="zh-CN"/>
        </w:rPr>
        <w:t>(17)《病死及病害动物无害化处理技术规范》（农业部 2017.7.3）；</w:t>
      </w:r>
    </w:p>
    <w:p>
      <w:pPr>
        <w:adjustRightInd w:val="0"/>
        <w:snapToGrid w:val="0"/>
        <w:spacing w:line="360" w:lineRule="auto"/>
        <w:ind w:firstLine="480" w:firstLineChars="200"/>
        <w:rPr>
          <w:rFonts w:hint="eastAsia"/>
          <w:sz w:val="24"/>
          <w:lang w:val="en-US" w:eastAsia="zh-CN"/>
        </w:rPr>
      </w:pPr>
      <w:r>
        <w:rPr>
          <w:rFonts w:hint="eastAsia"/>
          <w:sz w:val="24"/>
          <w:lang w:val="en-US" w:eastAsia="zh-CN"/>
        </w:rPr>
        <w:t>(18)《病害动物和病害动物产品生物安全处理规程》（GB16548-2006）；</w:t>
      </w:r>
    </w:p>
    <w:p>
      <w:pPr>
        <w:pStyle w:val="2"/>
        <w:rPr>
          <w:rFonts w:hint="eastAsia"/>
          <w:lang w:val="en-US" w:eastAsia="zh-CN"/>
        </w:rPr>
      </w:pPr>
      <w:r>
        <w:rPr>
          <w:rFonts w:hint="eastAsia"/>
          <w:sz w:val="24"/>
          <w:lang w:val="en-US" w:eastAsia="zh-CN"/>
        </w:rPr>
        <w:t>(19)</w:t>
      </w:r>
      <w:r>
        <w:rPr>
          <w:rFonts w:hint="eastAsia"/>
          <w:lang w:val="en-US" w:eastAsia="zh-CN"/>
        </w:rPr>
        <w:t>《猪屠宰与分割车间设计规范》（GB50317-2009）；</w:t>
      </w:r>
    </w:p>
    <w:p>
      <w:pPr>
        <w:pStyle w:val="2"/>
        <w:rPr>
          <w:rFonts w:hint="eastAsia"/>
          <w:lang w:val="en-US" w:eastAsia="zh-CN"/>
        </w:rPr>
      </w:pPr>
      <w:r>
        <w:rPr>
          <w:rFonts w:hint="eastAsia"/>
          <w:sz w:val="24"/>
          <w:lang w:val="en-US" w:eastAsia="zh-CN"/>
        </w:rPr>
        <w:t>(20)</w:t>
      </w:r>
      <w:r>
        <w:rPr>
          <w:rFonts w:hint="eastAsia"/>
          <w:lang w:val="en-US" w:eastAsia="zh-CN"/>
        </w:rPr>
        <w:t>《生猪定点屠宰厂（场）资质等级要求》（SB10396-2011）</w:t>
      </w:r>
    </w:p>
    <w:p>
      <w:pPr>
        <w:pStyle w:val="2"/>
        <w:rPr>
          <w:rFonts w:hint="eastAsia"/>
          <w:lang w:val="en-US" w:eastAsia="zh-CN"/>
        </w:rPr>
      </w:pPr>
      <w:r>
        <w:rPr>
          <w:rFonts w:hint="eastAsia"/>
          <w:sz w:val="24"/>
          <w:lang w:val="en-US" w:eastAsia="zh-CN"/>
        </w:rPr>
        <w:t>(21)</w:t>
      </w:r>
      <w:r>
        <w:rPr>
          <w:rFonts w:hint="eastAsia"/>
          <w:lang w:val="en-US" w:eastAsia="zh-CN"/>
        </w:rPr>
        <w:t>《冷库设计规范》GB50072-2010，2010 年 7 月 1 日；</w:t>
      </w:r>
    </w:p>
    <w:p>
      <w:pPr>
        <w:pStyle w:val="2"/>
        <w:rPr>
          <w:rFonts w:hint="eastAsia"/>
          <w:lang w:val="en-US" w:eastAsia="zh-CN"/>
        </w:rPr>
      </w:pPr>
      <w:r>
        <w:rPr>
          <w:rFonts w:hint="eastAsia"/>
          <w:sz w:val="24"/>
          <w:lang w:val="en-US" w:eastAsia="zh-CN"/>
        </w:rPr>
        <w:t>(22)</w:t>
      </w:r>
      <w:r>
        <w:rPr>
          <w:rFonts w:hint="eastAsia"/>
          <w:lang w:val="en-US" w:eastAsia="zh-CN"/>
        </w:rPr>
        <w:t>《肉类冷库建设标准》，1992 年 6 月 1 日；</w:t>
      </w:r>
    </w:p>
    <w:p>
      <w:pPr>
        <w:pStyle w:val="2"/>
        <w:rPr>
          <w:rFonts w:hint="eastAsia"/>
          <w:lang w:val="en-US" w:eastAsia="zh-CN"/>
        </w:rPr>
      </w:pPr>
      <w:r>
        <w:rPr>
          <w:rFonts w:hint="eastAsia"/>
          <w:sz w:val="24"/>
          <w:lang w:val="en-US" w:eastAsia="zh-CN"/>
        </w:rPr>
        <w:t>(23)</w:t>
      </w:r>
      <w:r>
        <w:rPr>
          <w:rFonts w:hint="eastAsia"/>
          <w:lang w:val="en-US" w:eastAsia="zh-CN"/>
        </w:rPr>
        <w:t>《牛羊屠宰与分割车间设计规范》（GB51225-2017）；</w:t>
      </w:r>
    </w:p>
    <w:p>
      <w:pPr>
        <w:pStyle w:val="2"/>
        <w:rPr>
          <w:rFonts w:hint="eastAsia"/>
          <w:lang w:val="en-US" w:eastAsia="zh-CN"/>
        </w:rPr>
      </w:pPr>
      <w:r>
        <w:rPr>
          <w:rFonts w:hint="eastAsia"/>
          <w:sz w:val="24"/>
          <w:lang w:val="en-US" w:eastAsia="zh-CN"/>
        </w:rPr>
        <w:t>(24)</w:t>
      </w:r>
      <w:r>
        <w:rPr>
          <w:rFonts w:hint="eastAsia"/>
          <w:lang w:val="en-US" w:eastAsia="zh-CN"/>
        </w:rPr>
        <w:t>《排污许可证申请与核发技术规范农副食品加工工业—屠宰及肉类加工工业》（HJ860.3-2018）；</w:t>
      </w:r>
    </w:p>
    <w:p>
      <w:pPr>
        <w:pStyle w:val="2"/>
        <w:rPr>
          <w:rFonts w:hint="eastAsia"/>
          <w:lang w:val="en-US" w:eastAsia="zh-CN"/>
        </w:rPr>
      </w:pPr>
      <w:r>
        <w:rPr>
          <w:rFonts w:hint="eastAsia"/>
          <w:sz w:val="24"/>
          <w:lang w:val="en-US" w:eastAsia="zh-CN"/>
        </w:rPr>
        <w:t>(25)</w:t>
      </w:r>
      <w:r>
        <w:rPr>
          <w:rFonts w:hint="eastAsia"/>
          <w:lang w:val="en-US" w:eastAsia="zh-CN"/>
        </w:rPr>
        <w:t>《排污单位自行监测技术指南》（HJ 819-2017）。</w:t>
      </w:r>
    </w:p>
    <w:bookmarkEnd w:id="65"/>
    <w:bookmarkEnd w:id="66"/>
    <w:bookmarkEnd w:id="67"/>
    <w:bookmarkEnd w:id="68"/>
    <w:p>
      <w:pPr>
        <w:pStyle w:val="6"/>
      </w:pPr>
      <w:bookmarkStart w:id="79" w:name="_Toc248308488"/>
      <w:bookmarkStart w:id="80" w:name="_Toc32179"/>
      <w:r>
        <w:t>其它有关依据</w:t>
      </w:r>
      <w:bookmarkEnd w:id="79"/>
      <w:bookmarkEnd w:id="80"/>
    </w:p>
    <w:p>
      <w:pPr>
        <w:pStyle w:val="1192"/>
        <w:ind w:firstLine="480"/>
      </w:pPr>
      <w:r>
        <w:t>(1)《</w:t>
      </w:r>
      <w:r>
        <w:rPr>
          <w:rFonts w:hint="eastAsia"/>
          <w:lang w:eastAsia="zh-CN"/>
        </w:rPr>
        <w:t>贵州省黔西南州义龙试验区（义龙新区）总体规划（</w:t>
      </w:r>
      <w:r>
        <w:rPr>
          <w:rFonts w:hint="eastAsia"/>
          <w:lang w:val="en-US" w:eastAsia="zh-CN"/>
        </w:rPr>
        <w:t>2014-2020</w:t>
      </w:r>
      <w:r>
        <w:rPr>
          <w:rFonts w:hint="eastAsia"/>
          <w:lang w:eastAsia="zh-CN"/>
        </w:rPr>
        <w:t>）环境影响报告书</w:t>
      </w:r>
      <w:r>
        <w:t>》（</w:t>
      </w:r>
      <w:r>
        <w:rPr>
          <w:rFonts w:hint="eastAsia"/>
          <w:lang w:eastAsia="zh-CN"/>
        </w:rPr>
        <w:t>贵州省环境科学研究设计院、黔西南州义龙新区管理委员会</w:t>
      </w:r>
      <w:r>
        <w:t>，201</w:t>
      </w:r>
      <w:r>
        <w:rPr>
          <w:rFonts w:hint="eastAsia"/>
          <w:lang w:val="en-US" w:eastAsia="zh-CN"/>
        </w:rPr>
        <w:t>8</w:t>
      </w:r>
      <w:r>
        <w:t>年</w:t>
      </w:r>
      <w:r>
        <w:rPr>
          <w:rFonts w:hint="eastAsia"/>
          <w:lang w:val="en-US" w:eastAsia="zh-CN"/>
        </w:rPr>
        <w:t>9</w:t>
      </w:r>
      <w:r>
        <w:t>月）；</w:t>
      </w:r>
    </w:p>
    <w:p>
      <w:pPr>
        <w:pStyle w:val="1192"/>
        <w:ind w:firstLine="480"/>
      </w:pPr>
      <w:r>
        <w:t>(2)环评委托书；</w:t>
      </w:r>
    </w:p>
    <w:p>
      <w:pPr>
        <w:pStyle w:val="1192"/>
        <w:ind w:firstLine="480"/>
      </w:pPr>
      <w:r>
        <w:t>(3)建设单位提供的其它相关技术资料。</w:t>
      </w:r>
    </w:p>
    <w:p>
      <w:pPr>
        <w:pStyle w:val="5"/>
        <w:spacing w:before="120" w:after="120"/>
      </w:pPr>
      <w:bookmarkStart w:id="81" w:name="_Toc24220"/>
      <w:bookmarkStart w:id="82" w:name="_Toc248308492"/>
      <w:bookmarkStart w:id="83" w:name="_Toc135630030"/>
      <w:bookmarkStart w:id="84" w:name="_Toc137861423"/>
      <w:bookmarkStart w:id="85" w:name="_Toc124913960"/>
      <w:r>
        <w:t>评价标准</w:t>
      </w:r>
      <w:bookmarkEnd w:id="81"/>
    </w:p>
    <w:p>
      <w:pPr>
        <w:spacing w:line="360" w:lineRule="auto"/>
        <w:ind w:firstLine="482"/>
        <w:rPr>
          <w:sz w:val="24"/>
        </w:rPr>
      </w:pPr>
      <w:r>
        <w:rPr>
          <w:sz w:val="24"/>
        </w:rPr>
        <w:t>依据本项目所在区域的环境特点及本项目的特点，本项目所在区域内的环境质量标准执行如下：</w:t>
      </w:r>
    </w:p>
    <w:p>
      <w:pPr>
        <w:pStyle w:val="6"/>
      </w:pPr>
      <w:bookmarkStart w:id="86" w:name="_Toc17410"/>
      <w:r>
        <w:rPr>
          <w:rFonts w:hint="eastAsia"/>
          <w:lang w:eastAsia="zh-CN"/>
        </w:rPr>
        <w:t>环境质量标准</w:t>
      </w:r>
      <w:bookmarkEnd w:id="86"/>
    </w:p>
    <w:p>
      <w:pPr>
        <w:spacing w:line="360" w:lineRule="auto"/>
        <w:ind w:firstLine="482"/>
        <w:rPr>
          <w:color w:val="000000" w:themeColor="text1"/>
          <w:sz w:val="24"/>
          <w14:textFill>
            <w14:solidFill>
              <w14:schemeClr w14:val="tx1"/>
            </w14:solidFill>
          </w14:textFill>
        </w:rPr>
      </w:pPr>
      <w:r>
        <w:rPr>
          <w:rFonts w:hint="eastAsia"/>
          <w:color w:val="000000" w:themeColor="text1"/>
          <w:spacing w:val="3"/>
          <w:position w:val="2"/>
          <w:sz w:val="24"/>
          <w:lang w:eastAsia="zh-CN"/>
          <w14:textFill>
            <w14:solidFill>
              <w14:schemeClr w14:val="tx1"/>
            </w14:solidFill>
          </w14:textFill>
        </w:rPr>
        <w:t>（</w:t>
      </w:r>
      <w:r>
        <w:rPr>
          <w:rFonts w:hint="eastAsia"/>
          <w:color w:val="000000" w:themeColor="text1"/>
          <w:spacing w:val="3"/>
          <w:position w:val="2"/>
          <w:sz w:val="24"/>
          <w:lang w:val="en-US" w:eastAsia="zh-CN"/>
          <w14:textFill>
            <w14:solidFill>
              <w14:schemeClr w14:val="tx1"/>
            </w14:solidFill>
          </w14:textFill>
        </w:rPr>
        <w:t>1</w:t>
      </w:r>
      <w:r>
        <w:rPr>
          <w:rFonts w:hint="eastAsia"/>
          <w:color w:val="000000" w:themeColor="text1"/>
          <w:spacing w:val="3"/>
          <w:position w:val="2"/>
          <w:sz w:val="24"/>
          <w:lang w:eastAsia="zh-CN"/>
          <w14:textFill>
            <w14:solidFill>
              <w14:schemeClr w14:val="tx1"/>
            </w14:solidFill>
          </w14:textFill>
        </w:rPr>
        <w:t>）</w:t>
      </w:r>
      <w:r>
        <w:rPr>
          <w:color w:val="000000" w:themeColor="text1"/>
          <w:spacing w:val="3"/>
          <w:position w:val="2"/>
          <w:sz w:val="24"/>
          <w14:textFill>
            <w14:solidFill>
              <w14:schemeClr w14:val="tx1"/>
            </w14:solidFill>
          </w14:textFill>
        </w:rPr>
        <w:t>环境空气：</w:t>
      </w:r>
      <w:r>
        <w:rPr>
          <w:rFonts w:hint="eastAsia"/>
          <w:color w:val="000000" w:themeColor="text1"/>
          <w:spacing w:val="3"/>
          <w:position w:val="2"/>
          <w:sz w:val="24"/>
          <w14:textFill>
            <w14:solidFill>
              <w14:schemeClr w14:val="tx1"/>
            </w14:solidFill>
          </w14:textFill>
        </w:rPr>
        <w:t>环境空气质量标准执行《环境空气质量标准》（GB3095-2012）及其2018年修改单的二级标准；</w:t>
      </w:r>
      <w:r>
        <w:rPr>
          <w:rFonts w:hint="default" w:ascii="Times New Roman" w:hAnsi="Times New Roman" w:cs="Times New Roman"/>
          <w:color w:val="000000" w:themeColor="text1"/>
          <w:spacing w:val="3"/>
          <w:position w:val="2"/>
          <w:sz w:val="24"/>
          <w14:textFill>
            <w14:solidFill>
              <w14:schemeClr w14:val="tx1"/>
            </w14:solidFill>
          </w14:textFill>
        </w:rPr>
        <w:t>NH</w:t>
      </w:r>
      <w:r>
        <w:rPr>
          <w:rFonts w:hint="default" w:ascii="Times New Roman" w:hAnsi="Times New Roman" w:cs="Times New Roman"/>
          <w:color w:val="000000" w:themeColor="text1"/>
          <w:spacing w:val="3"/>
          <w:position w:val="2"/>
          <w:sz w:val="24"/>
          <w:vertAlign w:val="subscript"/>
          <w14:textFill>
            <w14:solidFill>
              <w14:schemeClr w14:val="tx1"/>
            </w14:solidFill>
          </w14:textFill>
        </w:rPr>
        <w:t>3</w:t>
      </w:r>
      <w:r>
        <w:rPr>
          <w:rFonts w:hint="default" w:ascii="Times New Roman" w:hAnsi="Times New Roman" w:cs="Times New Roman"/>
          <w:color w:val="000000" w:themeColor="text1"/>
          <w:spacing w:val="3"/>
          <w:position w:val="2"/>
          <w:sz w:val="24"/>
          <w14:textFill>
            <w14:solidFill>
              <w14:schemeClr w14:val="tx1"/>
            </w14:solidFill>
          </w14:textFill>
        </w:rPr>
        <w:t>、H</w:t>
      </w:r>
      <w:r>
        <w:rPr>
          <w:rFonts w:hint="default" w:ascii="Times New Roman" w:hAnsi="Times New Roman" w:cs="Times New Roman"/>
          <w:color w:val="000000" w:themeColor="text1"/>
          <w:spacing w:val="3"/>
          <w:position w:val="2"/>
          <w:sz w:val="24"/>
          <w:vertAlign w:val="subscript"/>
          <w14:textFill>
            <w14:solidFill>
              <w14:schemeClr w14:val="tx1"/>
            </w14:solidFill>
          </w14:textFill>
        </w:rPr>
        <w:t>2</w:t>
      </w:r>
      <w:r>
        <w:rPr>
          <w:rFonts w:hint="default" w:ascii="Times New Roman" w:hAnsi="Times New Roman" w:cs="Times New Roman"/>
          <w:color w:val="000000" w:themeColor="text1"/>
          <w:spacing w:val="3"/>
          <w:position w:val="2"/>
          <w:sz w:val="24"/>
          <w14:textFill>
            <w14:solidFill>
              <w14:schemeClr w14:val="tx1"/>
            </w14:solidFill>
          </w14:textFill>
        </w:rPr>
        <w:t>S</w:t>
      </w:r>
      <w:r>
        <w:rPr>
          <w:rFonts w:hint="eastAsia"/>
          <w:color w:val="000000" w:themeColor="text1"/>
          <w:spacing w:val="3"/>
          <w:position w:val="2"/>
          <w:sz w:val="24"/>
          <w14:textFill>
            <w14:solidFill>
              <w14:schemeClr w14:val="tx1"/>
            </w14:solidFill>
          </w14:textFill>
        </w:rPr>
        <w:t>质量标准执行《环境影响评价技术导则大气环境》（HJ2.2-2018）附录D中给出的参考质量限值要求</w:t>
      </w:r>
      <w:r>
        <w:rPr>
          <w:color w:val="000000" w:themeColor="text1"/>
          <w:spacing w:val="-5"/>
          <w:sz w:val="24"/>
          <w14:textFill>
            <w14:solidFill>
              <w14:schemeClr w14:val="tx1"/>
            </w14:solidFill>
          </w14:textFill>
        </w:rPr>
        <w:t xml:space="preserve">；标准限值详见表 </w:t>
      </w:r>
      <w:r>
        <w:rPr>
          <w:rFonts w:ascii="Times New Roman" w:eastAsia="Times New Roman"/>
          <w:color w:val="000000" w:themeColor="text1"/>
          <w:sz w:val="24"/>
          <w14:textFill>
            <w14:solidFill>
              <w14:schemeClr w14:val="tx1"/>
            </w14:solidFill>
          </w14:textFill>
        </w:rPr>
        <w:t>2.</w:t>
      </w:r>
      <w:r>
        <w:rPr>
          <w:rFonts w:hint="eastAsia" w:eastAsia="宋体"/>
          <w:color w:val="000000" w:themeColor="text1"/>
          <w:sz w:val="24"/>
          <w:lang w:val="en-US" w:eastAsia="zh-CN"/>
          <w14:textFill>
            <w14:solidFill>
              <w14:schemeClr w14:val="tx1"/>
            </w14:solidFill>
          </w14:textFill>
        </w:rPr>
        <w:t>2</w:t>
      </w:r>
      <w:r>
        <w:rPr>
          <w:rFonts w:ascii="Times New Roman" w:eastAsia="Times New Roman"/>
          <w:color w:val="000000" w:themeColor="text1"/>
          <w:sz w:val="24"/>
          <w14:textFill>
            <w14:solidFill>
              <w14:schemeClr w14:val="tx1"/>
            </w14:solidFill>
          </w14:textFill>
        </w:rPr>
        <w:t>-1</w:t>
      </w:r>
      <w:r>
        <w:rPr>
          <w:color w:val="000000" w:themeColor="text1"/>
          <w:sz w:val="24"/>
          <w14:textFill>
            <w14:solidFill>
              <w14:schemeClr w14:val="tx1"/>
            </w14:solidFill>
          </w14:textFill>
        </w:rPr>
        <w:t>；</w:t>
      </w:r>
    </w:p>
    <w:p>
      <w:pPr>
        <w:spacing w:before="83"/>
        <w:ind w:left="3309" w:right="0" w:firstLine="0"/>
        <w:jc w:val="both"/>
        <w:rPr>
          <w:b/>
          <w:color w:val="000000" w:themeColor="text1"/>
          <w:sz w:val="21"/>
          <w14:textFill>
            <w14:solidFill>
              <w14:schemeClr w14:val="tx1"/>
            </w14:solidFill>
          </w14:textFill>
        </w:rPr>
      </w:pPr>
      <w:r>
        <w:rPr>
          <w:b/>
          <w:color w:val="000000" w:themeColor="text1"/>
          <w:spacing w:val="-26"/>
          <w:sz w:val="21"/>
          <w14:textFill>
            <w14:solidFill>
              <w14:schemeClr w14:val="tx1"/>
            </w14:solidFill>
          </w14:textFill>
        </w:rPr>
        <w:t xml:space="preserve">表 </w:t>
      </w:r>
      <w:r>
        <w:rPr>
          <w:rFonts w:ascii="Times New Roman" w:eastAsia="Times New Roman"/>
          <w:b/>
          <w:color w:val="000000" w:themeColor="text1"/>
          <w:sz w:val="21"/>
          <w14:textFill>
            <w14:solidFill>
              <w14:schemeClr w14:val="tx1"/>
            </w14:solidFill>
          </w14:textFill>
        </w:rPr>
        <w:t>2.</w:t>
      </w:r>
      <w:r>
        <w:rPr>
          <w:rFonts w:hint="eastAsia" w:eastAsia="宋体"/>
          <w:b/>
          <w:color w:val="000000" w:themeColor="text1"/>
          <w:sz w:val="21"/>
          <w:lang w:val="en-US" w:eastAsia="zh-CN"/>
          <w14:textFill>
            <w14:solidFill>
              <w14:schemeClr w14:val="tx1"/>
            </w14:solidFill>
          </w14:textFill>
        </w:rPr>
        <w:t>2</w:t>
      </w:r>
      <w:r>
        <w:rPr>
          <w:rFonts w:ascii="Times New Roman" w:eastAsia="Times New Roman"/>
          <w:b/>
          <w:color w:val="000000" w:themeColor="text1"/>
          <w:sz w:val="21"/>
          <w14:textFill>
            <w14:solidFill>
              <w14:schemeClr w14:val="tx1"/>
            </w14:solidFill>
          </w14:textFill>
        </w:rPr>
        <w:t xml:space="preserve">-1 </w:t>
      </w:r>
      <w:r>
        <w:rPr>
          <w:b/>
          <w:color w:val="000000" w:themeColor="text1"/>
          <w:spacing w:val="-1"/>
          <w:sz w:val="21"/>
          <w14:textFill>
            <w14:solidFill>
              <w14:schemeClr w14:val="tx1"/>
            </w14:solidFill>
          </w14:textFill>
        </w:rPr>
        <w:t>环境质量标准及限值</w:t>
      </w:r>
    </w:p>
    <w:tbl>
      <w:tblPr>
        <w:tblStyle w:val="8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1" w:type="dxa"/>
          <w:bottom w:w="0" w:type="dxa"/>
          <w:right w:w="11" w:type="dxa"/>
        </w:tblCellMar>
      </w:tblPr>
      <w:tblGrid>
        <w:gridCol w:w="554"/>
        <w:gridCol w:w="1682"/>
        <w:gridCol w:w="1319"/>
        <w:gridCol w:w="823"/>
        <w:gridCol w:w="1689"/>
        <w:gridCol w:w="2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52"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序号</w:t>
            </w:r>
          </w:p>
        </w:tc>
        <w:tc>
          <w:tcPr>
            <w:tcW w:w="1682"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污染物</w:t>
            </w: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标准限值</w:t>
            </w:r>
          </w:p>
        </w:tc>
        <w:tc>
          <w:tcPr>
            <w:tcW w:w="823"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单位</w:t>
            </w: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备注</w:t>
            </w:r>
          </w:p>
        </w:tc>
        <w:tc>
          <w:tcPr>
            <w:tcW w:w="283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3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w:t>
            </w:r>
          </w:p>
        </w:tc>
        <w:tc>
          <w:tcPr>
            <w:tcW w:w="1682" w:type="dxa"/>
            <w:vMerge w:val="restart"/>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SO</w:t>
            </w:r>
            <w:r>
              <w:rPr>
                <w:rFonts w:ascii="Times New Roman" w:hAnsi="Times New Roman"/>
                <w:snapToGrid w:val="0"/>
                <w:color w:val="000000" w:themeColor="text1"/>
                <w:kern w:val="0"/>
                <w:sz w:val="21"/>
                <w:szCs w:val="21"/>
                <w:vertAlign w:val="subscript"/>
                <w14:textFill>
                  <w14:solidFill>
                    <w14:schemeClr w14:val="tx1"/>
                  </w14:solidFill>
                </w14:textFill>
              </w:rPr>
              <w:t>2</w:t>
            </w: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60</w:t>
            </w:r>
          </w:p>
        </w:tc>
        <w:tc>
          <w:tcPr>
            <w:tcW w:w="823" w:type="dxa"/>
            <w:vMerge w:val="restart"/>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μg/m</w:t>
            </w:r>
            <w:r>
              <w:rPr>
                <w:rFonts w:ascii="Times New Roman" w:hAnsi="Times New Roman"/>
                <w:snapToGrid w:val="0"/>
                <w:color w:val="000000" w:themeColor="text1"/>
                <w:kern w:val="0"/>
                <w:sz w:val="21"/>
                <w:szCs w:val="21"/>
                <w:vertAlign w:val="superscript"/>
                <w14:textFill>
                  <w14:solidFill>
                    <w14:schemeClr w14:val="tx1"/>
                  </w14:solidFill>
                </w14:textFill>
              </w:rPr>
              <w:t>3</w:t>
            </w: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年平均</w:t>
            </w:r>
          </w:p>
        </w:tc>
        <w:tc>
          <w:tcPr>
            <w:tcW w:w="2839" w:type="dxa"/>
            <w:vMerge w:val="restart"/>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《环境空气质量标准》（GB3095-2012）及其2018年修改单的二级标准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26"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2</w:t>
            </w:r>
          </w:p>
        </w:tc>
        <w:tc>
          <w:tcPr>
            <w:tcW w:w="1682"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150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24小时平均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3</w:t>
            </w:r>
          </w:p>
        </w:tc>
        <w:tc>
          <w:tcPr>
            <w:tcW w:w="1682"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500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1小时平均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4</w:t>
            </w:r>
          </w:p>
        </w:tc>
        <w:tc>
          <w:tcPr>
            <w:tcW w:w="1682" w:type="dxa"/>
            <w:vMerge w:val="restart"/>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NO</w:t>
            </w:r>
            <w:r>
              <w:rPr>
                <w:rFonts w:ascii="Times New Roman" w:hAnsi="Times New Roman"/>
                <w:snapToGrid w:val="0"/>
                <w:color w:val="000000" w:themeColor="text1"/>
                <w:kern w:val="0"/>
                <w:sz w:val="21"/>
                <w:szCs w:val="21"/>
                <w:vertAlign w:val="subscript"/>
                <w14:textFill>
                  <w14:solidFill>
                    <w14:schemeClr w14:val="tx1"/>
                  </w14:solidFill>
                </w14:textFill>
              </w:rPr>
              <w:t>2</w:t>
            </w: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40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年平均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5</w:t>
            </w:r>
          </w:p>
        </w:tc>
        <w:tc>
          <w:tcPr>
            <w:tcW w:w="1682"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80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24小时平均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6</w:t>
            </w:r>
          </w:p>
        </w:tc>
        <w:tc>
          <w:tcPr>
            <w:tcW w:w="1682"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200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1小时平均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7</w:t>
            </w:r>
          </w:p>
        </w:tc>
        <w:tc>
          <w:tcPr>
            <w:tcW w:w="1682" w:type="dxa"/>
            <w:vMerge w:val="restart"/>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vertAlign w:val="subscript"/>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PM</w:t>
            </w:r>
            <w:r>
              <w:rPr>
                <w:rFonts w:ascii="Times New Roman" w:hAnsi="Times New Roman"/>
                <w:snapToGrid w:val="0"/>
                <w:color w:val="000000" w:themeColor="text1"/>
                <w:kern w:val="0"/>
                <w:sz w:val="21"/>
                <w:szCs w:val="21"/>
                <w:vertAlign w:val="subscript"/>
                <w14:textFill>
                  <w14:solidFill>
                    <w14:schemeClr w14:val="tx1"/>
                  </w14:solidFill>
                </w14:textFill>
              </w:rPr>
              <w:t>10</w:t>
            </w: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70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年平均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8</w:t>
            </w:r>
          </w:p>
        </w:tc>
        <w:tc>
          <w:tcPr>
            <w:tcW w:w="1682"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150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24小时平均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9</w:t>
            </w:r>
          </w:p>
        </w:tc>
        <w:tc>
          <w:tcPr>
            <w:tcW w:w="1682" w:type="dxa"/>
            <w:vMerge w:val="restart"/>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vertAlign w:val="subscript"/>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PM</w:t>
            </w:r>
            <w:r>
              <w:rPr>
                <w:rFonts w:ascii="Times New Roman" w:hAnsi="Times New Roman"/>
                <w:snapToGrid w:val="0"/>
                <w:color w:val="000000" w:themeColor="text1"/>
                <w:kern w:val="0"/>
                <w:sz w:val="21"/>
                <w:szCs w:val="21"/>
                <w:vertAlign w:val="subscript"/>
                <w14:textFill>
                  <w14:solidFill>
                    <w14:schemeClr w14:val="tx1"/>
                  </w14:solidFill>
                </w14:textFill>
              </w:rPr>
              <w:t>2.5</w:t>
            </w: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35</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年平均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10</w:t>
            </w:r>
          </w:p>
        </w:tc>
        <w:tc>
          <w:tcPr>
            <w:tcW w:w="1682"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75</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24小时平均</w:t>
            </w:r>
          </w:p>
        </w:tc>
        <w:tc>
          <w:tcPr>
            <w:tcW w:w="2839"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1" w:type="dxa"/>
            <w:bottom w:w="0" w:type="dxa"/>
            <w:right w:w="11" w:type="dxa"/>
          </w:tblCellMar>
        </w:tblPrEx>
        <w:trPr>
          <w:trHeight w:val="365" w:hRule="atLeast"/>
        </w:trPr>
        <w:tc>
          <w:tcPr>
            <w:tcW w:w="554"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11</w:t>
            </w:r>
          </w:p>
        </w:tc>
        <w:tc>
          <w:tcPr>
            <w:tcW w:w="1682"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NH</w:t>
            </w:r>
            <w:r>
              <w:rPr>
                <w:rFonts w:hint="eastAsia" w:ascii="Times New Roman" w:hAnsi="Times New Roman"/>
                <w:snapToGrid w:val="0"/>
                <w:color w:val="000000" w:themeColor="text1"/>
                <w:kern w:val="0"/>
                <w:sz w:val="21"/>
                <w:szCs w:val="21"/>
                <w:vertAlign w:val="subscript"/>
                <w14:textFill>
                  <w14:solidFill>
                    <w14:schemeClr w14:val="tx1"/>
                  </w14:solidFill>
                </w14:textFill>
              </w:rPr>
              <w:t>3</w:t>
            </w:r>
          </w:p>
        </w:tc>
        <w:tc>
          <w:tcPr>
            <w:tcW w:w="131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200</w:t>
            </w:r>
          </w:p>
        </w:tc>
        <w:tc>
          <w:tcPr>
            <w:tcW w:w="823" w:type="dxa"/>
            <w:vMerge w:val="continue"/>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p>
        </w:tc>
        <w:tc>
          <w:tcPr>
            <w:tcW w:w="168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ascii="Times New Roman" w:hAnsi="Times New Roman"/>
                <w:snapToGrid w:val="0"/>
                <w:color w:val="000000" w:themeColor="text1"/>
                <w:kern w:val="0"/>
                <w:sz w:val="21"/>
                <w:szCs w:val="21"/>
                <w14:textFill>
                  <w14:solidFill>
                    <w14:schemeClr w14:val="tx1"/>
                  </w14:solidFill>
                </w14:textFill>
              </w:rPr>
              <w:t>1小时平均</w:t>
            </w:r>
          </w:p>
        </w:tc>
        <w:tc>
          <w:tcPr>
            <w:tcW w:w="2839" w:type="dxa"/>
            <w:tcBorders>
              <w:tl2br w:val="nil"/>
              <w:tr2bl w:val="nil"/>
            </w:tcBorders>
            <w:noWrap w:val="0"/>
            <w:vAlign w:val="center"/>
          </w:tcPr>
          <w:p>
            <w:pPr>
              <w:keepNext w:val="0"/>
              <w:keepLines w:val="0"/>
              <w:suppressLineNumbers w:val="0"/>
              <w:adjustRightInd w:val="0"/>
              <w:snapToGrid w:val="0"/>
              <w:spacing w:beforeAutospacing="0" w:afterAutospacing="0"/>
              <w:jc w:val="center"/>
              <w:rPr>
                <w:rFonts w:ascii="Times New Roman" w:hAnsi="Times New Roman"/>
                <w:snapToGrid w:val="0"/>
                <w:color w:val="000000" w:themeColor="text1"/>
                <w:kern w:val="0"/>
                <w:sz w:val="21"/>
                <w:szCs w:val="21"/>
                <w14:textFill>
                  <w14:solidFill>
                    <w14:schemeClr w14:val="tx1"/>
                  </w14:solidFill>
                </w14:textFill>
              </w:rPr>
            </w:pPr>
            <w:r>
              <w:rPr>
                <w:rFonts w:hint="eastAsia" w:ascii="Times New Roman" w:hAnsi="Times New Roman"/>
                <w:snapToGrid w:val="0"/>
                <w:color w:val="000000" w:themeColor="text1"/>
                <w:kern w:val="0"/>
                <w:sz w:val="21"/>
                <w:szCs w:val="21"/>
                <w14:textFill>
                  <w14:solidFill>
                    <w14:schemeClr w14:val="tx1"/>
                  </w14:solidFill>
                </w14:textFill>
              </w:rPr>
              <w:t>《环境影响评价技术导则 大气环境》（HJ2.2-2018）附录D</w:t>
            </w:r>
          </w:p>
        </w:tc>
      </w:tr>
    </w:tbl>
    <w:p>
      <w:pPr>
        <w:pStyle w:val="2"/>
        <w:rPr>
          <w:rFonts w:hint="eastAsia" w:eastAsia="宋体"/>
          <w:sz w:val="24"/>
          <w:lang w:eastAsia="zh-CN"/>
        </w:rPr>
      </w:pP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color w:val="000000" w:themeColor="text1"/>
          <w:sz w:val="24"/>
          <w:lang w:eastAsia="zh-CN"/>
          <w14:textFill>
            <w14:solidFill>
              <w14:schemeClr w14:val="tx1"/>
            </w14:solidFill>
          </w14:textFill>
        </w:rPr>
        <w:t>）地表水环境：项目废水经自建污水处理站处理出水水质达到《肉类加工工业水污染物排放标准》</w:t>
      </w:r>
      <w:r>
        <w:rPr>
          <w:rFonts w:hint="eastAsia"/>
          <w:sz w:val="24"/>
          <w:lang w:eastAsia="zh-CN"/>
        </w:rPr>
        <w:t xml:space="preserve">（GB13457-92）表 3 </w:t>
      </w:r>
      <w:r>
        <w:rPr>
          <w:rFonts w:hint="eastAsia"/>
          <w:sz w:val="24"/>
          <w:lang w:val="en-US" w:eastAsia="zh-CN"/>
        </w:rPr>
        <w:t>三</w:t>
      </w:r>
      <w:r>
        <w:rPr>
          <w:rFonts w:hint="eastAsia"/>
          <w:sz w:val="24"/>
          <w:lang w:eastAsia="zh-CN"/>
        </w:rPr>
        <w:t>级标准</w:t>
      </w:r>
      <w:r>
        <w:rPr>
          <w:rFonts w:hint="eastAsia"/>
          <w:sz w:val="24"/>
          <w:lang w:val="en-US" w:eastAsia="zh-CN"/>
        </w:rPr>
        <w:t>及万屯镇污水处理厂接管标准后</w:t>
      </w:r>
      <w:r>
        <w:rPr>
          <w:rFonts w:hint="eastAsia"/>
          <w:sz w:val="24"/>
          <w:lang w:eastAsia="zh-CN"/>
        </w:rPr>
        <w:t>排入</w:t>
      </w:r>
      <w:r>
        <w:rPr>
          <w:rFonts w:hint="eastAsia"/>
          <w:sz w:val="24"/>
          <w:lang w:val="en-US" w:eastAsia="zh-CN"/>
        </w:rPr>
        <w:t>污水处理厂，污水处理厂处理后排入马槽田河</w:t>
      </w:r>
      <w:r>
        <w:rPr>
          <w:rFonts w:hint="eastAsia"/>
          <w:sz w:val="24"/>
          <w:lang w:eastAsia="zh-CN"/>
        </w:rPr>
        <w:t>。</w:t>
      </w:r>
      <w:r>
        <w:rPr>
          <w:rFonts w:hint="eastAsia"/>
          <w:sz w:val="24"/>
          <w:lang w:val="en-US" w:eastAsia="zh-CN"/>
        </w:rPr>
        <w:t>马槽田河</w:t>
      </w:r>
      <w:r>
        <w:rPr>
          <w:rFonts w:hint="eastAsia"/>
          <w:sz w:val="24"/>
          <w:lang w:eastAsia="zh-CN"/>
        </w:rPr>
        <w:t>、</w:t>
      </w:r>
      <w:r>
        <w:rPr>
          <w:rFonts w:hint="eastAsia"/>
          <w:sz w:val="24"/>
          <w:lang w:val="en-US" w:eastAsia="zh-CN"/>
        </w:rPr>
        <w:t>区域水体纳省</w:t>
      </w:r>
      <w:r>
        <w:rPr>
          <w:rFonts w:hint="eastAsia"/>
          <w:sz w:val="24"/>
          <w:lang w:eastAsia="zh-CN"/>
        </w:rPr>
        <w:t>河执行《地表水环境质量标准》（GB3838-2002）Ⅲ类标准，标准限值详见表 2.</w:t>
      </w:r>
      <w:r>
        <w:rPr>
          <w:rFonts w:hint="eastAsia"/>
          <w:sz w:val="24"/>
          <w:lang w:val="en-US" w:eastAsia="zh-CN"/>
        </w:rPr>
        <w:t>2</w:t>
      </w:r>
      <w:r>
        <w:rPr>
          <w:rFonts w:hint="eastAsia"/>
          <w:sz w:val="24"/>
          <w:lang w:eastAsia="zh-CN"/>
        </w:rPr>
        <w:t>-2；</w:t>
      </w:r>
    </w:p>
    <w:p>
      <w:pPr>
        <w:tabs>
          <w:tab w:val="left" w:pos="4220"/>
        </w:tabs>
        <w:spacing w:before="80" w:after="4"/>
        <w:ind w:left="3309" w:right="0" w:firstLine="0"/>
        <w:jc w:val="left"/>
        <w:rPr>
          <w:b/>
          <w:sz w:val="21"/>
        </w:rPr>
      </w:pPr>
      <w:r>
        <w:rPr>
          <w:b/>
          <w:sz w:val="21"/>
        </w:rPr>
        <w:t>表</w:t>
      </w:r>
      <w:r>
        <w:rPr>
          <w:b/>
          <w:spacing w:val="-52"/>
          <w:sz w:val="21"/>
        </w:rPr>
        <w:t xml:space="preserve"> </w:t>
      </w:r>
      <w:r>
        <w:rPr>
          <w:rFonts w:ascii="Times New Roman" w:eastAsia="Times New Roman"/>
          <w:b/>
          <w:sz w:val="21"/>
        </w:rPr>
        <w:t>2.</w:t>
      </w:r>
      <w:r>
        <w:rPr>
          <w:rFonts w:hint="eastAsia" w:eastAsia="宋体"/>
          <w:b/>
          <w:sz w:val="21"/>
          <w:lang w:val="en-US" w:eastAsia="zh-CN"/>
        </w:rPr>
        <w:t>2</w:t>
      </w:r>
      <w:r>
        <w:rPr>
          <w:rFonts w:ascii="Times New Roman" w:eastAsia="Times New Roman"/>
          <w:b/>
          <w:sz w:val="21"/>
        </w:rPr>
        <w:t>-2</w:t>
      </w:r>
      <w:r>
        <w:rPr>
          <w:rFonts w:ascii="Times New Roman" w:eastAsia="Times New Roman"/>
          <w:b/>
          <w:sz w:val="21"/>
        </w:rPr>
        <w:tab/>
      </w:r>
      <w:r>
        <w:rPr>
          <w:rFonts w:hint="eastAsia" w:eastAsia="宋体"/>
          <w:b/>
          <w:sz w:val="21"/>
          <w:lang w:eastAsia="zh-CN"/>
        </w:rPr>
        <w:t>地表水</w:t>
      </w:r>
      <w:r>
        <w:rPr>
          <w:b/>
          <w:sz w:val="21"/>
        </w:rPr>
        <w:t>质量标准</w:t>
      </w:r>
      <w:r>
        <w:rPr>
          <w:b/>
          <w:spacing w:val="-3"/>
          <w:sz w:val="21"/>
        </w:rPr>
        <w:t>及</w:t>
      </w:r>
      <w:r>
        <w:rPr>
          <w:b/>
          <w:sz w:val="21"/>
        </w:rPr>
        <w:t>限值</w:t>
      </w:r>
    </w:p>
    <w:tbl>
      <w:tblPr>
        <w:tblStyle w:val="88"/>
        <w:tblW w:w="0" w:type="auto"/>
        <w:tblInd w:w="14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78"/>
        <w:gridCol w:w="1758"/>
        <w:gridCol w:w="1352"/>
        <w:gridCol w:w="807"/>
        <w:gridCol w:w="1964"/>
        <w:gridCol w:w="1280"/>
        <w:gridCol w:w="12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778" w:type="dxa"/>
            <w:vMerge w:val="restart"/>
            <w:tcBorders>
              <w:tl2br w:val="nil"/>
              <w:tr2bl w:val="nil"/>
            </w:tcBorders>
          </w:tcPr>
          <w:p>
            <w:pPr>
              <w:pStyle w:val="4069"/>
              <w:keepNext w:val="0"/>
              <w:keepLines w:val="0"/>
              <w:suppressLineNumbers w:val="0"/>
              <w:spacing w:before="7" w:beforeAutospacing="0" w:afterAutospacing="0" w:line="270" w:lineRule="atLeast"/>
              <w:ind w:left="176" w:right="15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环境要素</w:t>
            </w:r>
          </w:p>
        </w:tc>
        <w:tc>
          <w:tcPr>
            <w:tcW w:w="1758" w:type="dxa"/>
            <w:vMerge w:val="restart"/>
            <w:tcBorders>
              <w:tl2br w:val="nil"/>
              <w:tr2bl w:val="nil"/>
            </w:tcBorders>
          </w:tcPr>
          <w:p>
            <w:pPr>
              <w:pStyle w:val="4069"/>
              <w:keepNext w:val="0"/>
              <w:keepLines w:val="0"/>
              <w:suppressLineNumbers w:val="0"/>
              <w:spacing w:before="142" w:beforeAutospacing="0" w:afterAutospacing="0"/>
              <w:ind w:left="570"/>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标准号</w:t>
            </w:r>
          </w:p>
        </w:tc>
        <w:tc>
          <w:tcPr>
            <w:tcW w:w="1352" w:type="dxa"/>
            <w:vMerge w:val="restart"/>
            <w:tcBorders>
              <w:tl2br w:val="nil"/>
              <w:tr2bl w:val="nil"/>
            </w:tcBorders>
          </w:tcPr>
          <w:p>
            <w:pPr>
              <w:pStyle w:val="4069"/>
              <w:keepNext w:val="0"/>
              <w:keepLines w:val="0"/>
              <w:suppressLineNumbers w:val="0"/>
              <w:spacing w:before="142" w:beforeAutospacing="0" w:afterAutospacing="0"/>
              <w:ind w:left="262"/>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标准名称</w:t>
            </w:r>
          </w:p>
        </w:tc>
        <w:tc>
          <w:tcPr>
            <w:tcW w:w="807" w:type="dxa"/>
            <w:vMerge w:val="restart"/>
            <w:tcBorders>
              <w:tl2br w:val="nil"/>
              <w:tr2bl w:val="nil"/>
            </w:tcBorders>
          </w:tcPr>
          <w:p>
            <w:pPr>
              <w:pStyle w:val="4069"/>
              <w:keepNext w:val="0"/>
              <w:keepLines w:val="0"/>
              <w:suppressLineNumbers w:val="0"/>
              <w:spacing w:before="7" w:beforeAutospacing="0" w:afterAutospacing="0" w:line="270" w:lineRule="atLeast"/>
              <w:ind w:left="199" w:right="173"/>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功能区划</w:t>
            </w:r>
          </w:p>
        </w:tc>
        <w:tc>
          <w:tcPr>
            <w:tcW w:w="1964" w:type="dxa"/>
            <w:vMerge w:val="restart"/>
            <w:tcBorders>
              <w:tl2br w:val="nil"/>
              <w:tr2bl w:val="nil"/>
            </w:tcBorders>
          </w:tcPr>
          <w:p>
            <w:pPr>
              <w:pStyle w:val="4069"/>
              <w:keepNext w:val="0"/>
              <w:keepLines w:val="0"/>
              <w:suppressLineNumbers w:val="0"/>
              <w:spacing w:before="142" w:beforeAutospacing="0" w:afterAutospacing="0"/>
              <w:ind w:left="232" w:right="209"/>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w:t>
            </w:r>
          </w:p>
        </w:tc>
        <w:tc>
          <w:tcPr>
            <w:tcW w:w="2521" w:type="dxa"/>
            <w:gridSpan w:val="2"/>
            <w:tcBorders>
              <w:tl2br w:val="nil"/>
              <w:tr2bl w:val="nil"/>
            </w:tcBorders>
          </w:tcPr>
          <w:p>
            <w:pPr>
              <w:pStyle w:val="4069"/>
              <w:keepNext w:val="0"/>
              <w:keepLines w:val="0"/>
              <w:suppressLineNumbers w:val="0"/>
              <w:spacing w:beforeAutospacing="0" w:afterAutospacing="0" w:line="252" w:lineRule="exact"/>
              <w:ind w:left="931" w:right="898"/>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280" w:type="dxa"/>
            <w:tcBorders>
              <w:tl2br w:val="nil"/>
              <w:tr2bl w:val="nil"/>
            </w:tcBorders>
          </w:tcPr>
          <w:p>
            <w:pPr>
              <w:pStyle w:val="4069"/>
              <w:keepNext w:val="0"/>
              <w:keepLines w:val="0"/>
              <w:suppressLineNumbers w:val="0"/>
              <w:spacing w:before="1" w:beforeAutospacing="0" w:afterAutospacing="0" w:line="252" w:lineRule="exact"/>
              <w:ind w:left="216" w:right="192"/>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单位</w:t>
            </w:r>
          </w:p>
        </w:tc>
        <w:tc>
          <w:tcPr>
            <w:tcW w:w="1241" w:type="dxa"/>
            <w:tcBorders>
              <w:tl2br w:val="nil"/>
              <w:tr2bl w:val="nil"/>
            </w:tcBorders>
          </w:tcPr>
          <w:p>
            <w:pPr>
              <w:pStyle w:val="4069"/>
              <w:keepNext w:val="0"/>
              <w:keepLines w:val="0"/>
              <w:suppressLineNumbers w:val="0"/>
              <w:spacing w:before="1" w:beforeAutospacing="0" w:afterAutospacing="0" w:line="252" w:lineRule="exact"/>
              <w:ind w:left="287" w:right="253"/>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数值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78" w:type="dxa"/>
            <w:vMerge w:val="restart"/>
            <w:tcBorders>
              <w:tl2br w:val="nil"/>
              <w:tr2bl w:val="nil"/>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168" w:beforeAutospacing="0" w:afterAutospacing="0" w:line="242" w:lineRule="auto"/>
              <w:ind w:left="176" w:right="156"/>
              <w:jc w:val="both"/>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地表水环境</w:t>
            </w:r>
          </w:p>
        </w:tc>
        <w:tc>
          <w:tcPr>
            <w:tcW w:w="1758" w:type="dxa"/>
            <w:vMerge w:val="restart"/>
            <w:tcBorders>
              <w:tl2br w:val="nil"/>
              <w:tr2bl w:val="nil"/>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4" w:beforeAutospacing="0" w:afterAutospacing="0"/>
              <w:jc w:val="left"/>
              <w:rPr>
                <w:b/>
                <w:color w:val="000000" w:themeColor="text1"/>
                <w:kern w:val="2"/>
                <w:sz w:val="29"/>
                <w14:textFill>
                  <w14:solidFill>
                    <w14:schemeClr w14:val="tx1"/>
                  </w14:solidFill>
                </w14:textFill>
              </w:rPr>
            </w:pPr>
          </w:p>
          <w:p>
            <w:pPr>
              <w:pStyle w:val="4069"/>
              <w:keepNext w:val="0"/>
              <w:keepLines w:val="0"/>
              <w:suppressLineNumbers w:val="0"/>
              <w:spacing w:before="1" w:beforeAutospacing="0" w:afterAutospacing="0"/>
              <w:ind w:left="284"/>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GB3838-2002</w:t>
            </w:r>
          </w:p>
        </w:tc>
        <w:tc>
          <w:tcPr>
            <w:tcW w:w="1352" w:type="dxa"/>
            <w:vMerge w:val="restart"/>
            <w:tcBorders>
              <w:tl2br w:val="nil"/>
              <w:tr2bl w:val="nil"/>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10" w:beforeAutospacing="0" w:afterAutospacing="0"/>
              <w:jc w:val="left"/>
              <w:rPr>
                <w:b/>
                <w:color w:val="000000" w:themeColor="text1"/>
                <w:kern w:val="2"/>
                <w:sz w:val="23"/>
                <w14:textFill>
                  <w14:solidFill>
                    <w14:schemeClr w14:val="tx1"/>
                  </w14:solidFill>
                </w14:textFill>
              </w:rPr>
            </w:pPr>
          </w:p>
          <w:p>
            <w:pPr>
              <w:pStyle w:val="4069"/>
              <w:keepNext w:val="0"/>
              <w:keepLines w:val="0"/>
              <w:suppressLineNumbers w:val="0"/>
              <w:spacing w:beforeAutospacing="0" w:afterAutospacing="0" w:line="242" w:lineRule="auto"/>
              <w:ind w:left="262" w:right="129" w:hanging="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地表水环境质量标准</w:t>
            </w:r>
          </w:p>
        </w:tc>
        <w:tc>
          <w:tcPr>
            <w:tcW w:w="807" w:type="dxa"/>
            <w:vMerge w:val="restart"/>
            <w:tcBorders>
              <w:tl2br w:val="nil"/>
              <w:tr2bl w:val="nil"/>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4" w:beforeAutospacing="0" w:afterAutospacing="0"/>
              <w:jc w:val="left"/>
              <w:rPr>
                <w:b/>
                <w:color w:val="000000" w:themeColor="text1"/>
                <w:kern w:val="2"/>
                <w:sz w:val="29"/>
                <w14:textFill>
                  <w14:solidFill>
                    <w14:schemeClr w14:val="tx1"/>
                  </w14:solidFill>
                </w14:textFill>
              </w:rPr>
            </w:pPr>
          </w:p>
          <w:p>
            <w:pPr>
              <w:pStyle w:val="4069"/>
              <w:keepNext w:val="0"/>
              <w:keepLines w:val="0"/>
              <w:suppressLineNumbers w:val="0"/>
              <w:spacing w:before="1" w:beforeAutospacing="0" w:afterAutospacing="0"/>
              <w:ind w:left="284" w:right="262"/>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III</w:t>
            </w:r>
          </w:p>
        </w:tc>
        <w:tc>
          <w:tcPr>
            <w:tcW w:w="1964" w:type="dxa"/>
            <w:tcBorders>
              <w:tl2br w:val="nil"/>
              <w:tr2bl w:val="nil"/>
            </w:tcBorders>
          </w:tcPr>
          <w:p>
            <w:pPr>
              <w:pStyle w:val="4069"/>
              <w:keepNext w:val="0"/>
              <w:keepLines w:val="0"/>
              <w:suppressLineNumbers w:val="0"/>
              <w:spacing w:before="1" w:beforeAutospacing="0" w:afterAutospacing="0" w:line="240" w:lineRule="exact"/>
              <w:ind w:left="232" w:right="206"/>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pH</w:t>
            </w:r>
            <w:r>
              <w:rPr>
                <w:color w:val="000000" w:themeColor="text1"/>
                <w:kern w:val="2"/>
                <w:sz w:val="21"/>
                <w14:textFill>
                  <w14:solidFill>
                    <w14:schemeClr w14:val="tx1"/>
                  </w14:solidFill>
                </w14:textFill>
              </w:rPr>
              <w:t>（无量纲）</w:t>
            </w:r>
          </w:p>
        </w:tc>
        <w:tc>
          <w:tcPr>
            <w:tcW w:w="2521" w:type="dxa"/>
            <w:gridSpan w:val="2"/>
            <w:tcBorders>
              <w:tl2br w:val="nil"/>
              <w:tr2bl w:val="nil"/>
            </w:tcBorders>
          </w:tcPr>
          <w:p>
            <w:pPr>
              <w:pStyle w:val="4069"/>
              <w:keepNext w:val="0"/>
              <w:keepLines w:val="0"/>
              <w:suppressLineNumbers w:val="0"/>
              <w:spacing w:before="15" w:beforeAutospacing="0" w:afterAutospacing="0" w:line="226" w:lineRule="exact"/>
              <w:ind w:left="926" w:right="898"/>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02" w:lineRule="exact"/>
              <w:ind w:left="232" w:right="209"/>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SS</w:t>
            </w:r>
          </w:p>
        </w:tc>
        <w:tc>
          <w:tcPr>
            <w:tcW w:w="1280" w:type="dxa"/>
            <w:tcBorders>
              <w:tl2br w:val="nil"/>
              <w:tr2bl w:val="nil"/>
            </w:tcBorders>
          </w:tcPr>
          <w:p>
            <w:pPr>
              <w:pStyle w:val="4069"/>
              <w:keepNext w:val="0"/>
              <w:keepLines w:val="0"/>
              <w:suppressLineNumbers w:val="0"/>
              <w:spacing w:beforeAutospacing="0" w:afterAutospacing="0" w:line="202"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Autospacing="0" w:afterAutospacing="0" w:line="202" w:lineRule="exact"/>
              <w:ind w:left="287"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02" w:lineRule="exact"/>
              <w:ind w:left="232" w:right="210"/>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COD</w:t>
            </w:r>
          </w:p>
        </w:tc>
        <w:tc>
          <w:tcPr>
            <w:tcW w:w="1280" w:type="dxa"/>
            <w:tcBorders>
              <w:tl2br w:val="nil"/>
              <w:tr2bl w:val="nil"/>
            </w:tcBorders>
          </w:tcPr>
          <w:p>
            <w:pPr>
              <w:pStyle w:val="4069"/>
              <w:keepNext w:val="0"/>
              <w:keepLines w:val="0"/>
              <w:suppressLineNumbers w:val="0"/>
              <w:spacing w:beforeAutospacing="0" w:afterAutospacing="0" w:line="202"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Autospacing="0" w:afterAutospacing="0" w:line="202" w:lineRule="exact"/>
              <w:ind w:left="282"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1"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02" w:lineRule="exact"/>
              <w:ind w:left="232" w:right="206"/>
              <w:rPr>
                <w:rFonts w:ascii="Times New Roman"/>
                <w:color w:val="000000" w:themeColor="text1"/>
                <w:kern w:val="2"/>
                <w:sz w:val="14"/>
                <w14:textFill>
                  <w14:solidFill>
                    <w14:schemeClr w14:val="tx1"/>
                  </w14:solidFill>
                </w14:textFill>
              </w:rPr>
            </w:pPr>
            <w:r>
              <w:rPr>
                <w:rFonts w:ascii="Times New Roman"/>
                <w:color w:val="000000" w:themeColor="text1"/>
                <w:kern w:val="2"/>
                <w:position w:val="2"/>
                <w:sz w:val="21"/>
                <w14:textFill>
                  <w14:solidFill>
                    <w14:schemeClr w14:val="tx1"/>
                  </w14:solidFill>
                </w14:textFill>
              </w:rPr>
              <w:t>BOD</w:t>
            </w:r>
            <w:r>
              <w:rPr>
                <w:rFonts w:ascii="Times New Roman"/>
                <w:color w:val="000000" w:themeColor="text1"/>
                <w:kern w:val="2"/>
                <w:sz w:val="14"/>
                <w14:textFill>
                  <w14:solidFill>
                    <w14:schemeClr w14:val="tx1"/>
                  </w14:solidFill>
                </w14:textFill>
              </w:rPr>
              <w:t>5</w:t>
            </w:r>
          </w:p>
        </w:tc>
        <w:tc>
          <w:tcPr>
            <w:tcW w:w="1280" w:type="dxa"/>
            <w:tcBorders>
              <w:tl2br w:val="nil"/>
              <w:tr2bl w:val="nil"/>
            </w:tcBorders>
          </w:tcPr>
          <w:p>
            <w:pPr>
              <w:pStyle w:val="4069"/>
              <w:keepNext w:val="0"/>
              <w:keepLines w:val="0"/>
              <w:suppressLineNumbers w:val="0"/>
              <w:spacing w:beforeAutospacing="0" w:afterAutospacing="0" w:line="202"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Autospacing="0" w:afterAutospacing="0" w:line="202" w:lineRule="exact"/>
              <w:ind w:left="282"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31" w:lineRule="exact"/>
              <w:ind w:left="232" w:right="209"/>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高锰酸盐指数</w:t>
            </w:r>
          </w:p>
        </w:tc>
        <w:tc>
          <w:tcPr>
            <w:tcW w:w="1280" w:type="dxa"/>
            <w:tcBorders>
              <w:tl2br w:val="nil"/>
              <w:tr2bl w:val="nil"/>
            </w:tcBorders>
          </w:tcPr>
          <w:p>
            <w:pPr>
              <w:pStyle w:val="4069"/>
              <w:keepNext w:val="0"/>
              <w:keepLines w:val="0"/>
              <w:suppressLineNumbers w:val="0"/>
              <w:spacing w:before="5" w:beforeAutospacing="0" w:afterAutospacing="0" w:line="226"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5" w:beforeAutospacing="0" w:afterAutospacing="0" w:line="226" w:lineRule="exact"/>
              <w:ind w:left="282"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2"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02" w:lineRule="exact"/>
              <w:ind w:left="232" w:right="210"/>
              <w:rPr>
                <w:rFonts w:ascii="Times New Roman"/>
                <w:color w:val="000000" w:themeColor="text1"/>
                <w:kern w:val="2"/>
                <w:sz w:val="21"/>
                <w14:textFill>
                  <w14:solidFill>
                    <w14:schemeClr w14:val="tx1"/>
                  </w14:solidFill>
                </w14:textFill>
              </w:rPr>
            </w:pPr>
            <w:r>
              <w:rPr>
                <w:rFonts w:ascii="Times New Roman"/>
                <w:color w:val="000000" w:themeColor="text1"/>
                <w:kern w:val="2"/>
                <w:position w:val="2"/>
                <w:sz w:val="21"/>
                <w14:textFill>
                  <w14:solidFill>
                    <w14:schemeClr w14:val="tx1"/>
                  </w14:solidFill>
                </w14:textFill>
              </w:rPr>
              <w:t>NH</w:t>
            </w:r>
            <w:r>
              <w:rPr>
                <w:rFonts w:ascii="Times New Roman"/>
                <w:color w:val="000000" w:themeColor="text1"/>
                <w:kern w:val="2"/>
                <w:sz w:val="14"/>
                <w14:textFill>
                  <w14:solidFill>
                    <w14:schemeClr w14:val="tx1"/>
                  </w14:solidFill>
                </w14:textFill>
              </w:rPr>
              <w:t>3</w:t>
            </w:r>
            <w:r>
              <w:rPr>
                <w:rFonts w:ascii="Times New Roman"/>
                <w:color w:val="000000" w:themeColor="text1"/>
                <w:kern w:val="2"/>
                <w:position w:val="2"/>
                <w:sz w:val="21"/>
                <w14:textFill>
                  <w14:solidFill>
                    <w14:schemeClr w14:val="tx1"/>
                  </w14:solidFill>
                </w14:textFill>
              </w:rPr>
              <w:t>-N</w:t>
            </w:r>
          </w:p>
        </w:tc>
        <w:tc>
          <w:tcPr>
            <w:tcW w:w="1280" w:type="dxa"/>
            <w:tcBorders>
              <w:tl2br w:val="nil"/>
              <w:tr2bl w:val="nil"/>
            </w:tcBorders>
          </w:tcPr>
          <w:p>
            <w:pPr>
              <w:pStyle w:val="4069"/>
              <w:keepNext w:val="0"/>
              <w:keepLines w:val="0"/>
              <w:suppressLineNumbers w:val="0"/>
              <w:spacing w:beforeAutospacing="0" w:afterAutospacing="0" w:line="202"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Autospacing="0" w:afterAutospacing="0" w:line="202" w:lineRule="exact"/>
              <w:ind w:left="282"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33" w:lineRule="exact"/>
              <w:ind w:left="232" w:right="209"/>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石油类</w:t>
            </w:r>
          </w:p>
        </w:tc>
        <w:tc>
          <w:tcPr>
            <w:tcW w:w="1280" w:type="dxa"/>
            <w:tcBorders>
              <w:tl2br w:val="nil"/>
              <w:tr2bl w:val="nil"/>
            </w:tcBorders>
          </w:tcPr>
          <w:p>
            <w:pPr>
              <w:pStyle w:val="4069"/>
              <w:keepNext w:val="0"/>
              <w:keepLines w:val="0"/>
              <w:suppressLineNumbers w:val="0"/>
              <w:spacing w:before="5" w:beforeAutospacing="0" w:afterAutospacing="0" w:line="228"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5" w:beforeAutospacing="0" w:afterAutospacing="0" w:line="228" w:lineRule="exact"/>
              <w:ind w:left="287"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31" w:lineRule="exact"/>
              <w:ind w:left="232" w:right="206"/>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粪大肠菌群</w:t>
            </w:r>
          </w:p>
        </w:tc>
        <w:tc>
          <w:tcPr>
            <w:tcW w:w="1280" w:type="dxa"/>
            <w:tcBorders>
              <w:tl2br w:val="nil"/>
              <w:tr2bl w:val="nil"/>
            </w:tcBorders>
          </w:tcPr>
          <w:p>
            <w:pPr>
              <w:pStyle w:val="4069"/>
              <w:keepNext w:val="0"/>
              <w:keepLines w:val="0"/>
              <w:suppressLineNumbers w:val="0"/>
              <w:spacing w:beforeAutospacing="0" w:afterAutospacing="0" w:line="231" w:lineRule="exact"/>
              <w:ind w:left="216" w:right="196"/>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（个</w:t>
            </w:r>
            <w:r>
              <w:rPr>
                <w:rFonts w:ascii="Times New Roman" w:eastAsia="Times New Roman"/>
                <w:color w:val="000000" w:themeColor="text1"/>
                <w:kern w:val="2"/>
                <w:sz w:val="21"/>
                <w14:textFill>
                  <w14:solidFill>
                    <w14:schemeClr w14:val="tx1"/>
                  </w14:solidFill>
                </w14:textFill>
              </w:rPr>
              <w:t>/L</w:t>
            </w:r>
            <w:r>
              <w:rPr>
                <w:color w:val="000000" w:themeColor="text1"/>
                <w:kern w:val="2"/>
                <w:sz w:val="21"/>
                <w14:textFill>
                  <w14:solidFill>
                    <w14:schemeClr w14:val="tx1"/>
                  </w14:solidFill>
                </w14:textFill>
              </w:rPr>
              <w:t>）</w:t>
            </w:r>
          </w:p>
        </w:tc>
        <w:tc>
          <w:tcPr>
            <w:tcW w:w="1241" w:type="dxa"/>
            <w:tcBorders>
              <w:tl2br w:val="nil"/>
              <w:tr2bl w:val="nil"/>
            </w:tcBorders>
          </w:tcPr>
          <w:p>
            <w:pPr>
              <w:pStyle w:val="4069"/>
              <w:keepNext w:val="0"/>
              <w:keepLines w:val="0"/>
              <w:suppressLineNumbers w:val="0"/>
              <w:spacing w:before="5" w:beforeAutospacing="0" w:afterAutospacing="0" w:line="226" w:lineRule="exact"/>
              <w:ind w:left="287"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≤10000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33" w:lineRule="exact"/>
              <w:ind w:left="232" w:right="211"/>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总磷</w:t>
            </w:r>
            <w:r>
              <w:rPr>
                <w:color w:val="000000" w:themeColor="text1"/>
                <w:spacing w:val="-3"/>
                <w:kern w:val="2"/>
                <w:sz w:val="21"/>
                <w14:textFill>
                  <w14:solidFill>
                    <w14:schemeClr w14:val="tx1"/>
                  </w14:solidFill>
                </w14:textFill>
              </w:rPr>
              <w:t>（</w:t>
            </w:r>
            <w:r>
              <w:rPr>
                <w:color w:val="000000" w:themeColor="text1"/>
                <w:spacing w:val="50"/>
                <w:kern w:val="2"/>
                <w:sz w:val="21"/>
                <w14:textFill>
                  <w14:solidFill>
                    <w14:schemeClr w14:val="tx1"/>
                  </w14:solidFill>
                </w14:textFill>
              </w:rPr>
              <w:t>以</w:t>
            </w:r>
            <w:r>
              <w:rPr>
                <w:rFonts w:ascii="Times New Roman" w:eastAsia="Times New Roman"/>
                <w:color w:val="000000" w:themeColor="text1"/>
                <w:kern w:val="2"/>
                <w:sz w:val="21"/>
                <w14:textFill>
                  <w14:solidFill>
                    <w14:schemeClr w14:val="tx1"/>
                  </w14:solidFill>
                </w14:textFill>
              </w:rPr>
              <w:t xml:space="preserve">P </w:t>
            </w:r>
            <w:r>
              <w:rPr>
                <w:color w:val="000000" w:themeColor="text1"/>
                <w:spacing w:val="-3"/>
                <w:kern w:val="2"/>
                <w:sz w:val="21"/>
                <w14:textFill>
                  <w14:solidFill>
                    <w14:schemeClr w14:val="tx1"/>
                  </w14:solidFill>
                </w14:textFill>
              </w:rPr>
              <w:t>计）</w:t>
            </w:r>
          </w:p>
        </w:tc>
        <w:tc>
          <w:tcPr>
            <w:tcW w:w="1280" w:type="dxa"/>
            <w:tcBorders>
              <w:tl2br w:val="nil"/>
              <w:tr2bl w:val="nil"/>
            </w:tcBorders>
          </w:tcPr>
          <w:p>
            <w:pPr>
              <w:pStyle w:val="4069"/>
              <w:keepNext w:val="0"/>
              <w:keepLines w:val="0"/>
              <w:suppressLineNumbers w:val="0"/>
              <w:spacing w:before="5" w:beforeAutospacing="0" w:afterAutospacing="0" w:line="228"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5" w:beforeAutospacing="0" w:afterAutospacing="0" w:line="228" w:lineRule="exact"/>
              <w:ind w:left="287"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0" w:hRule="atLeast"/>
        </w:trPr>
        <w:tc>
          <w:tcPr>
            <w:tcW w:w="77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58"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52"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807" w:type="dxa"/>
            <w:vMerge w:val="continue"/>
            <w:tcBorders>
              <w:tl2br w:val="nil"/>
              <w:tr2bl w:val="nil"/>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l2br w:val="nil"/>
              <w:tr2bl w:val="nil"/>
            </w:tcBorders>
          </w:tcPr>
          <w:p>
            <w:pPr>
              <w:pStyle w:val="4069"/>
              <w:keepNext w:val="0"/>
              <w:keepLines w:val="0"/>
              <w:suppressLineNumbers w:val="0"/>
              <w:spacing w:beforeAutospacing="0" w:afterAutospacing="0" w:line="240" w:lineRule="exact"/>
              <w:ind w:left="232" w:right="209"/>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溶解氧</w:t>
            </w:r>
          </w:p>
        </w:tc>
        <w:tc>
          <w:tcPr>
            <w:tcW w:w="1280" w:type="dxa"/>
            <w:tcBorders>
              <w:tl2br w:val="nil"/>
              <w:tr2bl w:val="nil"/>
            </w:tcBorders>
          </w:tcPr>
          <w:p>
            <w:pPr>
              <w:pStyle w:val="4069"/>
              <w:keepNext w:val="0"/>
              <w:keepLines w:val="0"/>
              <w:suppressLineNumbers w:val="0"/>
              <w:spacing w:before="5" w:beforeAutospacing="0" w:afterAutospacing="0" w:line="235" w:lineRule="exact"/>
              <w:ind w:left="214"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l2br w:val="nil"/>
              <w:tr2bl w:val="nil"/>
            </w:tcBorders>
          </w:tcPr>
          <w:p>
            <w:pPr>
              <w:pStyle w:val="4069"/>
              <w:keepNext w:val="0"/>
              <w:keepLines w:val="0"/>
              <w:suppressLineNumbers w:val="0"/>
              <w:spacing w:before="5" w:beforeAutospacing="0" w:afterAutospacing="0" w:line="235" w:lineRule="exact"/>
              <w:ind w:left="282"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≥5</w:t>
            </w:r>
          </w:p>
        </w:tc>
      </w:tr>
    </w:tbl>
    <w:p>
      <w:pPr>
        <w:pStyle w:val="2"/>
        <w:rPr>
          <w:color w:val="000000" w:themeColor="text1"/>
          <w:sz w:val="24"/>
          <w14:textFill>
            <w14:solidFill>
              <w14:schemeClr w14:val="tx1"/>
            </w14:solidFill>
          </w14:textFill>
        </w:rPr>
      </w:pPr>
      <w:r>
        <w:rPr>
          <w:rFonts w:ascii="Times New Roman" w:eastAsia="Times New Roman"/>
          <w:color w:val="000000" w:themeColor="text1"/>
          <w:sz w:val="24"/>
          <w14:textFill>
            <w14:solidFill>
              <w14:schemeClr w14:val="tx1"/>
            </w14:solidFill>
          </w14:textFill>
        </w:rPr>
        <w:t>*</w:t>
      </w:r>
      <w:r>
        <w:rPr>
          <w:b/>
          <w:color w:val="000000" w:themeColor="text1"/>
          <w:sz w:val="18"/>
          <w14:textFill>
            <w14:solidFill>
              <w14:schemeClr w14:val="tx1"/>
            </w14:solidFill>
          </w14:textFill>
        </w:rPr>
        <w:t>参考《地表水资源质量标准》（</w:t>
      </w:r>
      <w:r>
        <w:rPr>
          <w:rFonts w:ascii="Times New Roman" w:eastAsia="Times New Roman"/>
          <w:b/>
          <w:color w:val="000000" w:themeColor="text1"/>
          <w:sz w:val="18"/>
          <w14:textFill>
            <w14:solidFill>
              <w14:schemeClr w14:val="tx1"/>
            </w14:solidFill>
          </w14:textFill>
        </w:rPr>
        <w:t>SL63-94</w:t>
      </w:r>
      <w:r>
        <w:rPr>
          <w:b/>
          <w:color w:val="000000" w:themeColor="text1"/>
          <w:sz w:val="18"/>
          <w14:textFill>
            <w14:solidFill>
              <w14:schemeClr w14:val="tx1"/>
            </w14:solidFill>
          </w14:textFill>
        </w:rPr>
        <w:t>）</w:t>
      </w:r>
    </w:p>
    <w:p>
      <w:pPr>
        <w:pStyle w:val="2"/>
        <w:rPr>
          <w:rFonts w:hint="eastAsia" w:eastAsia="宋体"/>
          <w:sz w:val="24"/>
          <w:lang w:eastAsia="zh-CN"/>
        </w:rPr>
      </w:pPr>
      <w:r>
        <w:rPr>
          <w:rFonts w:hint="eastAsia"/>
          <w:sz w:val="24"/>
          <w:lang w:eastAsia="zh-CN"/>
        </w:rPr>
        <w:t>（</w:t>
      </w:r>
      <w:r>
        <w:rPr>
          <w:rFonts w:hint="eastAsia"/>
          <w:sz w:val="24"/>
          <w:lang w:val="en-US" w:eastAsia="zh-CN"/>
        </w:rPr>
        <w:t>3</w:t>
      </w:r>
      <w:r>
        <w:rPr>
          <w:rFonts w:hint="eastAsia"/>
          <w:sz w:val="24"/>
          <w:lang w:eastAsia="zh-CN"/>
        </w:rPr>
        <w:t>）地下水环境：执行《地下水质量标准》（GB/T14848-2017）III 类水体；标准限值详见表 2.</w:t>
      </w:r>
      <w:r>
        <w:rPr>
          <w:rFonts w:hint="eastAsia"/>
          <w:sz w:val="24"/>
          <w:lang w:val="en-US" w:eastAsia="zh-CN"/>
        </w:rPr>
        <w:t>2</w:t>
      </w:r>
      <w:r>
        <w:rPr>
          <w:rFonts w:hint="eastAsia"/>
          <w:sz w:val="24"/>
          <w:lang w:eastAsia="zh-CN"/>
        </w:rPr>
        <w:t>-3；</w:t>
      </w:r>
    </w:p>
    <w:p>
      <w:pPr>
        <w:tabs>
          <w:tab w:val="left" w:pos="4220"/>
        </w:tabs>
        <w:spacing w:before="79" w:after="4"/>
        <w:ind w:left="3309" w:right="0" w:firstLine="0"/>
        <w:jc w:val="left"/>
        <w:rPr>
          <w:b/>
          <w:color w:val="000000" w:themeColor="text1"/>
          <w:sz w:val="21"/>
          <w14:textFill>
            <w14:solidFill>
              <w14:schemeClr w14:val="tx1"/>
            </w14:solidFill>
          </w14:textFill>
        </w:rPr>
      </w:pPr>
      <w:r>
        <w:rPr>
          <w:b/>
          <w:color w:val="000000" w:themeColor="text1"/>
          <w:sz w:val="21"/>
          <w14:textFill>
            <w14:solidFill>
              <w14:schemeClr w14:val="tx1"/>
            </w14:solidFill>
          </w14:textFill>
        </w:rPr>
        <w:t>表</w:t>
      </w:r>
      <w:r>
        <w:rPr>
          <w:b/>
          <w:color w:val="000000" w:themeColor="text1"/>
          <w:spacing w:val="-52"/>
          <w:sz w:val="21"/>
          <w14:textFill>
            <w14:solidFill>
              <w14:schemeClr w14:val="tx1"/>
            </w14:solidFill>
          </w14:textFill>
        </w:rPr>
        <w:t xml:space="preserve"> </w:t>
      </w:r>
      <w:r>
        <w:rPr>
          <w:rFonts w:ascii="Times New Roman" w:eastAsia="Times New Roman"/>
          <w:b/>
          <w:color w:val="000000" w:themeColor="text1"/>
          <w:sz w:val="21"/>
          <w14:textFill>
            <w14:solidFill>
              <w14:schemeClr w14:val="tx1"/>
            </w14:solidFill>
          </w14:textFill>
        </w:rPr>
        <w:t>2.</w:t>
      </w:r>
      <w:r>
        <w:rPr>
          <w:rFonts w:hint="eastAsia" w:eastAsia="宋体"/>
          <w:b/>
          <w:color w:val="000000" w:themeColor="text1"/>
          <w:sz w:val="21"/>
          <w:lang w:val="en-US" w:eastAsia="zh-CN"/>
          <w14:textFill>
            <w14:solidFill>
              <w14:schemeClr w14:val="tx1"/>
            </w14:solidFill>
          </w14:textFill>
        </w:rPr>
        <w:t>2</w:t>
      </w:r>
      <w:r>
        <w:rPr>
          <w:rFonts w:ascii="Times New Roman" w:eastAsia="Times New Roman"/>
          <w:b/>
          <w:color w:val="000000" w:themeColor="text1"/>
          <w:sz w:val="21"/>
          <w14:textFill>
            <w14:solidFill>
              <w14:schemeClr w14:val="tx1"/>
            </w14:solidFill>
          </w14:textFill>
        </w:rPr>
        <w:t>-3</w:t>
      </w:r>
      <w:r>
        <w:rPr>
          <w:rFonts w:ascii="Times New Roman" w:eastAsia="Times New Roman"/>
          <w:b/>
          <w:color w:val="000000" w:themeColor="text1"/>
          <w:sz w:val="21"/>
          <w14:textFill>
            <w14:solidFill>
              <w14:schemeClr w14:val="tx1"/>
            </w14:solidFill>
          </w14:textFill>
        </w:rPr>
        <w:tab/>
      </w:r>
      <w:r>
        <w:rPr>
          <w:rFonts w:hint="eastAsia" w:eastAsia="宋体"/>
          <w:b/>
          <w:color w:val="000000" w:themeColor="text1"/>
          <w:sz w:val="21"/>
          <w:lang w:eastAsia="zh-CN"/>
          <w14:textFill>
            <w14:solidFill>
              <w14:schemeClr w14:val="tx1"/>
            </w14:solidFill>
          </w14:textFill>
        </w:rPr>
        <w:t>地下水</w:t>
      </w:r>
      <w:r>
        <w:rPr>
          <w:b/>
          <w:color w:val="000000" w:themeColor="text1"/>
          <w:sz w:val="21"/>
          <w14:textFill>
            <w14:solidFill>
              <w14:schemeClr w14:val="tx1"/>
            </w14:solidFill>
          </w14:textFill>
        </w:rPr>
        <w:t>质量标准</w:t>
      </w:r>
      <w:r>
        <w:rPr>
          <w:b/>
          <w:color w:val="000000" w:themeColor="text1"/>
          <w:spacing w:val="-3"/>
          <w:sz w:val="21"/>
          <w14:textFill>
            <w14:solidFill>
              <w14:schemeClr w14:val="tx1"/>
            </w14:solidFill>
          </w14:textFill>
        </w:rPr>
        <w:t>及</w:t>
      </w:r>
      <w:r>
        <w:rPr>
          <w:b/>
          <w:color w:val="000000" w:themeColor="text1"/>
          <w:sz w:val="21"/>
          <w14:textFill>
            <w14:solidFill>
              <w14:schemeClr w14:val="tx1"/>
            </w14:solidFill>
          </w14:textFill>
        </w:rPr>
        <w:t>限值</w:t>
      </w:r>
    </w:p>
    <w:tbl>
      <w:tblPr>
        <w:tblStyle w:val="88"/>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78"/>
        <w:gridCol w:w="1770"/>
        <w:gridCol w:w="1349"/>
        <w:gridCol w:w="797"/>
        <w:gridCol w:w="1964"/>
        <w:gridCol w:w="1280"/>
        <w:gridCol w:w="124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778" w:type="dxa"/>
            <w:vMerge w:val="restart"/>
            <w:tcBorders>
              <w:bottom w:val="single" w:color="000000" w:sz="4" w:space="0"/>
              <w:right w:val="single" w:color="000000" w:sz="4" w:space="0"/>
            </w:tcBorders>
          </w:tcPr>
          <w:p>
            <w:pPr>
              <w:pStyle w:val="4069"/>
              <w:keepNext w:val="0"/>
              <w:keepLines w:val="0"/>
              <w:suppressLineNumbers w:val="0"/>
              <w:spacing w:before="4" w:beforeAutospacing="0" w:afterAutospacing="0" w:line="270" w:lineRule="atLeast"/>
              <w:ind w:left="176" w:right="15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环境要素</w:t>
            </w:r>
          </w:p>
        </w:tc>
        <w:tc>
          <w:tcPr>
            <w:tcW w:w="1770"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142" w:beforeAutospacing="0" w:afterAutospacing="0"/>
              <w:ind w:left="57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标准号</w:t>
            </w:r>
          </w:p>
        </w:tc>
        <w:tc>
          <w:tcPr>
            <w:tcW w:w="1349"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142" w:beforeAutospacing="0" w:afterAutospacing="0"/>
              <w:ind w:left="262"/>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标准名称</w:t>
            </w:r>
          </w:p>
        </w:tc>
        <w:tc>
          <w:tcPr>
            <w:tcW w:w="797"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4" w:beforeAutospacing="0" w:afterAutospacing="0" w:line="270" w:lineRule="atLeast"/>
              <w:ind w:left="195" w:right="16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功能区划</w:t>
            </w:r>
          </w:p>
        </w:tc>
        <w:tc>
          <w:tcPr>
            <w:tcW w:w="1964"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142" w:beforeAutospacing="0" w:afterAutospacing="0"/>
              <w:ind w:left="232" w:right="20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w:t>
            </w:r>
          </w:p>
        </w:tc>
        <w:tc>
          <w:tcPr>
            <w:tcW w:w="2521" w:type="dxa"/>
            <w:gridSpan w:val="2"/>
            <w:tcBorders>
              <w:left w:val="single" w:color="000000" w:sz="4" w:space="0"/>
              <w:bottom w:val="single" w:color="000000" w:sz="4" w:space="0"/>
            </w:tcBorders>
          </w:tcPr>
          <w:p>
            <w:pPr>
              <w:pStyle w:val="4069"/>
              <w:keepNext w:val="0"/>
              <w:keepLines w:val="0"/>
              <w:suppressLineNumbers w:val="0"/>
              <w:spacing w:beforeAutospacing="0" w:afterAutospacing="0" w:line="252" w:lineRule="exact"/>
              <w:ind w:left="932" w:right="89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0" w:lineRule="exact"/>
              <w:ind w:left="216" w:right="19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单位</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1" w:beforeAutospacing="0" w:afterAutospacing="0" w:line="250" w:lineRule="exact"/>
              <w:ind w:left="287" w:right="251"/>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数值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3" w:hRule="atLeast"/>
        </w:trPr>
        <w:tc>
          <w:tcPr>
            <w:tcW w:w="778" w:type="dxa"/>
            <w:vMerge w:val="restart"/>
            <w:tcBorders>
              <w:top w:val="single" w:color="000000" w:sz="4" w:space="0"/>
              <w:bottom w:val="single" w:color="000000" w:sz="4" w:space="0"/>
              <w:right w:val="single" w:color="000000" w:sz="4" w:space="0"/>
            </w:tcBorders>
            <w:vAlign w:val="center"/>
          </w:tcPr>
          <w:p>
            <w:pPr>
              <w:pStyle w:val="4069"/>
              <w:keepNext w:val="0"/>
              <w:keepLines w:val="0"/>
              <w:suppressLineNumbers w:val="0"/>
              <w:spacing w:before="1" w:beforeAutospacing="0" w:afterAutospacing="0" w:line="242" w:lineRule="auto"/>
              <w:ind w:left="176" w:right="156"/>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地下水环境</w:t>
            </w:r>
          </w:p>
        </w:tc>
        <w:tc>
          <w:tcPr>
            <w:tcW w:w="1770" w:type="dxa"/>
            <w:vMerge w:val="restart"/>
            <w:tcBorders>
              <w:top w:val="single" w:color="000000" w:sz="4" w:space="0"/>
              <w:left w:val="single" w:color="000000" w:sz="4" w:space="0"/>
              <w:bottom w:val="single" w:color="000000" w:sz="4" w:space="0"/>
              <w:right w:val="single" w:color="000000" w:sz="4" w:space="0"/>
            </w:tcBorders>
            <w:vAlign w:val="center"/>
          </w:tcPr>
          <w:p>
            <w:pPr>
              <w:pStyle w:val="4069"/>
              <w:keepNext w:val="0"/>
              <w:keepLines w:val="0"/>
              <w:suppressLineNumbers w:val="0"/>
              <w:spacing w:beforeAutospacing="0" w:afterAutospacing="0"/>
              <w:ind w:left="145"/>
              <w:jc w:val="center"/>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GB/T14848-2017</w:t>
            </w:r>
          </w:p>
        </w:tc>
        <w:tc>
          <w:tcPr>
            <w:tcW w:w="1349" w:type="dxa"/>
            <w:vMerge w:val="restart"/>
            <w:tcBorders>
              <w:top w:val="single" w:color="000000" w:sz="4" w:space="0"/>
              <w:left w:val="single" w:color="000000" w:sz="4" w:space="0"/>
              <w:bottom w:val="single" w:color="000000" w:sz="4" w:space="0"/>
              <w:right w:val="single" w:color="000000" w:sz="4" w:space="0"/>
            </w:tcBorders>
            <w:vAlign w:val="center"/>
          </w:tcPr>
          <w:p>
            <w:pPr>
              <w:pStyle w:val="4069"/>
              <w:keepNext w:val="0"/>
              <w:keepLines w:val="0"/>
              <w:suppressLineNumbers w:val="0"/>
              <w:spacing w:before="1" w:beforeAutospacing="0" w:afterAutospacing="0" w:line="242" w:lineRule="auto"/>
              <w:ind w:left="471" w:right="126" w:hanging="315"/>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地下水质量标准</w:t>
            </w:r>
          </w:p>
        </w:tc>
        <w:tc>
          <w:tcPr>
            <w:tcW w:w="797" w:type="dxa"/>
            <w:vMerge w:val="restart"/>
            <w:tcBorders>
              <w:top w:val="single" w:color="000000" w:sz="4" w:space="0"/>
              <w:left w:val="single" w:color="000000" w:sz="4" w:space="0"/>
              <w:bottom w:val="single" w:color="000000" w:sz="4" w:space="0"/>
              <w:right w:val="single" w:color="000000" w:sz="4" w:space="0"/>
            </w:tcBorders>
            <w:vAlign w:val="center"/>
          </w:tcPr>
          <w:p>
            <w:pPr>
              <w:pStyle w:val="4069"/>
              <w:keepNext w:val="0"/>
              <w:keepLines w:val="0"/>
              <w:suppressLineNumbers w:val="0"/>
              <w:spacing w:beforeAutospacing="0" w:afterAutospacing="0"/>
              <w:ind w:left="280" w:right="257"/>
              <w:jc w:val="center"/>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III</w:t>
            </w: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 w:beforeAutospacing="0" w:afterAutospacing="0" w:line="240" w:lineRule="exact"/>
              <w:ind w:left="232" w:right="204"/>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pH</w:t>
            </w:r>
            <w:r>
              <w:rPr>
                <w:color w:val="000000" w:themeColor="text1"/>
                <w:kern w:val="2"/>
                <w:sz w:val="21"/>
                <w14:textFill>
                  <w14:solidFill>
                    <w14:schemeClr w14:val="tx1"/>
                  </w14:solidFill>
                </w14:textFill>
              </w:rPr>
              <w:t>（无量纲）</w:t>
            </w:r>
          </w:p>
        </w:tc>
        <w:tc>
          <w:tcPr>
            <w:tcW w:w="2521"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7" w:beforeAutospacing="0" w:afterAutospacing="0" w:line="226" w:lineRule="exact"/>
              <w:ind w:left="932" w:right="897"/>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6.5-8.5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33" w:lineRule="exact"/>
              <w:ind w:left="232" w:right="20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总硬度</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 w:beforeAutospacing="0" w:afterAutospacing="0" w:line="228"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5" w:beforeAutospacing="0" w:afterAutospacing="0" w:line="228"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≤450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0"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31" w:lineRule="exact"/>
              <w:ind w:left="232" w:right="20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耗氧量</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 w:beforeAutospacing="0" w:afterAutospacing="0" w:line="226"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5" w:beforeAutospacing="0" w:afterAutospacing="0" w:line="226"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≤3.0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33" w:lineRule="exact"/>
              <w:ind w:left="232" w:right="20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溶解性总固体</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7" w:beforeAutospacing="0" w:afterAutospacing="0" w:line="226"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7" w:beforeAutospacing="0" w:afterAutospacing="0" w:line="226"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≤1000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2"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03" w:lineRule="exact"/>
              <w:ind w:left="232" w:right="208"/>
              <w:rPr>
                <w:rFonts w:ascii="Times New Roman"/>
                <w:color w:val="000000" w:themeColor="text1"/>
                <w:kern w:val="2"/>
                <w:sz w:val="21"/>
                <w14:textFill>
                  <w14:solidFill>
                    <w14:schemeClr w14:val="tx1"/>
                  </w14:solidFill>
                </w14:textFill>
              </w:rPr>
            </w:pPr>
            <w:r>
              <w:rPr>
                <w:rFonts w:ascii="Times New Roman"/>
                <w:color w:val="000000" w:themeColor="text1"/>
                <w:kern w:val="2"/>
                <w:position w:val="2"/>
                <w:sz w:val="21"/>
                <w14:textFill>
                  <w14:solidFill>
                    <w14:schemeClr w14:val="tx1"/>
                  </w14:solidFill>
                </w14:textFill>
              </w:rPr>
              <w:t>NH</w:t>
            </w:r>
            <w:r>
              <w:rPr>
                <w:rFonts w:ascii="Times New Roman"/>
                <w:color w:val="000000" w:themeColor="text1"/>
                <w:kern w:val="2"/>
                <w:sz w:val="14"/>
                <w14:textFill>
                  <w14:solidFill>
                    <w14:schemeClr w14:val="tx1"/>
                  </w14:solidFill>
                </w14:textFill>
              </w:rPr>
              <w:t>3</w:t>
            </w:r>
            <w:r>
              <w:rPr>
                <w:rFonts w:ascii="Times New Roman"/>
                <w:color w:val="000000" w:themeColor="text1"/>
                <w:kern w:val="2"/>
                <w:position w:val="2"/>
                <w:sz w:val="21"/>
                <w14:textFill>
                  <w14:solidFill>
                    <w14:schemeClr w14:val="tx1"/>
                  </w14:solidFill>
                </w14:textFill>
              </w:rPr>
              <w:t>-N</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03"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Autospacing="0" w:afterAutospacing="0" w:line="203"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≤0.5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0"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31" w:lineRule="exact"/>
              <w:ind w:left="232" w:right="20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硫酸盐</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 w:beforeAutospacing="0" w:afterAutospacing="0" w:line="226"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5" w:beforeAutospacing="0" w:afterAutospacing="0" w:line="226"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≤250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33" w:lineRule="exact"/>
              <w:ind w:left="232" w:right="204"/>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总大肠菌群</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7" w:beforeAutospacing="0" w:afterAutospacing="0" w:line="226"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7" w:beforeAutospacing="0" w:afterAutospacing="0" w:line="226" w:lineRule="exact"/>
              <w:ind w:left="284" w:right="253"/>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53"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33" w:lineRule="exact"/>
              <w:ind w:left="232" w:right="204"/>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细菌总数</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 w:beforeAutospacing="0" w:afterAutospacing="0" w:line="228"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5" w:beforeAutospacing="0" w:afterAutospacing="0" w:line="228"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≤100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1"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02" w:lineRule="exact"/>
              <w:ind w:left="232" w:right="211"/>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Fe</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02"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Autospacing="0" w:afterAutospacing="0" w:line="202"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9" w:hRule="atLeast"/>
        </w:trPr>
        <w:tc>
          <w:tcPr>
            <w:tcW w:w="778" w:type="dxa"/>
            <w:vMerge w:val="continue"/>
            <w:tcBorders>
              <w:top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00" w:lineRule="exact"/>
              <w:ind w:left="232" w:right="207"/>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Mn</w:t>
            </w:r>
          </w:p>
        </w:tc>
        <w:tc>
          <w:tcPr>
            <w:tcW w:w="128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line="200"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bottom w:val="single" w:color="000000" w:sz="4" w:space="0"/>
            </w:tcBorders>
          </w:tcPr>
          <w:p>
            <w:pPr>
              <w:pStyle w:val="4069"/>
              <w:keepNext w:val="0"/>
              <w:keepLines w:val="0"/>
              <w:suppressLineNumbers w:val="0"/>
              <w:spacing w:beforeAutospacing="0" w:afterAutospacing="0" w:line="200"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0" w:hRule="atLeast"/>
        </w:trPr>
        <w:tc>
          <w:tcPr>
            <w:tcW w:w="778" w:type="dxa"/>
            <w:vMerge w:val="continue"/>
            <w:tcBorders>
              <w:top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770" w:type="dxa"/>
            <w:vMerge w:val="continue"/>
            <w:tcBorders>
              <w:top w:val="single" w:color="000000" w:sz="4" w:space="0"/>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49" w:type="dxa"/>
            <w:vMerge w:val="continue"/>
            <w:tcBorders>
              <w:top w:val="single" w:color="000000" w:sz="4" w:space="0"/>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97" w:type="dxa"/>
            <w:vMerge w:val="continue"/>
            <w:tcBorders>
              <w:top w:val="single" w:color="000000" w:sz="4" w:space="0"/>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964" w:type="dxa"/>
            <w:tcBorders>
              <w:top w:val="single" w:color="000000" w:sz="4" w:space="0"/>
              <w:left w:val="single" w:color="000000" w:sz="4" w:space="0"/>
              <w:right w:val="single" w:color="000000" w:sz="4" w:space="0"/>
            </w:tcBorders>
          </w:tcPr>
          <w:p>
            <w:pPr>
              <w:pStyle w:val="4069"/>
              <w:keepNext w:val="0"/>
              <w:keepLines w:val="0"/>
              <w:suppressLineNumbers w:val="0"/>
              <w:spacing w:beforeAutospacing="0" w:afterAutospacing="0" w:line="240" w:lineRule="exact"/>
              <w:ind w:left="232" w:right="20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氟化物</w:t>
            </w:r>
          </w:p>
        </w:tc>
        <w:tc>
          <w:tcPr>
            <w:tcW w:w="1280" w:type="dxa"/>
            <w:tcBorders>
              <w:top w:val="single" w:color="000000" w:sz="4" w:space="0"/>
              <w:left w:val="single" w:color="000000" w:sz="4" w:space="0"/>
              <w:right w:val="single" w:color="000000" w:sz="4" w:space="0"/>
            </w:tcBorders>
          </w:tcPr>
          <w:p>
            <w:pPr>
              <w:pStyle w:val="4069"/>
              <w:keepNext w:val="0"/>
              <w:keepLines w:val="0"/>
              <w:suppressLineNumbers w:val="0"/>
              <w:spacing w:before="7" w:beforeAutospacing="0" w:afterAutospacing="0" w:line="233" w:lineRule="exact"/>
              <w:ind w:left="216" w:right="19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mg/L</w:t>
            </w:r>
          </w:p>
        </w:tc>
        <w:tc>
          <w:tcPr>
            <w:tcW w:w="1241" w:type="dxa"/>
            <w:tcBorders>
              <w:top w:val="single" w:color="000000" w:sz="4" w:space="0"/>
              <w:left w:val="single" w:color="000000" w:sz="4" w:space="0"/>
            </w:tcBorders>
          </w:tcPr>
          <w:p>
            <w:pPr>
              <w:pStyle w:val="4069"/>
              <w:keepNext w:val="0"/>
              <w:keepLines w:val="0"/>
              <w:suppressLineNumbers w:val="0"/>
              <w:spacing w:before="7" w:beforeAutospacing="0" w:afterAutospacing="0" w:line="233" w:lineRule="exact"/>
              <w:ind w:left="287" w:right="251"/>
              <w:rPr>
                <w:rFonts w:ascii="Times New Roman" w:hAnsi="Times New Roman"/>
                <w:color w:val="000000" w:themeColor="text1"/>
                <w:kern w:val="2"/>
                <w:sz w:val="21"/>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≤1.0</w:t>
            </w:r>
          </w:p>
        </w:tc>
      </w:tr>
    </w:tbl>
    <w:p>
      <w:pPr>
        <w:pStyle w:val="2"/>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声环境：区域内执行《声环境质量标准》（GB3096-2008）中的 2 类标准，标准限值详见表 2.</w:t>
      </w:r>
      <w:r>
        <w:rPr>
          <w:rFonts w:hint="eastAsia"/>
          <w:sz w:val="24"/>
          <w:lang w:val="en-US" w:eastAsia="zh-CN"/>
        </w:rPr>
        <w:t>2</w:t>
      </w:r>
      <w:r>
        <w:rPr>
          <w:sz w:val="24"/>
        </w:rPr>
        <w:t>-4。</w:t>
      </w:r>
    </w:p>
    <w:p>
      <w:pPr>
        <w:tabs>
          <w:tab w:val="left" w:pos="4220"/>
        </w:tabs>
        <w:spacing w:before="81" w:after="4"/>
        <w:ind w:left="3309" w:right="0" w:firstLine="0"/>
        <w:jc w:val="left"/>
        <w:rPr>
          <w:b/>
          <w:sz w:val="21"/>
        </w:rPr>
      </w:pPr>
      <w:r>
        <w:rPr>
          <w:b/>
          <w:sz w:val="21"/>
        </w:rPr>
        <w:t>表</w:t>
      </w:r>
      <w:r>
        <w:rPr>
          <w:b/>
          <w:spacing w:val="-52"/>
          <w:sz w:val="21"/>
        </w:rPr>
        <w:t xml:space="preserve"> </w:t>
      </w:r>
      <w:r>
        <w:rPr>
          <w:rFonts w:ascii="Times New Roman" w:eastAsia="Times New Roman"/>
          <w:b/>
          <w:sz w:val="21"/>
        </w:rPr>
        <w:t>2.</w:t>
      </w:r>
      <w:r>
        <w:rPr>
          <w:rFonts w:hint="eastAsia" w:ascii="Times New Roman" w:eastAsia="宋体"/>
          <w:b/>
          <w:sz w:val="21"/>
          <w:lang w:val="en-US" w:eastAsia="zh-CN"/>
        </w:rPr>
        <w:t>2</w:t>
      </w:r>
      <w:r>
        <w:rPr>
          <w:rFonts w:ascii="Times New Roman" w:eastAsia="Times New Roman"/>
          <w:b/>
          <w:sz w:val="21"/>
        </w:rPr>
        <w:t>-4</w:t>
      </w:r>
      <w:r>
        <w:rPr>
          <w:rFonts w:ascii="Times New Roman" w:eastAsia="Times New Roman"/>
          <w:b/>
          <w:sz w:val="21"/>
        </w:rPr>
        <w:tab/>
      </w:r>
      <w:r>
        <w:rPr>
          <w:rFonts w:hint="eastAsia" w:eastAsia="宋体"/>
          <w:b/>
          <w:sz w:val="21"/>
          <w:lang w:eastAsia="zh-CN"/>
        </w:rPr>
        <w:t>声</w:t>
      </w:r>
      <w:r>
        <w:rPr>
          <w:b/>
          <w:sz w:val="21"/>
        </w:rPr>
        <w:t>环境质量标准</w:t>
      </w:r>
      <w:r>
        <w:rPr>
          <w:b/>
          <w:spacing w:val="-3"/>
          <w:sz w:val="21"/>
        </w:rPr>
        <w:t>及</w:t>
      </w:r>
      <w:r>
        <w:rPr>
          <w:b/>
          <w:sz w:val="21"/>
        </w:rPr>
        <w:t>限值</w:t>
      </w:r>
    </w:p>
    <w:tbl>
      <w:tblPr>
        <w:tblStyle w:val="88"/>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78"/>
        <w:gridCol w:w="1679"/>
        <w:gridCol w:w="1321"/>
        <w:gridCol w:w="1002"/>
        <w:gridCol w:w="1881"/>
        <w:gridCol w:w="1281"/>
        <w:gridCol w:w="1241"/>
        <w:gridCol w:w="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1" w:type="dxa"/>
          <w:trHeight w:val="270" w:hRule="atLeast"/>
        </w:trPr>
        <w:tc>
          <w:tcPr>
            <w:tcW w:w="778" w:type="dxa"/>
            <w:tcBorders>
              <w:right w:val="single" w:color="000000" w:sz="4" w:space="0"/>
            </w:tcBorders>
          </w:tcPr>
          <w:p>
            <w:pPr>
              <w:pStyle w:val="4069"/>
              <w:keepNext w:val="0"/>
              <w:keepLines w:val="0"/>
              <w:suppressLineNumbers w:val="0"/>
              <w:spacing w:beforeAutospacing="0" w:afterAutospacing="0" w:line="250" w:lineRule="exact"/>
              <w:ind w:left="17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环境</w:t>
            </w:r>
          </w:p>
        </w:tc>
        <w:tc>
          <w:tcPr>
            <w:tcW w:w="1679" w:type="dxa"/>
            <w:tcBorders>
              <w:left w:val="single" w:color="000000" w:sz="4" w:space="0"/>
              <w:right w:val="single" w:color="000000" w:sz="4" w:space="0"/>
            </w:tcBorders>
          </w:tcPr>
          <w:p>
            <w:pPr>
              <w:pStyle w:val="4069"/>
              <w:keepNext w:val="0"/>
              <w:keepLines w:val="0"/>
              <w:suppressLineNumbers w:val="0"/>
              <w:spacing w:beforeAutospacing="0" w:afterAutospacing="0" w:line="250" w:lineRule="exact"/>
              <w:ind w:left="529"/>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标准号</w:t>
            </w:r>
          </w:p>
        </w:tc>
        <w:tc>
          <w:tcPr>
            <w:tcW w:w="1321" w:type="dxa"/>
            <w:tcBorders>
              <w:left w:val="single" w:color="000000" w:sz="4" w:space="0"/>
              <w:right w:val="single" w:color="000000" w:sz="4" w:space="0"/>
            </w:tcBorders>
          </w:tcPr>
          <w:p>
            <w:pPr>
              <w:pStyle w:val="4069"/>
              <w:keepNext w:val="0"/>
              <w:keepLines w:val="0"/>
              <w:suppressLineNumbers w:val="0"/>
              <w:spacing w:beforeAutospacing="0" w:afterAutospacing="0" w:line="250" w:lineRule="exact"/>
              <w:ind w:left="248"/>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标准名称</w:t>
            </w:r>
          </w:p>
        </w:tc>
        <w:tc>
          <w:tcPr>
            <w:tcW w:w="1002" w:type="dxa"/>
            <w:tcBorders>
              <w:left w:val="single" w:color="000000" w:sz="4" w:space="0"/>
              <w:right w:val="single" w:color="000000" w:sz="4" w:space="0"/>
            </w:tcBorders>
          </w:tcPr>
          <w:p>
            <w:pPr>
              <w:pStyle w:val="4069"/>
              <w:keepNext w:val="0"/>
              <w:keepLines w:val="0"/>
              <w:suppressLineNumbers w:val="0"/>
              <w:spacing w:beforeAutospacing="0" w:afterAutospacing="0" w:line="250" w:lineRule="exact"/>
              <w:ind w:left="29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功能</w:t>
            </w:r>
          </w:p>
        </w:tc>
        <w:tc>
          <w:tcPr>
            <w:tcW w:w="1881" w:type="dxa"/>
            <w:tcBorders>
              <w:left w:val="single" w:color="000000" w:sz="4" w:space="0"/>
              <w:right w:val="single" w:color="000000" w:sz="4" w:space="0"/>
            </w:tcBorders>
          </w:tcPr>
          <w:p>
            <w:pPr>
              <w:pStyle w:val="4069"/>
              <w:keepNext w:val="0"/>
              <w:keepLines w:val="0"/>
              <w:suppressLineNumbers w:val="0"/>
              <w:spacing w:beforeAutospacing="0" w:afterAutospacing="0" w:line="250" w:lineRule="exact"/>
              <w:ind w:left="717" w:right="694"/>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w:t>
            </w:r>
          </w:p>
        </w:tc>
        <w:tc>
          <w:tcPr>
            <w:tcW w:w="2522" w:type="dxa"/>
            <w:gridSpan w:val="2"/>
            <w:tcBorders>
              <w:left w:val="single" w:color="000000" w:sz="4" w:space="0"/>
            </w:tcBorders>
          </w:tcPr>
          <w:p>
            <w:pPr>
              <w:pStyle w:val="4069"/>
              <w:keepNext w:val="0"/>
              <w:keepLines w:val="0"/>
              <w:suppressLineNumbers w:val="0"/>
              <w:spacing w:beforeAutospacing="0" w:afterAutospacing="0" w:line="250" w:lineRule="exact"/>
              <w:ind w:left="930" w:right="902"/>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778" w:type="dxa"/>
            <w:tcBorders>
              <w:bottom w:val="single" w:color="000000" w:sz="4" w:space="0"/>
              <w:right w:val="single" w:color="000000" w:sz="4" w:space="0"/>
            </w:tcBorders>
          </w:tcPr>
          <w:p>
            <w:pPr>
              <w:pStyle w:val="4069"/>
              <w:keepNext w:val="0"/>
              <w:keepLines w:val="0"/>
              <w:suppressLineNumbers w:val="0"/>
              <w:spacing w:before="3" w:beforeAutospacing="0" w:afterAutospacing="0" w:line="250" w:lineRule="exact"/>
              <w:ind w:left="17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要素</w:t>
            </w:r>
          </w:p>
        </w:tc>
        <w:tc>
          <w:tcPr>
            <w:tcW w:w="1679" w:type="dxa"/>
            <w:tcBorders>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rFonts w:ascii="Times New Roman"/>
                <w:color w:val="000000" w:themeColor="text1"/>
                <w:kern w:val="2"/>
                <w:sz w:val="20"/>
                <w14:textFill>
                  <w14:solidFill>
                    <w14:schemeClr w14:val="tx1"/>
                  </w14:solidFill>
                </w14:textFill>
              </w:rPr>
            </w:pPr>
          </w:p>
        </w:tc>
        <w:tc>
          <w:tcPr>
            <w:tcW w:w="1321" w:type="dxa"/>
            <w:tcBorders>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rFonts w:ascii="Times New Roman"/>
                <w:color w:val="000000" w:themeColor="text1"/>
                <w:kern w:val="2"/>
                <w:sz w:val="20"/>
                <w14:textFill>
                  <w14:solidFill>
                    <w14:schemeClr w14:val="tx1"/>
                  </w14:solidFill>
                </w14:textFill>
              </w:rPr>
            </w:pPr>
          </w:p>
        </w:tc>
        <w:tc>
          <w:tcPr>
            <w:tcW w:w="1002" w:type="dxa"/>
            <w:tcBorders>
              <w:left w:val="single" w:color="000000" w:sz="4" w:space="0"/>
              <w:bottom w:val="single" w:color="000000" w:sz="4" w:space="0"/>
              <w:right w:val="single" w:color="000000" w:sz="4" w:space="0"/>
            </w:tcBorders>
          </w:tcPr>
          <w:p>
            <w:pPr>
              <w:pStyle w:val="4069"/>
              <w:keepNext w:val="0"/>
              <w:keepLines w:val="0"/>
              <w:suppressLineNumbers w:val="0"/>
              <w:spacing w:before="3" w:beforeAutospacing="0" w:afterAutospacing="0" w:line="250" w:lineRule="exact"/>
              <w:ind w:left="29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区划</w:t>
            </w:r>
          </w:p>
        </w:tc>
        <w:tc>
          <w:tcPr>
            <w:tcW w:w="1881" w:type="dxa"/>
            <w:tcBorders>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rFonts w:ascii="Times New Roman"/>
                <w:color w:val="000000" w:themeColor="text1"/>
                <w:kern w:val="2"/>
                <w:sz w:val="20"/>
                <w14:textFill>
                  <w14:solidFill>
                    <w14:schemeClr w14:val="tx1"/>
                  </w14:solidFill>
                </w14:textFill>
              </w:rPr>
            </w:pPr>
          </w:p>
        </w:tc>
        <w:tc>
          <w:tcPr>
            <w:tcW w:w="1281" w:type="dxa"/>
            <w:tcBorders>
              <w:left w:val="single" w:color="000000" w:sz="4" w:space="0"/>
              <w:bottom w:val="single" w:color="000000" w:sz="4" w:space="0"/>
              <w:right w:val="single" w:color="000000" w:sz="4" w:space="0"/>
            </w:tcBorders>
          </w:tcPr>
          <w:p>
            <w:pPr>
              <w:pStyle w:val="4069"/>
              <w:keepNext w:val="0"/>
              <w:keepLines w:val="0"/>
              <w:suppressLineNumbers w:val="0"/>
              <w:spacing w:before="3" w:beforeAutospacing="0" w:afterAutospacing="0" w:line="250" w:lineRule="exact"/>
              <w:ind w:left="434"/>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单位</w:t>
            </w:r>
          </w:p>
        </w:tc>
        <w:tc>
          <w:tcPr>
            <w:tcW w:w="1242" w:type="dxa"/>
            <w:gridSpan w:val="2"/>
            <w:tcBorders>
              <w:left w:val="single" w:color="000000" w:sz="4" w:space="0"/>
              <w:bottom w:val="single" w:color="000000" w:sz="4" w:space="0"/>
            </w:tcBorders>
          </w:tcPr>
          <w:p>
            <w:pPr>
              <w:pStyle w:val="4069"/>
              <w:keepNext w:val="0"/>
              <w:keepLines w:val="0"/>
              <w:suppressLineNumbers w:val="0"/>
              <w:spacing w:before="3" w:beforeAutospacing="0" w:afterAutospacing="0" w:line="250" w:lineRule="exact"/>
              <w:ind w:left="336" w:right="309"/>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数值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3" w:hRule="atLeast"/>
        </w:trPr>
        <w:tc>
          <w:tcPr>
            <w:tcW w:w="778" w:type="dxa"/>
            <w:vMerge w:val="restart"/>
            <w:tcBorders>
              <w:top w:val="single" w:color="000000" w:sz="4" w:space="0"/>
              <w:right w:val="single" w:color="000000" w:sz="4" w:space="0"/>
            </w:tcBorders>
          </w:tcPr>
          <w:p>
            <w:pPr>
              <w:pStyle w:val="4069"/>
              <w:keepNext w:val="0"/>
              <w:keepLines w:val="0"/>
              <w:suppressLineNumbers w:val="0"/>
              <w:spacing w:before="7" w:beforeAutospacing="0" w:afterAutospacing="0" w:line="270" w:lineRule="atLeast"/>
              <w:ind w:left="282" w:right="156" w:hanging="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声环境</w:t>
            </w:r>
          </w:p>
        </w:tc>
        <w:tc>
          <w:tcPr>
            <w:tcW w:w="1679"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156" w:beforeAutospacing="0" w:afterAutospacing="0"/>
              <w:ind w:left="244"/>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GB3096-2008</w:t>
            </w:r>
          </w:p>
        </w:tc>
        <w:tc>
          <w:tcPr>
            <w:tcW w:w="1321"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7" w:beforeAutospacing="0" w:afterAutospacing="0" w:line="270" w:lineRule="atLeast"/>
              <w:ind w:left="459" w:right="112" w:hanging="31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声环境质量标准</w:t>
            </w:r>
          </w:p>
        </w:tc>
        <w:tc>
          <w:tcPr>
            <w:tcW w:w="1002"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142" w:beforeAutospacing="0" w:afterAutospacing="0"/>
              <w:ind w:left="321"/>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2 </w:t>
            </w:r>
            <w:r>
              <w:rPr>
                <w:color w:val="000000" w:themeColor="text1"/>
                <w:kern w:val="2"/>
                <w:sz w:val="21"/>
                <w14:textFill>
                  <w14:solidFill>
                    <w14:schemeClr w14:val="tx1"/>
                  </w14:solidFill>
                </w14:textFill>
              </w:rPr>
              <w:t>类</w:t>
            </w:r>
          </w:p>
        </w:tc>
        <w:tc>
          <w:tcPr>
            <w:tcW w:w="1881"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142" w:beforeAutospacing="0" w:afterAutospacing="0"/>
              <w:ind w:left="18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等效连续</w:t>
            </w:r>
            <w:r>
              <w:rPr>
                <w:rFonts w:ascii="Times New Roman" w:eastAsia="Times New Roman"/>
                <w:color w:val="000000" w:themeColor="text1"/>
                <w:kern w:val="2"/>
                <w:sz w:val="21"/>
                <w14:textFill>
                  <w14:solidFill>
                    <w14:schemeClr w14:val="tx1"/>
                  </w14:solidFill>
                </w14:textFill>
              </w:rPr>
              <w:t xml:space="preserve">A </w:t>
            </w:r>
            <w:r>
              <w:rPr>
                <w:color w:val="000000" w:themeColor="text1"/>
                <w:kern w:val="2"/>
                <w:sz w:val="21"/>
                <w14:textFill>
                  <w14:solidFill>
                    <w14:schemeClr w14:val="tx1"/>
                  </w14:solidFill>
                </w14:textFill>
              </w:rPr>
              <w:t>声级</w:t>
            </w:r>
          </w:p>
        </w:tc>
        <w:tc>
          <w:tcPr>
            <w:tcW w:w="1281"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142" w:beforeAutospacing="0" w:afterAutospacing="0"/>
              <w:ind w:left="304"/>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dB(A</w:t>
            </w:r>
            <w:r>
              <w:rPr>
                <w:color w:val="000000" w:themeColor="text1"/>
                <w:kern w:val="2"/>
                <w:sz w:val="21"/>
                <w14:textFill>
                  <w14:solidFill>
                    <w14:schemeClr w14:val="tx1"/>
                  </w14:solidFill>
                </w14:textFill>
              </w:rPr>
              <w:t>）</w:t>
            </w:r>
          </w:p>
        </w:tc>
        <w:tc>
          <w:tcPr>
            <w:tcW w:w="1242"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 w:beforeAutospacing="0" w:afterAutospacing="0" w:line="242" w:lineRule="exact"/>
              <w:ind w:left="336" w:right="309"/>
              <w:rPr>
                <w:rFonts w:ascii="Times New Roman" w:hAns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昼</w:t>
            </w:r>
            <w:r>
              <w:rPr>
                <w:rFonts w:ascii="Times New Roman" w:hAnsi="Times New Roman" w:eastAsia="Times New Roman"/>
                <w:color w:val="000000" w:themeColor="text1"/>
                <w:kern w:val="2"/>
                <w:sz w:val="21"/>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0" w:hRule="atLeast"/>
        </w:trPr>
        <w:tc>
          <w:tcPr>
            <w:tcW w:w="778" w:type="dxa"/>
            <w:vMerge w:val="continue"/>
            <w:tcBorders>
              <w:top w:val="nil"/>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679" w:type="dxa"/>
            <w:vMerge w:val="continue"/>
            <w:tcBorders>
              <w:top w:val="nil"/>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321" w:type="dxa"/>
            <w:vMerge w:val="continue"/>
            <w:tcBorders>
              <w:top w:val="nil"/>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002" w:type="dxa"/>
            <w:vMerge w:val="continue"/>
            <w:tcBorders>
              <w:top w:val="nil"/>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881" w:type="dxa"/>
            <w:vMerge w:val="continue"/>
            <w:tcBorders>
              <w:top w:val="nil"/>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281" w:type="dxa"/>
            <w:vMerge w:val="continue"/>
            <w:tcBorders>
              <w:top w:val="nil"/>
              <w:left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242" w:type="dxa"/>
            <w:gridSpan w:val="2"/>
            <w:tcBorders>
              <w:top w:val="single" w:color="000000" w:sz="4" w:space="0"/>
              <w:left w:val="single" w:color="000000" w:sz="4" w:space="0"/>
            </w:tcBorders>
          </w:tcPr>
          <w:p>
            <w:pPr>
              <w:pStyle w:val="4069"/>
              <w:keepNext w:val="0"/>
              <w:keepLines w:val="0"/>
              <w:suppressLineNumbers w:val="0"/>
              <w:spacing w:beforeAutospacing="0" w:afterAutospacing="0" w:line="240" w:lineRule="exact"/>
              <w:ind w:left="336" w:right="309"/>
              <w:rPr>
                <w:rFonts w:ascii="Times New Roman" w:hAns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夜</w:t>
            </w:r>
            <w:r>
              <w:rPr>
                <w:rFonts w:ascii="Times New Roman" w:hAnsi="Times New Roman" w:eastAsia="Times New Roman"/>
                <w:color w:val="000000" w:themeColor="text1"/>
                <w:kern w:val="2"/>
                <w:sz w:val="21"/>
                <w14:textFill>
                  <w14:solidFill>
                    <w14:schemeClr w14:val="tx1"/>
                  </w14:solidFill>
                </w14:textFill>
              </w:rPr>
              <w:t>≤50</w:t>
            </w:r>
          </w:p>
        </w:tc>
      </w:tr>
    </w:tbl>
    <w:p>
      <w:pPr>
        <w:pStyle w:val="6"/>
      </w:pPr>
      <w:bookmarkStart w:id="87" w:name="_Toc248308504"/>
      <w:bookmarkStart w:id="88" w:name="_Toc124913968"/>
      <w:bookmarkStart w:id="89" w:name="_Toc135630038"/>
      <w:bookmarkStart w:id="90" w:name="_Toc137861431"/>
      <w:bookmarkStart w:id="91" w:name="_Toc1503"/>
      <w:r>
        <w:rPr>
          <w:rFonts w:hint="eastAsia"/>
          <w:lang w:eastAsia="zh-CN"/>
        </w:rPr>
        <w:t>污染物排放</w:t>
      </w:r>
      <w:r>
        <w:t>标准</w:t>
      </w:r>
      <w:bookmarkEnd w:id="87"/>
      <w:bookmarkEnd w:id="88"/>
      <w:bookmarkEnd w:id="89"/>
      <w:bookmarkEnd w:id="90"/>
      <w:bookmarkEnd w:id="91"/>
    </w:p>
    <w:p>
      <w:pPr>
        <w:adjustRightInd w:val="0"/>
        <w:snapToGrid w:val="0"/>
        <w:spacing w:line="360" w:lineRule="auto"/>
        <w:ind w:firstLine="480" w:firstLineChars="200"/>
        <w:jc w:val="left"/>
        <w:rPr>
          <w:rFonts w:hint="eastAsia" w:eastAsia="宋体"/>
          <w:sz w:val="24"/>
          <w:lang w:eastAsia="zh-CN"/>
        </w:rPr>
      </w:pPr>
      <w:r>
        <w:rPr>
          <w:rFonts w:hint="eastAsia" w:eastAsia="宋体"/>
          <w:sz w:val="24"/>
          <w:lang w:eastAsia="zh-CN"/>
        </w:rPr>
        <w:t>本项目污染物排放标准如下所示：</w:t>
      </w:r>
    </w:p>
    <w:p>
      <w:pPr>
        <w:adjustRightInd w:val="0"/>
        <w:snapToGrid w:val="0"/>
        <w:spacing w:line="360" w:lineRule="auto"/>
        <w:ind w:firstLine="480" w:firstLineChars="200"/>
        <w:jc w:val="left"/>
        <w:rPr>
          <w:rFonts w:hint="eastAsia" w:eastAsia="宋体"/>
          <w:sz w:val="24"/>
          <w:lang w:eastAsia="zh-CN"/>
        </w:rPr>
      </w:pPr>
      <w:r>
        <w:rPr>
          <w:rFonts w:hint="eastAsia"/>
          <w:sz w:val="24"/>
          <w:lang w:eastAsia="zh-CN"/>
        </w:rPr>
        <w:t>（</w:t>
      </w:r>
      <w:r>
        <w:rPr>
          <w:rFonts w:hint="eastAsia"/>
          <w:sz w:val="24"/>
          <w:lang w:val="en-US" w:eastAsia="zh-CN"/>
        </w:rPr>
        <w:t>1</w:t>
      </w:r>
      <w:r>
        <w:rPr>
          <w:rFonts w:hint="eastAsia"/>
          <w:sz w:val="24"/>
          <w:lang w:eastAsia="zh-CN"/>
        </w:rPr>
        <w:t>）</w:t>
      </w:r>
      <w:r>
        <w:rPr>
          <w:rFonts w:hint="eastAsia" w:eastAsia="宋体"/>
          <w:sz w:val="24"/>
          <w:lang w:eastAsia="zh-CN"/>
        </w:rPr>
        <w:t>水污染物排放标准：本项目属于</w:t>
      </w:r>
      <w:r>
        <w:rPr>
          <w:rFonts w:hint="eastAsia" w:eastAsia="宋体"/>
          <w:sz w:val="24"/>
          <w:lang w:val="en-US" w:eastAsia="zh-CN"/>
        </w:rPr>
        <w:t>万屯镇</w:t>
      </w:r>
      <w:r>
        <w:rPr>
          <w:rFonts w:hint="eastAsia" w:eastAsia="宋体"/>
          <w:sz w:val="24"/>
          <w:lang w:eastAsia="zh-CN"/>
        </w:rPr>
        <w:t>污水处理厂的纳污范围，因此项目生产废水排放执行《肉类加工工业水污染排放标准》（GB13457-1992）表3中三级标准及</w:t>
      </w:r>
      <w:r>
        <w:rPr>
          <w:rFonts w:hint="eastAsia" w:eastAsia="宋体"/>
          <w:sz w:val="24"/>
          <w:lang w:val="en-US" w:eastAsia="zh-CN"/>
        </w:rPr>
        <w:t>万屯镇</w:t>
      </w:r>
      <w:r>
        <w:rPr>
          <w:rFonts w:hint="eastAsia" w:eastAsia="宋体"/>
          <w:sz w:val="24"/>
          <w:lang w:eastAsia="zh-CN"/>
        </w:rPr>
        <w:t>污水处理厂的接管水质标准的较严值；生活污水排放执行《污水综合排放标准》（GB8978-1996）中的三级标准及</w:t>
      </w:r>
      <w:r>
        <w:rPr>
          <w:rFonts w:hint="eastAsia" w:eastAsia="宋体"/>
          <w:sz w:val="24"/>
          <w:lang w:val="en-US" w:eastAsia="zh-CN"/>
        </w:rPr>
        <w:t>万屯镇</w:t>
      </w:r>
      <w:r>
        <w:rPr>
          <w:rFonts w:hint="eastAsia" w:eastAsia="宋体"/>
          <w:sz w:val="24"/>
          <w:lang w:eastAsia="zh-CN"/>
        </w:rPr>
        <w:t>污水处理厂的接管水质标准的较严值。</w:t>
      </w:r>
    </w:p>
    <w:p>
      <w:pPr>
        <w:adjustRightInd w:val="0"/>
        <w:snapToGrid w:val="0"/>
        <w:spacing w:line="360" w:lineRule="auto"/>
        <w:ind w:firstLine="480" w:firstLineChars="200"/>
        <w:jc w:val="left"/>
        <w:rPr>
          <w:rFonts w:hint="eastAsia" w:eastAsia="宋体"/>
          <w:sz w:val="24"/>
          <w:lang w:eastAsia="zh-CN"/>
        </w:rPr>
      </w:pPr>
      <w:r>
        <w:rPr>
          <w:rFonts w:hint="eastAsia"/>
          <w:sz w:val="24"/>
          <w:lang w:eastAsia="zh-CN"/>
        </w:rPr>
        <w:t>（</w:t>
      </w:r>
      <w:r>
        <w:rPr>
          <w:rFonts w:hint="eastAsia"/>
          <w:sz w:val="24"/>
          <w:lang w:val="en-US" w:eastAsia="zh-CN"/>
        </w:rPr>
        <w:t>2</w:t>
      </w:r>
      <w:r>
        <w:rPr>
          <w:rFonts w:hint="eastAsia"/>
          <w:sz w:val="24"/>
          <w:lang w:eastAsia="zh-CN"/>
        </w:rPr>
        <w:t>）</w:t>
      </w:r>
      <w:r>
        <w:rPr>
          <w:rFonts w:hint="eastAsia" w:eastAsia="宋体"/>
          <w:sz w:val="24"/>
          <w:lang w:eastAsia="zh-CN"/>
        </w:rPr>
        <w:t>大气污染物排放标准：施工扬尘排放执行《大气污染物综合排放标准》(GB16297-1996)表 2 中无组织排放标准；运营期 H2S、NH3 污染物排放标准执行《贵州省环境污染物排放标准》（DB52/864-2013）表 4 中二级及无组织排放标准，臭气浓度执行《恶臭污染物排放标准》（GB14554-93）表 1 表 2 二级标准具体规定；食堂油烟执行《饮食业油烟排放标准》（GB18483-2001）；燃气锅炉执行《锅炉大气污染物排放标准》（GB13271-2014）。</w:t>
      </w:r>
    </w:p>
    <w:p>
      <w:pPr>
        <w:adjustRightInd w:val="0"/>
        <w:snapToGrid w:val="0"/>
        <w:spacing w:line="360" w:lineRule="auto"/>
        <w:ind w:firstLine="480" w:firstLineChars="200"/>
        <w:jc w:val="left"/>
        <w:rPr>
          <w:rFonts w:hint="eastAsia" w:eastAsia="宋体"/>
          <w:sz w:val="24"/>
          <w:lang w:eastAsia="zh-CN"/>
        </w:rPr>
      </w:pPr>
      <w:r>
        <w:rPr>
          <w:rFonts w:hint="eastAsia"/>
          <w:sz w:val="24"/>
          <w:lang w:eastAsia="zh-CN"/>
        </w:rPr>
        <w:t>（</w:t>
      </w:r>
      <w:r>
        <w:rPr>
          <w:rFonts w:hint="eastAsia"/>
          <w:sz w:val="24"/>
          <w:lang w:val="en-US" w:eastAsia="zh-CN"/>
        </w:rPr>
        <w:t>3</w:t>
      </w:r>
      <w:r>
        <w:rPr>
          <w:rFonts w:hint="eastAsia"/>
          <w:sz w:val="24"/>
          <w:lang w:eastAsia="zh-CN"/>
        </w:rPr>
        <w:t>）</w:t>
      </w:r>
      <w:r>
        <w:rPr>
          <w:rFonts w:hint="eastAsia" w:eastAsia="宋体"/>
          <w:sz w:val="24"/>
          <w:lang w:eastAsia="zh-CN"/>
        </w:rPr>
        <w:t>噪声排放标准：项目施工期执行《建筑施工场界环境噪声排放标准》（GB12523-2011）标准；运营期执行《工业企业厂界环境噪声排放标准》（GB12348-2008）2类标准。</w:t>
      </w:r>
    </w:p>
    <w:p>
      <w:pPr>
        <w:adjustRightInd w:val="0"/>
        <w:snapToGrid w:val="0"/>
        <w:spacing w:line="360" w:lineRule="auto"/>
        <w:ind w:firstLine="480" w:firstLineChars="200"/>
        <w:jc w:val="left"/>
        <w:rPr>
          <w:rFonts w:hint="eastAsia" w:eastAsia="宋体"/>
          <w:sz w:val="24"/>
          <w:lang w:eastAsia="zh-CN"/>
        </w:rPr>
      </w:pPr>
      <w:r>
        <w:rPr>
          <w:rFonts w:hint="eastAsia"/>
          <w:sz w:val="24"/>
          <w:lang w:eastAsia="zh-CN"/>
        </w:rPr>
        <w:t>（</w:t>
      </w:r>
      <w:r>
        <w:rPr>
          <w:rFonts w:hint="eastAsia"/>
          <w:sz w:val="24"/>
          <w:lang w:val="en-US" w:eastAsia="zh-CN"/>
        </w:rPr>
        <w:t>4</w:t>
      </w:r>
      <w:r>
        <w:rPr>
          <w:rFonts w:hint="eastAsia"/>
          <w:sz w:val="24"/>
          <w:lang w:eastAsia="zh-CN"/>
        </w:rPr>
        <w:t>）</w:t>
      </w:r>
      <w:r>
        <w:rPr>
          <w:rFonts w:hint="eastAsia" w:eastAsia="宋体"/>
          <w:sz w:val="24"/>
          <w:lang w:eastAsia="zh-CN"/>
        </w:rPr>
        <w:t>固体废弃物排放标准一般固体废物执行《贵州省一般工业固体废物贮存、处置场污染控制标准》（DB52\865-2013）相关标准；病死畜禽及病变部位《病死及病害动物无害化处理技术规范》（农业部 2017年7月3日）进行无害化处理，废机油等危险废物执行《危险废物贮存污染控制标准》（GB18597-2001）及 2013 年修改单的相关规定。</w:t>
      </w:r>
    </w:p>
    <w:p>
      <w:pPr>
        <w:spacing w:before="80" w:after="3"/>
        <w:ind w:left="3203" w:right="0" w:firstLine="0"/>
        <w:jc w:val="both"/>
        <w:rPr>
          <w:b/>
          <w:sz w:val="21"/>
        </w:rPr>
      </w:pPr>
      <w:r>
        <w:rPr>
          <w:b/>
          <w:spacing w:val="-26"/>
          <w:sz w:val="21"/>
        </w:rPr>
        <w:t xml:space="preserve">表 </w:t>
      </w:r>
      <w:r>
        <w:rPr>
          <w:rFonts w:ascii="Times New Roman" w:eastAsia="Times New Roman"/>
          <w:b/>
          <w:sz w:val="21"/>
        </w:rPr>
        <w:t>2.</w:t>
      </w:r>
      <w:r>
        <w:rPr>
          <w:rFonts w:hint="eastAsia" w:eastAsia="宋体"/>
          <w:b/>
          <w:sz w:val="21"/>
          <w:lang w:val="en-US" w:eastAsia="zh-CN"/>
        </w:rPr>
        <w:t>2</w:t>
      </w:r>
      <w:r>
        <w:rPr>
          <w:rFonts w:ascii="Times New Roman" w:eastAsia="Times New Roman"/>
          <w:b/>
          <w:sz w:val="21"/>
        </w:rPr>
        <w:t xml:space="preserve">-5 </w:t>
      </w:r>
      <w:r>
        <w:rPr>
          <w:b/>
          <w:spacing w:val="-1"/>
          <w:sz w:val="21"/>
        </w:rPr>
        <w:t>污染物排放标准一览表</w:t>
      </w:r>
    </w:p>
    <w:tbl>
      <w:tblPr>
        <w:tblStyle w:val="88"/>
        <w:tblW w:w="0" w:type="auto"/>
        <w:tblInd w:w="141"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874"/>
        <w:gridCol w:w="1847"/>
        <w:gridCol w:w="1537"/>
        <w:gridCol w:w="714"/>
        <w:gridCol w:w="389"/>
        <w:gridCol w:w="1"/>
        <w:gridCol w:w="696"/>
        <w:gridCol w:w="1"/>
        <w:gridCol w:w="1359"/>
        <w:gridCol w:w="1"/>
        <w:gridCol w:w="899"/>
        <w:gridCol w:w="865"/>
        <w:gridCol w:w="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272" w:hRule="atLeast"/>
        </w:trPr>
        <w:tc>
          <w:tcPr>
            <w:tcW w:w="874" w:type="dxa"/>
            <w:vMerge w:val="restart"/>
            <w:tcBorders>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119"/>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污染物</w:t>
            </w:r>
          </w:p>
        </w:tc>
        <w:tc>
          <w:tcPr>
            <w:tcW w:w="1847"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613"/>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标准号</w:t>
            </w:r>
          </w:p>
        </w:tc>
        <w:tc>
          <w:tcPr>
            <w:tcW w:w="1537"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35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标准名称</w:t>
            </w:r>
          </w:p>
        </w:tc>
        <w:tc>
          <w:tcPr>
            <w:tcW w:w="1103" w:type="dxa"/>
            <w:gridSpan w:val="2"/>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142" w:beforeAutospacing="0" w:afterAutospacing="0" w:line="244" w:lineRule="auto"/>
              <w:ind w:left="451" w:right="111" w:hanging="3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级（类） 别</w:t>
            </w:r>
          </w:p>
        </w:tc>
        <w:tc>
          <w:tcPr>
            <w:tcW w:w="2057" w:type="dxa"/>
            <w:gridSpan w:val="4"/>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613"/>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污染因子</w:t>
            </w:r>
          </w:p>
        </w:tc>
        <w:tc>
          <w:tcPr>
            <w:tcW w:w="1765" w:type="dxa"/>
            <w:gridSpan w:val="3"/>
            <w:tcBorders>
              <w:left w:val="single" w:color="000000" w:sz="4" w:space="0"/>
              <w:bottom w:val="single" w:color="000000" w:sz="4" w:space="0"/>
            </w:tcBorders>
          </w:tcPr>
          <w:p>
            <w:pPr>
              <w:pStyle w:val="4069"/>
              <w:keepNext w:val="0"/>
              <w:keepLines w:val="0"/>
              <w:suppressLineNumbers w:val="0"/>
              <w:spacing w:beforeAutospacing="0" w:afterAutospacing="0" w:line="252" w:lineRule="exact"/>
              <w:ind w:left="46" w:right="1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544"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3"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 w:beforeAutospacing="0" w:afterAutospacing="0"/>
              <w:ind w:left="46" w:right="1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排放浓度、排放</w:t>
            </w:r>
          </w:p>
          <w:p>
            <w:pPr>
              <w:pStyle w:val="4069"/>
              <w:keepNext w:val="0"/>
              <w:keepLines w:val="0"/>
              <w:suppressLineNumbers w:val="0"/>
              <w:spacing w:before="2" w:beforeAutospacing="0" w:afterAutospacing="0" w:line="252" w:lineRule="exact"/>
              <w:ind w:left="46" w:right="1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速率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301" w:hRule="atLeast"/>
        </w:trPr>
        <w:tc>
          <w:tcPr>
            <w:tcW w:w="874" w:type="dxa"/>
            <w:vMerge w:val="restart"/>
            <w:tcBorders>
              <w:top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12" w:beforeAutospacing="0" w:afterAutospacing="0"/>
              <w:jc w:val="left"/>
              <w:rPr>
                <w:b/>
                <w:color w:val="000000" w:themeColor="text1"/>
                <w:kern w:val="2"/>
                <w:sz w:val="18"/>
                <w14:textFill>
                  <w14:solidFill>
                    <w14:schemeClr w14:val="tx1"/>
                  </w14:solidFill>
                </w14:textFill>
              </w:rPr>
            </w:pPr>
          </w:p>
          <w:p>
            <w:pPr>
              <w:pStyle w:val="4069"/>
              <w:keepNext w:val="0"/>
              <w:keepLines w:val="0"/>
              <w:suppressLineNumbers w:val="0"/>
              <w:spacing w:beforeAutospacing="0" w:afterAutospacing="0"/>
              <w:ind w:left="22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废气</w:t>
            </w:r>
          </w:p>
        </w:tc>
        <w:tc>
          <w:tcPr>
            <w:tcW w:w="184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2" w:beforeAutospacing="0" w:afterAutospacing="0"/>
              <w:jc w:val="left"/>
              <w:rPr>
                <w:b/>
                <w:color w:val="000000" w:themeColor="text1"/>
                <w:kern w:val="2"/>
                <w:sz w:val="27"/>
                <w14:textFill>
                  <w14:solidFill>
                    <w14:schemeClr w14:val="tx1"/>
                  </w14:solidFill>
                </w14:textFill>
              </w:rPr>
            </w:pPr>
          </w:p>
          <w:p>
            <w:pPr>
              <w:pStyle w:val="4069"/>
              <w:keepNext w:val="0"/>
              <w:keepLines w:val="0"/>
              <w:suppressLineNumbers w:val="0"/>
              <w:spacing w:beforeAutospacing="0" w:afterAutospacing="0"/>
              <w:ind w:left="277"/>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GB16297-1996</w:t>
            </w:r>
          </w:p>
        </w:tc>
        <w:tc>
          <w:tcPr>
            <w:tcW w:w="153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 w:beforeAutospacing="0" w:afterAutospacing="0"/>
              <w:jc w:val="left"/>
              <w:rPr>
                <w:b/>
                <w:color w:val="000000" w:themeColor="text1"/>
                <w:kern w:val="2"/>
                <w:sz w:val="16"/>
                <w14:textFill>
                  <w14:solidFill>
                    <w14:schemeClr w14:val="tx1"/>
                  </w14:solidFill>
                </w14:textFill>
              </w:rPr>
            </w:pPr>
          </w:p>
          <w:p>
            <w:pPr>
              <w:pStyle w:val="4069"/>
              <w:keepNext w:val="0"/>
              <w:keepLines w:val="0"/>
              <w:suppressLineNumbers w:val="0"/>
              <w:spacing w:beforeAutospacing="0" w:afterAutospacing="0" w:line="242" w:lineRule="auto"/>
              <w:ind w:left="250" w:right="115" w:hanging="104"/>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大气污染物综合排放标准</w:t>
            </w:r>
          </w:p>
        </w:tc>
        <w:tc>
          <w:tcPr>
            <w:tcW w:w="1103"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1" w:beforeAutospacing="0" w:afterAutospacing="0"/>
              <w:jc w:val="left"/>
              <w:rPr>
                <w:b/>
                <w:color w:val="000000" w:themeColor="text1"/>
                <w:kern w:val="2"/>
                <w:sz w:val="26"/>
                <w14:textFill>
                  <w14:solidFill>
                    <w14:schemeClr w14:val="tx1"/>
                  </w14:solidFill>
                </w14:textFill>
              </w:rPr>
            </w:pPr>
          </w:p>
          <w:p>
            <w:pPr>
              <w:pStyle w:val="4069"/>
              <w:keepNext w:val="0"/>
              <w:keepLines w:val="0"/>
              <w:suppressLineNumbers w:val="0"/>
              <w:spacing w:beforeAutospacing="0" w:afterAutospacing="0"/>
              <w:ind w:left="239"/>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无组织</w:t>
            </w: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0" w:beforeAutospacing="0" w:afterAutospacing="0" w:line="261" w:lineRule="exact"/>
              <w:ind w:left="700" w:right="67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颗粒物</w:t>
            </w: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32" w:beforeAutospacing="0" w:afterAutospacing="0"/>
              <w:ind w:left="46" w:right="22"/>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1.0mg/m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291"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3"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5" w:beforeAutospacing="0" w:afterAutospacing="0" w:line="246" w:lineRule="exact"/>
              <w:ind w:left="700" w:right="676"/>
              <w:jc w:val="left"/>
              <w:rPr>
                <w:rFonts w:ascii="Times New Roman"/>
                <w:color w:val="000000" w:themeColor="text1"/>
                <w:kern w:val="2"/>
                <w:sz w:val="14"/>
                <w14:textFill>
                  <w14:solidFill>
                    <w14:schemeClr w14:val="tx1"/>
                  </w14:solidFill>
                </w14:textFill>
              </w:rPr>
            </w:pPr>
            <w:r>
              <w:rPr>
                <w:rFonts w:ascii="Times New Roman"/>
                <w:color w:val="000000" w:themeColor="text1"/>
                <w:kern w:val="2"/>
                <w:position w:val="2"/>
                <w:sz w:val="21"/>
                <w14:textFill>
                  <w14:solidFill>
                    <w14:schemeClr w14:val="tx1"/>
                  </w14:solidFill>
                </w14:textFill>
              </w:rPr>
              <w:t>SO</w:t>
            </w:r>
            <w:r>
              <w:rPr>
                <w:rFonts w:ascii="Times New Roman"/>
                <w:color w:val="000000" w:themeColor="text1"/>
                <w:kern w:val="2"/>
                <w:sz w:val="14"/>
                <w14:textFill>
                  <w14:solidFill>
                    <w14:schemeClr w14:val="tx1"/>
                  </w14:solidFill>
                </w14:textFill>
              </w:rPr>
              <w:t>2</w:t>
            </w: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22" w:beforeAutospacing="0" w:afterAutospacing="0"/>
              <w:ind w:left="395"/>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0.40 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291"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3"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5" w:beforeAutospacing="0" w:afterAutospacing="0" w:line="246" w:lineRule="exact"/>
              <w:ind w:left="695" w:right="676"/>
              <w:jc w:val="left"/>
              <w:rPr>
                <w:rFonts w:ascii="Times New Roman"/>
                <w:color w:val="000000" w:themeColor="text1"/>
                <w:kern w:val="2"/>
                <w:sz w:val="14"/>
                <w14:textFill>
                  <w14:solidFill>
                    <w14:schemeClr w14:val="tx1"/>
                  </w14:solidFill>
                </w14:textFill>
              </w:rPr>
            </w:pPr>
            <w:r>
              <w:rPr>
                <w:rFonts w:ascii="Times New Roman"/>
                <w:color w:val="000000" w:themeColor="text1"/>
                <w:kern w:val="2"/>
                <w:position w:val="2"/>
                <w:sz w:val="21"/>
                <w14:textFill>
                  <w14:solidFill>
                    <w14:schemeClr w14:val="tx1"/>
                  </w14:solidFill>
                </w14:textFill>
              </w:rPr>
              <w:t>NO</w:t>
            </w:r>
            <w:r>
              <w:rPr>
                <w:rFonts w:ascii="Times New Roman"/>
                <w:color w:val="000000" w:themeColor="text1"/>
                <w:kern w:val="2"/>
                <w:sz w:val="14"/>
                <w14:textFill>
                  <w14:solidFill>
                    <w14:schemeClr w14:val="tx1"/>
                  </w14:solidFill>
                </w14:textFill>
              </w:rPr>
              <w:t>2</w:t>
            </w: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22" w:beforeAutospacing="0" w:afterAutospacing="0"/>
              <w:ind w:left="395"/>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0.12 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315"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7" w:beforeAutospacing="0" w:afterAutospacing="0"/>
              <w:jc w:val="left"/>
              <w:rPr>
                <w:b/>
                <w:color w:val="000000" w:themeColor="text1"/>
                <w:kern w:val="2"/>
                <w:sz w:val="19"/>
                <w14:textFill>
                  <w14:solidFill>
                    <w14:schemeClr w14:val="tx1"/>
                  </w14:solidFill>
                </w14:textFill>
              </w:rPr>
            </w:pPr>
          </w:p>
          <w:p>
            <w:pPr>
              <w:pStyle w:val="4069"/>
              <w:keepNext w:val="0"/>
              <w:keepLines w:val="0"/>
              <w:suppressLineNumbers w:val="0"/>
              <w:spacing w:beforeAutospacing="0" w:afterAutospacing="0"/>
              <w:ind w:left="380"/>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GB14554-93</w:t>
            </w:r>
          </w:p>
        </w:tc>
        <w:tc>
          <w:tcPr>
            <w:tcW w:w="1537" w:type="dxa"/>
            <w:vMerge w:val="restart"/>
            <w:tcBorders>
              <w:top w:val="single" w:color="000000" w:sz="4" w:space="0"/>
              <w:left w:val="single" w:color="000000" w:sz="4" w:space="0"/>
              <w:right w:val="single" w:color="000000" w:sz="4" w:space="0"/>
            </w:tcBorders>
          </w:tcPr>
          <w:p>
            <w:pPr>
              <w:pStyle w:val="4069"/>
              <w:keepNext w:val="0"/>
              <w:keepLines w:val="0"/>
              <w:suppressLineNumbers w:val="0"/>
              <w:spacing w:before="10" w:beforeAutospacing="0" w:afterAutospacing="0"/>
              <w:jc w:val="left"/>
              <w:rPr>
                <w:b/>
                <w:color w:val="000000" w:themeColor="text1"/>
                <w:kern w:val="2"/>
                <w:sz w:val="29"/>
                <w14:textFill>
                  <w14:solidFill>
                    <w14:schemeClr w14:val="tx1"/>
                  </w14:solidFill>
                </w14:textFill>
              </w:rPr>
            </w:pPr>
          </w:p>
          <w:p>
            <w:pPr>
              <w:pStyle w:val="4069"/>
              <w:keepNext w:val="0"/>
              <w:keepLines w:val="0"/>
              <w:suppressLineNumbers w:val="0"/>
              <w:spacing w:beforeAutospacing="0" w:afterAutospacing="0" w:line="244" w:lineRule="auto"/>
              <w:ind w:left="461" w:right="115" w:hanging="3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恶臭污染物排放标准</w:t>
            </w:r>
          </w:p>
        </w:tc>
        <w:tc>
          <w:tcPr>
            <w:tcW w:w="1103" w:type="dxa"/>
            <w:gridSpan w:val="2"/>
            <w:vMerge w:val="restart"/>
            <w:tcBorders>
              <w:top w:val="single" w:color="000000" w:sz="4" w:space="0"/>
              <w:left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6"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ind w:left="34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二级</w:t>
            </w:r>
          </w:p>
        </w:tc>
        <w:tc>
          <w:tcPr>
            <w:tcW w:w="697"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41" w:beforeAutospacing="0" w:afterAutospacing="0" w:line="244" w:lineRule="auto"/>
              <w:ind w:left="142" w:right="119"/>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臭气浓度</w:t>
            </w: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136" w:right="11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22" w:beforeAutospacing="0" w:afterAutospacing="0"/>
              <w:ind w:left="46" w:right="17"/>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2000</w:t>
            </w:r>
            <w:r>
              <w:rPr>
                <w:color w:val="000000" w:themeColor="text1"/>
                <w:kern w:val="2"/>
                <w:sz w:val="21"/>
                <w14:textFill>
                  <w14:solidFill>
                    <w14:schemeClr w14:val="tx1"/>
                  </w14:solidFill>
                </w14:textFill>
              </w:rPr>
              <w:t>（无量纲）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279"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3" w:type="dxa"/>
            <w:gridSpan w:val="2"/>
            <w:vMerge w:val="continue"/>
            <w:tcBorders>
              <w:top w:val="nil"/>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 w:beforeAutospacing="0" w:afterAutospacing="0" w:line="254" w:lineRule="exact"/>
              <w:ind w:left="136" w:right="1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无组织排放</w:t>
            </w: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5" w:beforeAutospacing="0" w:afterAutospacing="0" w:line="254" w:lineRule="exact"/>
              <w:ind w:left="46" w:right="17"/>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20</w:t>
            </w:r>
            <w:r>
              <w:rPr>
                <w:color w:val="000000" w:themeColor="text1"/>
                <w:kern w:val="2"/>
                <w:sz w:val="21"/>
                <w14:textFill>
                  <w14:solidFill>
                    <w14:schemeClr w14:val="tx1"/>
                  </w14:solidFill>
                </w14:textFill>
              </w:rPr>
              <w:t>（无量纲）</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317"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3" w:type="dxa"/>
            <w:gridSpan w:val="2"/>
            <w:vMerge w:val="continue"/>
            <w:tcBorders>
              <w:top w:val="nil"/>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restart"/>
            <w:tcBorders>
              <w:top w:val="single" w:color="000000" w:sz="4" w:space="0"/>
              <w:left w:val="single" w:color="000000" w:sz="4" w:space="0"/>
              <w:right w:val="single" w:color="000000" w:sz="4" w:space="0"/>
            </w:tcBorders>
          </w:tcPr>
          <w:p>
            <w:pPr>
              <w:pStyle w:val="4069"/>
              <w:keepNext w:val="0"/>
              <w:keepLines w:val="0"/>
              <w:suppressLineNumbers w:val="0"/>
              <w:spacing w:before="10" w:beforeAutospacing="0" w:afterAutospacing="0"/>
              <w:jc w:val="left"/>
              <w:rPr>
                <w:b/>
                <w:color w:val="000000" w:themeColor="text1"/>
                <w:kern w:val="2"/>
                <w:sz w:val="14"/>
                <w14:textFill>
                  <w14:solidFill>
                    <w14:schemeClr w14:val="tx1"/>
                  </w14:solidFill>
                </w14:textFill>
              </w:rPr>
            </w:pPr>
          </w:p>
          <w:p>
            <w:pPr>
              <w:pStyle w:val="4069"/>
              <w:keepNext w:val="0"/>
              <w:keepLines w:val="0"/>
              <w:suppressLineNumbers w:val="0"/>
              <w:spacing w:beforeAutospacing="0" w:afterAutospacing="0"/>
              <w:ind w:left="248"/>
              <w:jc w:val="left"/>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氨</w:t>
            </w: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4" w:beforeAutospacing="0" w:afterAutospacing="0"/>
              <w:ind w:left="136" w:right="11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5"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38" w:beforeAutospacing="0" w:afterAutospacing="0"/>
              <w:ind w:left="46" w:right="17"/>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4.9kg/h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269"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auto"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auto"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3" w:type="dxa"/>
            <w:gridSpan w:val="2"/>
            <w:vMerge w:val="continue"/>
            <w:tcBorders>
              <w:top w:val="nil"/>
              <w:left w:val="single" w:color="000000" w:sz="4" w:space="0"/>
              <w:bottom w:val="single" w:color="auto"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auto"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tcBorders>
              <w:top w:val="single" w:color="000000" w:sz="4" w:space="0"/>
              <w:left w:val="single" w:color="000000" w:sz="4" w:space="0"/>
              <w:bottom w:val="single" w:color="auto" w:sz="4" w:space="0"/>
              <w:right w:val="single" w:color="000000" w:sz="4" w:space="0"/>
            </w:tcBorders>
          </w:tcPr>
          <w:p>
            <w:pPr>
              <w:pStyle w:val="4069"/>
              <w:keepNext w:val="0"/>
              <w:keepLines w:val="0"/>
              <w:suppressLineNumbers w:val="0"/>
              <w:spacing w:before="15" w:beforeAutospacing="0" w:afterAutospacing="0"/>
              <w:ind w:left="136" w:right="1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无组织排放</w:t>
            </w:r>
          </w:p>
        </w:tc>
        <w:tc>
          <w:tcPr>
            <w:tcW w:w="1765" w:type="dxa"/>
            <w:gridSpan w:val="3"/>
            <w:tcBorders>
              <w:top w:val="single" w:color="000000" w:sz="4" w:space="0"/>
              <w:left w:val="single" w:color="000000" w:sz="4" w:space="0"/>
              <w:bottom w:val="single" w:color="auto" w:sz="4" w:space="0"/>
            </w:tcBorders>
          </w:tcPr>
          <w:p>
            <w:pPr>
              <w:pStyle w:val="4069"/>
              <w:keepNext w:val="0"/>
              <w:keepLines w:val="0"/>
              <w:suppressLineNumbers w:val="0"/>
              <w:spacing w:before="27" w:beforeAutospacing="0" w:afterAutospacing="0"/>
              <w:ind w:left="46" w:right="22"/>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1.5mg/m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149" w:hRule="atLeast"/>
        </w:trPr>
        <w:tc>
          <w:tcPr>
            <w:tcW w:w="874" w:type="dxa"/>
            <w:vMerge w:val="continue"/>
            <w:tcBorders>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restart"/>
            <w:tcBorders>
              <w:top w:val="single" w:color="auto" w:sz="4" w:space="0"/>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r>
              <w:rPr>
                <w:rFonts w:hint="eastAsia"/>
                <w:color w:val="000000" w:themeColor="text1"/>
                <w:kern w:val="2"/>
                <w:lang w:eastAsia="zh-CN"/>
                <w14:textFill>
                  <w14:solidFill>
                    <w14:schemeClr w14:val="tx1"/>
                  </w14:solidFill>
                </w14:textFill>
              </w:rPr>
              <w:t>GB13271-2014</w:t>
            </w:r>
          </w:p>
        </w:tc>
        <w:tc>
          <w:tcPr>
            <w:tcW w:w="1537" w:type="dxa"/>
            <w:vMerge w:val="restart"/>
            <w:tcBorders>
              <w:top w:val="single" w:color="auto" w:sz="4" w:space="0"/>
              <w:left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r>
              <w:rPr>
                <w:rFonts w:hint="eastAsia"/>
                <w:color w:val="000000" w:themeColor="text1"/>
                <w:kern w:val="2"/>
                <w:lang w:eastAsia="zh-CN"/>
                <w14:textFill>
                  <w14:solidFill>
                    <w14:schemeClr w14:val="tx1"/>
                  </w14:solidFill>
                </w14:textFill>
              </w:rPr>
              <w:t>GB13271-2014</w:t>
            </w:r>
          </w:p>
        </w:tc>
        <w:tc>
          <w:tcPr>
            <w:tcW w:w="1103" w:type="dxa"/>
            <w:gridSpan w:val="2"/>
            <w:vMerge w:val="restart"/>
            <w:tcBorders>
              <w:top w:val="single" w:color="auto" w:sz="4" w:space="0"/>
              <w:left w:val="single" w:color="000000" w:sz="4" w:space="0"/>
              <w:right w:val="single" w:color="000000" w:sz="4" w:space="0"/>
            </w:tcBorders>
          </w:tcPr>
          <w:p>
            <w:pPr>
              <w:keepNext w:val="0"/>
              <w:keepLines w:val="0"/>
              <w:suppressLineNumbers w:val="0"/>
              <w:spacing w:beforeAutospacing="0" w:afterAutospacing="0"/>
              <w:jc w:val="left"/>
              <w:rPr>
                <w:rFonts w:ascii="Times New Roman"/>
                <w:color w:val="000000" w:themeColor="text1"/>
                <w:kern w:val="2"/>
                <w:position w:val="2"/>
                <w:sz w:val="21"/>
                <w14:textFill>
                  <w14:solidFill>
                    <w14:schemeClr w14:val="tx1"/>
                  </w14:solidFill>
                </w14:textFill>
              </w:rPr>
            </w:pPr>
          </w:p>
        </w:tc>
        <w:tc>
          <w:tcPr>
            <w:tcW w:w="697" w:type="dxa"/>
            <w:gridSpan w:val="2"/>
            <w:tcBorders>
              <w:top w:val="single" w:color="auto" w:sz="4" w:space="0"/>
              <w:left w:val="single" w:color="000000" w:sz="4" w:space="0"/>
              <w:bottom w:val="single" w:color="auto" w:sz="4" w:space="0"/>
              <w:right w:val="single" w:color="000000" w:sz="4" w:space="0"/>
            </w:tcBorders>
          </w:tcPr>
          <w:p>
            <w:pPr>
              <w:keepNext w:val="0"/>
              <w:keepLines w:val="0"/>
              <w:suppressLineNumbers w:val="0"/>
              <w:spacing w:beforeAutospacing="0" w:afterAutospacing="0"/>
              <w:jc w:val="left"/>
              <w:rPr>
                <w:rFonts w:ascii="Times New Roman"/>
                <w:color w:val="000000" w:themeColor="text1"/>
                <w:kern w:val="2"/>
                <w:position w:val="2"/>
                <w:sz w:val="21"/>
                <w14:textFill>
                  <w14:solidFill>
                    <w14:schemeClr w14:val="tx1"/>
                  </w14:solidFill>
                </w14:textFill>
              </w:rPr>
            </w:pPr>
            <w:r>
              <w:rPr>
                <w:rFonts w:ascii="Times New Roman"/>
                <w:color w:val="000000" w:themeColor="text1"/>
                <w:kern w:val="2"/>
                <w:position w:val="2"/>
                <w:sz w:val="21"/>
                <w14:textFill>
                  <w14:solidFill>
                    <w14:schemeClr w14:val="tx1"/>
                  </w14:solidFill>
                </w14:textFill>
              </w:rPr>
              <w:t>SO</w:t>
            </w:r>
            <w:r>
              <w:rPr>
                <w:rFonts w:ascii="Times New Roman"/>
                <w:color w:val="000000" w:themeColor="text1"/>
                <w:kern w:val="2"/>
                <w:position w:val="2"/>
                <w:sz w:val="21"/>
                <w:vertAlign w:val="subscript"/>
                <w14:textFill>
                  <w14:solidFill>
                    <w14:schemeClr w14:val="tx1"/>
                  </w14:solidFill>
                </w14:textFill>
              </w:rPr>
              <w:t>2</w:t>
            </w:r>
          </w:p>
        </w:tc>
        <w:tc>
          <w:tcPr>
            <w:tcW w:w="1360" w:type="dxa"/>
            <w:gridSpan w:val="2"/>
            <w:tcBorders>
              <w:top w:val="single" w:color="auto" w:sz="4" w:space="0"/>
              <w:left w:val="single" w:color="000000" w:sz="4" w:space="0"/>
              <w:bottom w:val="single" w:color="auto" w:sz="4" w:space="0"/>
              <w:right w:val="single" w:color="000000" w:sz="4" w:space="0"/>
            </w:tcBorders>
          </w:tcPr>
          <w:p>
            <w:pPr>
              <w:pStyle w:val="4069"/>
              <w:keepNext w:val="0"/>
              <w:keepLines w:val="0"/>
              <w:suppressLineNumbers w:val="0"/>
              <w:spacing w:before="15" w:beforeAutospacing="0" w:afterAutospacing="0"/>
              <w:ind w:left="136" w:right="11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5" w:type="dxa"/>
            <w:gridSpan w:val="3"/>
            <w:tcBorders>
              <w:top w:val="single" w:color="auto" w:sz="4" w:space="0"/>
              <w:left w:val="single" w:color="000000" w:sz="4" w:space="0"/>
              <w:bottom w:val="single" w:color="auto" w:sz="4" w:space="0"/>
            </w:tcBorders>
          </w:tcPr>
          <w:p>
            <w:pPr>
              <w:pStyle w:val="4069"/>
              <w:keepNext w:val="0"/>
              <w:keepLines w:val="0"/>
              <w:suppressLineNumbers w:val="0"/>
              <w:spacing w:before="27" w:beforeAutospacing="0" w:afterAutospacing="0"/>
              <w:ind w:left="46" w:right="22"/>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123" w:hRule="atLeast"/>
        </w:trPr>
        <w:tc>
          <w:tcPr>
            <w:tcW w:w="874" w:type="dxa"/>
            <w:vMerge w:val="continue"/>
            <w:tcBorders>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left w:val="single" w:color="000000" w:sz="4" w:space="0"/>
              <w:right w:val="single" w:color="000000" w:sz="4" w:space="0"/>
            </w:tcBorders>
          </w:tcPr>
          <w:p>
            <w:pPr>
              <w:keepNext w:val="0"/>
              <w:keepLines w:val="0"/>
              <w:suppressLineNumbers w:val="0"/>
              <w:spacing w:beforeAutospacing="0" w:afterAutospacing="0"/>
              <w:jc w:val="left"/>
              <w:rPr>
                <w:rFonts w:hint="eastAsia"/>
                <w:color w:val="000000" w:themeColor="text1"/>
                <w:kern w:val="2"/>
                <w:lang w:eastAsia="zh-CN"/>
                <w14:textFill>
                  <w14:solidFill>
                    <w14:schemeClr w14:val="tx1"/>
                  </w14:solidFill>
                </w14:textFill>
              </w:rPr>
            </w:pPr>
          </w:p>
        </w:tc>
        <w:tc>
          <w:tcPr>
            <w:tcW w:w="1537" w:type="dxa"/>
            <w:vMerge w:val="continue"/>
            <w:tcBorders>
              <w:left w:val="single" w:color="000000" w:sz="4" w:space="0"/>
              <w:right w:val="single" w:color="000000" w:sz="4" w:space="0"/>
            </w:tcBorders>
          </w:tcPr>
          <w:p>
            <w:pPr>
              <w:keepNext w:val="0"/>
              <w:keepLines w:val="0"/>
              <w:suppressLineNumbers w:val="0"/>
              <w:spacing w:beforeAutospacing="0" w:afterAutospacing="0"/>
              <w:jc w:val="left"/>
              <w:rPr>
                <w:rFonts w:hint="eastAsia"/>
                <w:color w:val="000000" w:themeColor="text1"/>
                <w:kern w:val="2"/>
                <w:lang w:eastAsia="zh-CN"/>
                <w14:textFill>
                  <w14:solidFill>
                    <w14:schemeClr w14:val="tx1"/>
                  </w14:solidFill>
                </w14:textFill>
              </w:rPr>
            </w:pPr>
          </w:p>
        </w:tc>
        <w:tc>
          <w:tcPr>
            <w:tcW w:w="1103" w:type="dxa"/>
            <w:gridSpan w:val="2"/>
            <w:vMerge w:val="continue"/>
            <w:tcBorders>
              <w:left w:val="single" w:color="000000" w:sz="4" w:space="0"/>
              <w:right w:val="single" w:color="000000" w:sz="4" w:space="0"/>
            </w:tcBorders>
          </w:tcPr>
          <w:p>
            <w:pPr>
              <w:keepNext w:val="0"/>
              <w:keepLines w:val="0"/>
              <w:suppressLineNumbers w:val="0"/>
              <w:spacing w:beforeAutospacing="0" w:afterAutospacing="0"/>
              <w:jc w:val="left"/>
              <w:rPr>
                <w:rFonts w:ascii="Times New Roman"/>
                <w:color w:val="000000" w:themeColor="text1"/>
                <w:kern w:val="2"/>
                <w:position w:val="2"/>
                <w:sz w:val="21"/>
                <w14:textFill>
                  <w14:solidFill>
                    <w14:schemeClr w14:val="tx1"/>
                  </w14:solidFill>
                </w14:textFill>
              </w:rPr>
            </w:pPr>
          </w:p>
        </w:tc>
        <w:tc>
          <w:tcPr>
            <w:tcW w:w="697" w:type="dxa"/>
            <w:gridSpan w:val="2"/>
            <w:tcBorders>
              <w:top w:val="single" w:color="auto" w:sz="4" w:space="0"/>
              <w:left w:val="single" w:color="000000" w:sz="4" w:space="0"/>
              <w:bottom w:val="single" w:color="auto" w:sz="4" w:space="0"/>
              <w:right w:val="single" w:color="000000" w:sz="4" w:space="0"/>
            </w:tcBorders>
          </w:tcPr>
          <w:p>
            <w:pPr>
              <w:keepNext w:val="0"/>
              <w:keepLines w:val="0"/>
              <w:suppressLineNumbers w:val="0"/>
              <w:spacing w:beforeAutospacing="0" w:afterAutospacing="0"/>
              <w:jc w:val="left"/>
              <w:rPr>
                <w:rFonts w:ascii="Times New Roman"/>
                <w:color w:val="000000" w:themeColor="text1"/>
                <w:kern w:val="2"/>
                <w:position w:val="2"/>
                <w:sz w:val="21"/>
                <w14:textFill>
                  <w14:solidFill>
                    <w14:schemeClr w14:val="tx1"/>
                  </w14:solidFill>
                </w14:textFill>
              </w:rPr>
            </w:pPr>
            <w:r>
              <w:rPr>
                <w:rFonts w:ascii="Times New Roman"/>
                <w:color w:val="000000" w:themeColor="text1"/>
                <w:kern w:val="2"/>
                <w:position w:val="2"/>
                <w:sz w:val="21"/>
                <w14:textFill>
                  <w14:solidFill>
                    <w14:schemeClr w14:val="tx1"/>
                  </w14:solidFill>
                </w14:textFill>
              </w:rPr>
              <w:t>NO</w:t>
            </w:r>
            <w:r>
              <w:rPr>
                <w:rFonts w:ascii="Times New Roman"/>
                <w:color w:val="000000" w:themeColor="text1"/>
                <w:kern w:val="2"/>
                <w:position w:val="2"/>
                <w:sz w:val="21"/>
                <w:vertAlign w:val="subscript"/>
                <w14:textFill>
                  <w14:solidFill>
                    <w14:schemeClr w14:val="tx1"/>
                  </w14:solidFill>
                </w14:textFill>
              </w:rPr>
              <w:t>2</w:t>
            </w:r>
          </w:p>
        </w:tc>
        <w:tc>
          <w:tcPr>
            <w:tcW w:w="1360" w:type="dxa"/>
            <w:gridSpan w:val="2"/>
            <w:tcBorders>
              <w:top w:val="single" w:color="auto" w:sz="4" w:space="0"/>
              <w:left w:val="single" w:color="000000" w:sz="4" w:space="0"/>
              <w:bottom w:val="single" w:color="auto" w:sz="4" w:space="0"/>
              <w:right w:val="single" w:color="000000" w:sz="4" w:space="0"/>
            </w:tcBorders>
          </w:tcPr>
          <w:p>
            <w:pPr>
              <w:pStyle w:val="4069"/>
              <w:keepNext w:val="0"/>
              <w:keepLines w:val="0"/>
              <w:suppressLineNumbers w:val="0"/>
              <w:spacing w:before="15" w:beforeAutospacing="0" w:afterAutospacing="0"/>
              <w:ind w:left="136" w:right="11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5" w:type="dxa"/>
            <w:gridSpan w:val="3"/>
            <w:tcBorders>
              <w:top w:val="single" w:color="auto" w:sz="4" w:space="0"/>
              <w:left w:val="single" w:color="000000" w:sz="4" w:space="0"/>
              <w:bottom w:val="single" w:color="auto" w:sz="4" w:space="0"/>
            </w:tcBorders>
          </w:tcPr>
          <w:p>
            <w:pPr>
              <w:pStyle w:val="4069"/>
              <w:keepNext w:val="0"/>
              <w:keepLines w:val="0"/>
              <w:suppressLineNumbers w:val="0"/>
              <w:spacing w:before="27" w:beforeAutospacing="0" w:afterAutospacing="0"/>
              <w:ind w:left="46" w:right="22"/>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200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3" w:type="dxa"/>
          <w:trHeight w:val="194" w:hRule="atLeast"/>
        </w:trPr>
        <w:tc>
          <w:tcPr>
            <w:tcW w:w="874" w:type="dxa"/>
            <w:vMerge w:val="continue"/>
            <w:tcBorders>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left w:val="single" w:color="000000" w:sz="4" w:space="0"/>
              <w:right w:val="single" w:color="000000" w:sz="4" w:space="0"/>
            </w:tcBorders>
          </w:tcPr>
          <w:p>
            <w:pPr>
              <w:keepNext w:val="0"/>
              <w:keepLines w:val="0"/>
              <w:suppressLineNumbers w:val="0"/>
              <w:spacing w:beforeAutospacing="0" w:afterAutospacing="0"/>
              <w:jc w:val="left"/>
              <w:rPr>
                <w:rFonts w:hint="eastAsia"/>
                <w:color w:val="000000" w:themeColor="text1"/>
                <w:kern w:val="2"/>
                <w:lang w:eastAsia="zh-CN"/>
                <w14:textFill>
                  <w14:solidFill>
                    <w14:schemeClr w14:val="tx1"/>
                  </w14:solidFill>
                </w14:textFill>
              </w:rPr>
            </w:pPr>
          </w:p>
        </w:tc>
        <w:tc>
          <w:tcPr>
            <w:tcW w:w="1537" w:type="dxa"/>
            <w:vMerge w:val="continue"/>
            <w:tcBorders>
              <w:left w:val="single" w:color="000000" w:sz="4" w:space="0"/>
              <w:right w:val="single" w:color="000000" w:sz="4" w:space="0"/>
            </w:tcBorders>
          </w:tcPr>
          <w:p>
            <w:pPr>
              <w:keepNext w:val="0"/>
              <w:keepLines w:val="0"/>
              <w:suppressLineNumbers w:val="0"/>
              <w:spacing w:beforeAutospacing="0" w:afterAutospacing="0"/>
              <w:jc w:val="left"/>
              <w:rPr>
                <w:rFonts w:hint="eastAsia"/>
                <w:color w:val="000000" w:themeColor="text1"/>
                <w:kern w:val="2"/>
                <w:lang w:eastAsia="zh-CN"/>
                <w14:textFill>
                  <w14:solidFill>
                    <w14:schemeClr w14:val="tx1"/>
                  </w14:solidFill>
                </w14:textFill>
              </w:rPr>
            </w:pPr>
          </w:p>
        </w:tc>
        <w:tc>
          <w:tcPr>
            <w:tcW w:w="1103" w:type="dxa"/>
            <w:gridSpan w:val="2"/>
            <w:vMerge w:val="continue"/>
            <w:tcBorders>
              <w:left w:val="single" w:color="000000" w:sz="4" w:space="0"/>
              <w:right w:val="single" w:color="000000" w:sz="4" w:space="0"/>
            </w:tcBorders>
          </w:tcPr>
          <w:p>
            <w:pPr>
              <w:keepNext w:val="0"/>
              <w:keepLines w:val="0"/>
              <w:suppressLineNumbers w:val="0"/>
              <w:spacing w:beforeAutospacing="0" w:afterAutospacing="0"/>
              <w:jc w:val="left"/>
              <w:rPr>
                <w:rFonts w:ascii="Times New Roman"/>
                <w:color w:val="000000" w:themeColor="text1"/>
                <w:kern w:val="2"/>
                <w:position w:val="2"/>
                <w:sz w:val="21"/>
                <w14:textFill>
                  <w14:solidFill>
                    <w14:schemeClr w14:val="tx1"/>
                  </w14:solidFill>
                </w14:textFill>
              </w:rPr>
            </w:pPr>
          </w:p>
        </w:tc>
        <w:tc>
          <w:tcPr>
            <w:tcW w:w="697" w:type="dxa"/>
            <w:gridSpan w:val="2"/>
            <w:tcBorders>
              <w:top w:val="single" w:color="auto" w:sz="4" w:space="0"/>
              <w:left w:val="single" w:color="000000" w:sz="4" w:space="0"/>
              <w:right w:val="single" w:color="000000" w:sz="4" w:space="0"/>
            </w:tcBorders>
          </w:tcPr>
          <w:p>
            <w:pPr>
              <w:keepNext w:val="0"/>
              <w:keepLines w:val="0"/>
              <w:suppressLineNumbers w:val="0"/>
              <w:spacing w:beforeAutospacing="0" w:afterAutospacing="0"/>
              <w:jc w:val="left"/>
              <w:rPr>
                <w:rFonts w:hint="eastAsia" w:ascii="Times New Roman"/>
                <w:color w:val="000000" w:themeColor="text1"/>
                <w:kern w:val="2"/>
                <w:position w:val="2"/>
                <w:sz w:val="21"/>
                <w:lang w:eastAsia="zh-CN"/>
                <w14:textFill>
                  <w14:solidFill>
                    <w14:schemeClr w14:val="tx1"/>
                  </w14:solidFill>
                </w14:textFill>
              </w:rPr>
            </w:pPr>
            <w:r>
              <w:rPr>
                <w:rFonts w:hint="eastAsia" w:ascii="Times New Roman"/>
                <w:color w:val="000000" w:themeColor="text1"/>
                <w:kern w:val="2"/>
                <w:position w:val="2"/>
                <w:sz w:val="21"/>
                <w:lang w:eastAsia="zh-CN"/>
                <w14:textFill>
                  <w14:solidFill>
                    <w14:schemeClr w14:val="tx1"/>
                  </w14:solidFill>
                </w14:textFill>
              </w:rPr>
              <w:t>烟尘</w:t>
            </w:r>
          </w:p>
        </w:tc>
        <w:tc>
          <w:tcPr>
            <w:tcW w:w="1360" w:type="dxa"/>
            <w:gridSpan w:val="2"/>
            <w:tcBorders>
              <w:top w:val="single" w:color="auto" w:sz="4" w:space="0"/>
              <w:left w:val="single" w:color="000000" w:sz="4" w:space="0"/>
              <w:right w:val="single" w:color="000000" w:sz="4" w:space="0"/>
            </w:tcBorders>
          </w:tcPr>
          <w:p>
            <w:pPr>
              <w:pStyle w:val="4069"/>
              <w:keepNext w:val="0"/>
              <w:keepLines w:val="0"/>
              <w:suppressLineNumbers w:val="0"/>
              <w:spacing w:before="15" w:beforeAutospacing="0" w:afterAutospacing="0"/>
              <w:ind w:left="136" w:right="11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5" w:type="dxa"/>
            <w:gridSpan w:val="3"/>
            <w:tcBorders>
              <w:top w:val="single" w:color="auto" w:sz="4" w:space="0"/>
              <w:left w:val="single" w:color="000000" w:sz="4" w:space="0"/>
            </w:tcBorders>
          </w:tcPr>
          <w:p>
            <w:pPr>
              <w:pStyle w:val="4069"/>
              <w:keepNext w:val="0"/>
              <w:keepLines w:val="0"/>
              <w:suppressLineNumbers w:val="0"/>
              <w:spacing w:before="27" w:beforeAutospacing="0" w:afterAutospacing="0"/>
              <w:ind w:left="46" w:right="22"/>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20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874" w:type="dxa"/>
            <w:vMerge w:val="restart"/>
            <w:tcBorders>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119"/>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污染物</w:t>
            </w:r>
          </w:p>
        </w:tc>
        <w:tc>
          <w:tcPr>
            <w:tcW w:w="1847"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613"/>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标准号</w:t>
            </w:r>
          </w:p>
        </w:tc>
        <w:tc>
          <w:tcPr>
            <w:tcW w:w="1537"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35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标准名称</w:t>
            </w:r>
          </w:p>
        </w:tc>
        <w:tc>
          <w:tcPr>
            <w:tcW w:w="1104" w:type="dxa"/>
            <w:gridSpan w:val="3"/>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144" w:beforeAutospacing="0" w:afterAutospacing="0" w:line="242" w:lineRule="auto"/>
              <w:ind w:left="451" w:right="112" w:hanging="3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级（类） 别</w:t>
            </w:r>
          </w:p>
        </w:tc>
        <w:tc>
          <w:tcPr>
            <w:tcW w:w="2057" w:type="dxa"/>
            <w:gridSpan w:val="4"/>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9"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1" w:beforeAutospacing="0" w:afterAutospacing="0"/>
              <w:ind w:left="612"/>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污染因子</w:t>
            </w:r>
          </w:p>
        </w:tc>
        <w:tc>
          <w:tcPr>
            <w:tcW w:w="1767" w:type="dxa"/>
            <w:gridSpan w:val="3"/>
            <w:tcBorders>
              <w:left w:val="single" w:color="000000" w:sz="4" w:space="0"/>
              <w:bottom w:val="single" w:color="000000" w:sz="4" w:space="0"/>
            </w:tcBorders>
          </w:tcPr>
          <w:p>
            <w:pPr>
              <w:pStyle w:val="4069"/>
              <w:keepNext w:val="0"/>
              <w:keepLines w:val="0"/>
              <w:suppressLineNumbers w:val="0"/>
              <w:spacing w:before="3" w:beforeAutospacing="0" w:afterAutospacing="0" w:line="250" w:lineRule="exact"/>
              <w:ind w:left="569"/>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 w:beforeAutospacing="0" w:afterAutospacing="0"/>
              <w:ind w:left="131" w:right="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排放浓度、排放</w:t>
            </w:r>
          </w:p>
          <w:p>
            <w:pPr>
              <w:pStyle w:val="4069"/>
              <w:keepNext w:val="0"/>
              <w:keepLines w:val="0"/>
              <w:suppressLineNumbers w:val="0"/>
              <w:spacing w:before="4" w:beforeAutospacing="0" w:afterAutospacing="0" w:line="250" w:lineRule="exact"/>
              <w:ind w:left="131" w:right="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速率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7" w:beforeAutospacing="0" w:afterAutospacing="0" w:line="244" w:lineRule="auto"/>
              <w:ind w:left="247" w:right="120" w:hanging="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硫化氢</w:t>
            </w: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2" w:beforeAutospacing="0" w:afterAutospacing="0"/>
              <w:ind w:left="135" w:right="116"/>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48" w:beforeAutospacing="0" w:afterAutospacing="0"/>
              <w:ind w:left="514"/>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0.33kg/h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2" w:lineRule="exact"/>
              <w:ind w:left="135" w:right="11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无组织排放</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0" w:beforeAutospacing="0" w:afterAutospacing="0" w:line="243" w:lineRule="exact"/>
              <w:ind w:left="420"/>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0.06mg/m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5" w:beforeAutospacing="0" w:afterAutospacing="0"/>
              <w:jc w:val="left"/>
              <w:rPr>
                <w:b/>
                <w:color w:val="000000" w:themeColor="text1"/>
                <w:kern w:val="2"/>
                <w:sz w:val="18"/>
                <w14:textFill>
                  <w14:solidFill>
                    <w14:schemeClr w14:val="tx1"/>
                  </w14:solidFill>
                </w14:textFill>
              </w:rPr>
            </w:pPr>
          </w:p>
          <w:p>
            <w:pPr>
              <w:pStyle w:val="4069"/>
              <w:keepNext w:val="0"/>
              <w:keepLines w:val="0"/>
              <w:suppressLineNumbers w:val="0"/>
              <w:spacing w:beforeAutospacing="0" w:afterAutospacing="0"/>
              <w:ind w:left="246"/>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DB52/864-2013</w:t>
            </w:r>
          </w:p>
        </w:tc>
        <w:tc>
          <w:tcPr>
            <w:tcW w:w="153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136" w:beforeAutospacing="0" w:afterAutospacing="0" w:line="244" w:lineRule="auto"/>
              <w:ind w:left="147" w:right="1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贵州省环境污染物排放标准</w:t>
            </w:r>
          </w:p>
        </w:tc>
        <w:tc>
          <w:tcPr>
            <w:tcW w:w="1104" w:type="dxa"/>
            <w:gridSpan w:val="3"/>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4" w:beforeAutospacing="0" w:afterAutospacing="0"/>
              <w:jc w:val="left"/>
              <w:rPr>
                <w:b/>
                <w:color w:val="000000" w:themeColor="text1"/>
                <w:kern w:val="2"/>
                <w:sz w:val="21"/>
                <w14:textFill>
                  <w14:solidFill>
                    <w14:schemeClr w14:val="tx1"/>
                  </w14:solidFill>
                </w14:textFill>
              </w:rPr>
            </w:pPr>
          </w:p>
          <w:p>
            <w:pPr>
              <w:pStyle w:val="4069"/>
              <w:keepNext w:val="0"/>
              <w:keepLines w:val="0"/>
              <w:suppressLineNumbers w:val="0"/>
              <w:spacing w:beforeAutospacing="0" w:afterAutospacing="0"/>
              <w:ind w:left="34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二级</w:t>
            </w:r>
          </w:p>
        </w:tc>
        <w:tc>
          <w:tcPr>
            <w:tcW w:w="697"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 w:beforeAutospacing="0" w:afterAutospacing="0"/>
              <w:jc w:val="left"/>
              <w:rPr>
                <w:b/>
                <w:color w:val="000000" w:themeColor="text1"/>
                <w:kern w:val="2"/>
                <w:sz w:val="25"/>
                <w14:textFill>
                  <w14:solidFill>
                    <w14:schemeClr w14:val="tx1"/>
                  </w14:solidFill>
                </w14:textFill>
              </w:rPr>
            </w:pPr>
          </w:p>
          <w:p>
            <w:pPr>
              <w:pStyle w:val="4069"/>
              <w:keepNext w:val="0"/>
              <w:keepLines w:val="0"/>
              <w:suppressLineNumbers w:val="0"/>
              <w:spacing w:beforeAutospacing="0" w:afterAutospacing="0"/>
              <w:ind w:left="247"/>
              <w:jc w:val="left"/>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氨</w:t>
            </w:r>
          </w:p>
        </w:tc>
        <w:tc>
          <w:tcPr>
            <w:tcW w:w="1360"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81" w:beforeAutospacing="0" w:afterAutospacing="0"/>
              <w:ind w:left="15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32" w:beforeAutospacing="0" w:afterAutospacing="0"/>
              <w:ind w:left="499"/>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20mg/m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36" w:beforeAutospacing="0" w:afterAutospacing="0"/>
              <w:ind w:left="514"/>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3.06kg/h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2" w:lineRule="exact"/>
              <w:ind w:left="135" w:right="11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无组织排放</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0" w:beforeAutospacing="0" w:afterAutospacing="0" w:line="243" w:lineRule="exact"/>
              <w:ind w:left="473"/>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1.0mg/m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6" w:beforeAutospacing="0" w:afterAutospacing="0"/>
              <w:jc w:val="left"/>
              <w:rPr>
                <w:b/>
                <w:color w:val="000000" w:themeColor="text1"/>
                <w:kern w:val="2"/>
                <w:sz w:val="14"/>
                <w14:textFill>
                  <w14:solidFill>
                    <w14:schemeClr w14:val="tx1"/>
                  </w14:solidFill>
                </w14:textFill>
              </w:rPr>
            </w:pPr>
          </w:p>
          <w:p>
            <w:pPr>
              <w:pStyle w:val="4069"/>
              <w:keepNext w:val="0"/>
              <w:keepLines w:val="0"/>
              <w:suppressLineNumbers w:val="0"/>
              <w:spacing w:beforeAutospacing="0" w:afterAutospacing="0" w:line="244" w:lineRule="auto"/>
              <w:ind w:left="247" w:right="120" w:hanging="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硫化氢</w:t>
            </w:r>
          </w:p>
        </w:tc>
        <w:tc>
          <w:tcPr>
            <w:tcW w:w="1360"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81" w:beforeAutospacing="0" w:afterAutospacing="0"/>
              <w:ind w:left="155"/>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15m </w:t>
            </w:r>
            <w:r>
              <w:rPr>
                <w:color w:val="000000" w:themeColor="text1"/>
                <w:kern w:val="2"/>
                <w:sz w:val="21"/>
                <w14:textFill>
                  <w14:solidFill>
                    <w14:schemeClr w14:val="tx1"/>
                  </w14:solidFill>
                </w14:textFill>
              </w:rPr>
              <w:t>排气筒</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32" w:beforeAutospacing="0" w:afterAutospacing="0"/>
              <w:ind w:left="499"/>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10mg/m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36" w:beforeAutospacing="0" w:afterAutospacing="0"/>
              <w:ind w:left="514"/>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0.18kg/h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36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2" w:lineRule="exact"/>
              <w:ind w:left="135" w:right="11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无组织排放</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1" w:beforeAutospacing="0" w:afterAutospacing="0" w:line="243" w:lineRule="exact"/>
              <w:ind w:left="420"/>
              <w:jc w:val="left"/>
              <w:rPr>
                <w:rFonts w:ascii="Times New Roman"/>
                <w:color w:val="000000" w:themeColor="text1"/>
                <w:kern w:val="2"/>
                <w:sz w:val="14"/>
                <w14:textFill>
                  <w14:solidFill>
                    <w14:schemeClr w14:val="tx1"/>
                  </w14:solidFill>
                </w14:textFill>
              </w:rPr>
            </w:pPr>
            <w:r>
              <w:rPr>
                <w:rFonts w:ascii="Times New Roman"/>
                <w:color w:val="000000" w:themeColor="text1"/>
                <w:kern w:val="2"/>
                <w:sz w:val="21"/>
                <w14:textFill>
                  <w14:solidFill>
                    <w14:schemeClr w14:val="tx1"/>
                  </w14:solidFill>
                </w14:textFill>
              </w:rPr>
              <w:t>0.05mg/m</w:t>
            </w:r>
            <w:r>
              <w:rPr>
                <w:rFonts w:asci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49" w:beforeAutospacing="0" w:afterAutospacing="0"/>
              <w:ind w:left="277"/>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GB18483-2001</w:t>
            </w:r>
          </w:p>
        </w:tc>
        <w:tc>
          <w:tcPr>
            <w:tcW w:w="1537"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ind w:left="128" w:right="98"/>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饮食业油烟排</w:t>
            </w:r>
          </w:p>
          <w:p>
            <w:pPr>
              <w:pStyle w:val="4069"/>
              <w:keepNext w:val="0"/>
              <w:keepLines w:val="0"/>
              <w:suppressLineNumbers w:val="0"/>
              <w:spacing w:before="2" w:beforeAutospacing="0" w:afterAutospacing="0" w:line="252" w:lineRule="exact"/>
              <w:ind w:left="128" w:right="98"/>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放标准</w:t>
            </w:r>
          </w:p>
        </w:tc>
        <w:tc>
          <w:tcPr>
            <w:tcW w:w="1104" w:type="dxa"/>
            <w:gridSpan w:val="3"/>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35" w:beforeAutospacing="0" w:afterAutospacing="0"/>
              <w:ind w:left="34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小型</w:t>
            </w: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35" w:beforeAutospacing="0" w:afterAutospacing="0"/>
              <w:ind w:left="192"/>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最高允许排放浓度</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44" w:beforeAutospacing="0" w:afterAutospacing="0"/>
              <w:ind w:left="415"/>
              <w:jc w:val="left"/>
              <w:rPr>
                <w:rFonts w:ascii="Times New Roman" w:hAnsi="Times New Roman"/>
                <w:color w:val="000000" w:themeColor="text1"/>
                <w:kern w:val="2"/>
                <w:sz w:val="14"/>
                <w14:textFill>
                  <w14:solidFill>
                    <w14:schemeClr w14:val="tx1"/>
                  </w14:solidFill>
                </w14:textFill>
              </w:rPr>
            </w:pPr>
            <w:r>
              <w:rPr>
                <w:rFonts w:ascii="Times New Roman" w:hAnsi="Times New Roman"/>
                <w:color w:val="000000" w:themeColor="text1"/>
                <w:kern w:val="2"/>
                <w:sz w:val="21"/>
                <w14:textFill>
                  <w14:solidFill>
                    <w14:schemeClr w14:val="tx1"/>
                  </w14:solidFill>
                </w14:textFill>
              </w:rPr>
              <w:t>≤2.0mg/m</w:t>
            </w:r>
            <w:r>
              <w:rPr>
                <w:rFonts w:ascii="Times New Roman" w:hAnsi="Times New Roman"/>
                <w:color w:val="000000" w:themeColor="text1"/>
                <w:kern w:val="2"/>
                <w:position w:val="7"/>
                <w:sz w:val="14"/>
                <w14:textFill>
                  <w14:solidFill>
                    <w14:schemeClr w14:val="tx1"/>
                  </w14:solidFill>
                </w14:textFill>
              </w:rPr>
              <w:t>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874" w:type="dxa"/>
            <w:vMerge w:val="restart"/>
            <w:tcBorders>
              <w:top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2" w:beforeAutospacing="0" w:afterAutospacing="0"/>
              <w:jc w:val="left"/>
              <w:rPr>
                <w:b/>
                <w:color w:val="000000" w:themeColor="text1"/>
                <w:kern w:val="2"/>
                <w:sz w:val="24"/>
                <w14:textFill>
                  <w14:solidFill>
                    <w14:schemeClr w14:val="tx1"/>
                  </w14:solidFill>
                </w14:textFill>
              </w:rPr>
            </w:pPr>
          </w:p>
          <w:p>
            <w:pPr>
              <w:pStyle w:val="4069"/>
              <w:keepNext w:val="0"/>
              <w:keepLines w:val="0"/>
              <w:suppressLineNumbers w:val="0"/>
              <w:spacing w:before="1" w:beforeAutospacing="0" w:afterAutospacing="0"/>
              <w:ind w:left="22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废水</w:t>
            </w:r>
          </w:p>
        </w:tc>
        <w:tc>
          <w:tcPr>
            <w:tcW w:w="184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4" w:beforeAutospacing="0" w:afterAutospacing="0"/>
              <w:jc w:val="left"/>
              <w:rPr>
                <w:b/>
                <w:color w:val="000000" w:themeColor="text1"/>
                <w:kern w:val="2"/>
                <w:sz w:val="17"/>
                <w14:textFill>
                  <w14:solidFill>
                    <w14:schemeClr w14:val="tx1"/>
                  </w14:solidFill>
                </w14:textFill>
              </w:rPr>
            </w:pPr>
          </w:p>
          <w:p>
            <w:pPr>
              <w:pStyle w:val="4069"/>
              <w:keepNext w:val="0"/>
              <w:keepLines w:val="0"/>
              <w:suppressLineNumbers w:val="0"/>
              <w:spacing w:beforeAutospacing="0" w:afterAutospacing="0"/>
              <w:ind w:left="380"/>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GB13457-92</w:t>
            </w:r>
          </w:p>
        </w:tc>
        <w:tc>
          <w:tcPr>
            <w:tcW w:w="153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3"/>
                <w14:textFill>
                  <w14:solidFill>
                    <w14:schemeClr w14:val="tx1"/>
                  </w14:solidFill>
                </w14:textFill>
              </w:rPr>
            </w:pPr>
          </w:p>
          <w:p>
            <w:pPr>
              <w:pStyle w:val="4069"/>
              <w:keepNext w:val="0"/>
              <w:keepLines w:val="0"/>
              <w:suppressLineNumbers w:val="0"/>
              <w:spacing w:beforeAutospacing="0" w:afterAutospacing="0" w:line="242" w:lineRule="auto"/>
              <w:ind w:left="147" w:right="1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肉类加工工业水污染物排放标准</w:t>
            </w:r>
          </w:p>
        </w:tc>
        <w:tc>
          <w:tcPr>
            <w:tcW w:w="1104" w:type="dxa"/>
            <w:gridSpan w:val="3"/>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2" w:beforeAutospacing="0" w:afterAutospacing="0"/>
              <w:jc w:val="left"/>
              <w:rPr>
                <w:b/>
                <w:color w:val="000000" w:themeColor="text1"/>
                <w:kern w:val="2"/>
                <w:sz w:val="24"/>
                <w14:textFill>
                  <w14:solidFill>
                    <w14:schemeClr w14:val="tx1"/>
                  </w14:solidFill>
                </w14:textFill>
              </w:rPr>
            </w:pPr>
          </w:p>
          <w:p>
            <w:pPr>
              <w:pStyle w:val="4069"/>
              <w:keepNext w:val="0"/>
              <w:keepLines w:val="0"/>
              <w:suppressLineNumbers w:val="0"/>
              <w:spacing w:before="1" w:beforeAutospacing="0" w:afterAutospacing="0"/>
              <w:ind w:left="136"/>
              <w:jc w:val="left"/>
              <w:rPr>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三</w:t>
            </w:r>
            <w:r>
              <w:rPr>
                <w:color w:val="000000" w:themeColor="text1"/>
                <w:kern w:val="2"/>
                <w:sz w:val="21"/>
                <w14:textFill>
                  <w14:solidFill>
                    <w14:schemeClr w14:val="tx1"/>
                  </w14:solidFill>
                </w14:textFill>
              </w:rPr>
              <w:t>级标准</w:t>
            </w: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0" w:lineRule="exact"/>
              <w:ind w:left="379"/>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pH</w:t>
            </w:r>
            <w:r>
              <w:rPr>
                <w:color w:val="000000" w:themeColor="text1"/>
                <w:kern w:val="2"/>
                <w:sz w:val="21"/>
                <w14:textFill>
                  <w14:solidFill>
                    <w14:schemeClr w14:val="tx1"/>
                  </w14:solidFill>
                </w14:textFill>
              </w:rPr>
              <w:t>（无量纲）</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5" w:beforeAutospacing="0" w:afterAutospacing="0" w:line="236" w:lineRule="exact"/>
              <w:ind w:left="131" w:right="106"/>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6~9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2" w:lineRule="exact"/>
              <w:ind w:left="5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粪大肠菌群</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7" w:beforeAutospacing="0" w:afterAutospacing="0" w:line="236" w:lineRule="exact"/>
              <w:ind w:left="295" w:firstLine="630" w:firstLineChars="300"/>
              <w:jc w:val="left"/>
              <w:rPr>
                <w:rFonts w:hint="default" w:ascii="Times New Roman" w:hAnsi="Times New Roman" w:eastAsia="宋体"/>
                <w:color w:val="000000" w:themeColor="text1"/>
                <w:kern w:val="2"/>
                <w:sz w:val="21"/>
                <w:lang w:val="en-US" w:eastAsia="zh-CN"/>
                <w14:textFill>
                  <w14:solidFill>
                    <w14:schemeClr w14:val="tx1"/>
                  </w14:solidFill>
                </w14:textFill>
              </w:rPr>
            </w:pPr>
            <w:r>
              <w:rPr>
                <w:rFonts w:hint="eastAsia" w:ascii="Times New Roman" w:hAnsi="Times New Roman"/>
                <w:color w:val="000000" w:themeColor="text1"/>
                <w:kern w:val="2"/>
                <w:sz w:val="2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2" w:lineRule="exact"/>
              <w:ind w:left="612"/>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参数名称</w:t>
            </w:r>
          </w:p>
        </w:tc>
        <w:tc>
          <w:tcPr>
            <w:tcW w:w="1767" w:type="dxa"/>
            <w:gridSpan w:val="3"/>
            <w:tcBorders>
              <w:top w:val="single" w:color="000000" w:sz="4" w:space="0"/>
              <w:left w:val="single" w:color="000000" w:sz="4" w:space="0"/>
              <w:bottom w:val="single" w:color="000000" w:sz="4" w:space="0"/>
            </w:tcBorders>
          </w:tcPr>
          <w:p>
            <w:pPr>
              <w:pStyle w:val="4069"/>
              <w:keepNext w:val="0"/>
              <w:keepLines w:val="0"/>
              <w:suppressLineNumbers w:val="0"/>
              <w:spacing w:before="1" w:beforeAutospacing="0" w:afterAutospacing="0" w:line="252" w:lineRule="exact"/>
              <w:ind w:left="211"/>
              <w:jc w:val="left"/>
              <w:rPr>
                <w:rFonts w:asci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 xml:space="preserve">排放浓度 </w:t>
            </w:r>
            <w:r>
              <w:rPr>
                <w:rFonts w:ascii="Times New Roman" w:eastAsia="Times New Roman"/>
                <w:color w:val="000000" w:themeColor="text1"/>
                <w:kern w:val="2"/>
                <w:sz w:val="21"/>
                <w14:textFill>
                  <w14:solidFill>
                    <w14:schemeClr w14:val="tx1"/>
                  </w14:solidFill>
                </w14:textFill>
              </w:rPr>
              <w:t>mg/L</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2057" w:type="dxa"/>
            <w:gridSpan w:val="4"/>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5" w:beforeAutospacing="0" w:afterAutospacing="0" w:line="236" w:lineRule="exact"/>
              <w:ind w:left="697" w:right="676"/>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COD</w:t>
            </w:r>
          </w:p>
        </w:tc>
        <w:tc>
          <w:tcPr>
            <w:tcW w:w="899"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0" w:lineRule="exact"/>
              <w:ind w:left="240"/>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畜类</w:t>
            </w:r>
          </w:p>
        </w:tc>
        <w:tc>
          <w:tcPr>
            <w:tcW w:w="868"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5" w:beforeAutospacing="0" w:afterAutospacing="0" w:line="236" w:lineRule="exact"/>
              <w:ind w:right="289" w:firstLine="210" w:firstLineChars="100"/>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ind w:left="110" w:right="93"/>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BOD</w:t>
            </w:r>
          </w:p>
          <w:p>
            <w:pPr>
              <w:pStyle w:val="4069"/>
              <w:keepNext w:val="0"/>
              <w:keepLines w:val="0"/>
              <w:suppressLineNumbers w:val="0"/>
              <w:spacing w:before="86" w:beforeAutospacing="0" w:afterAutospacing="0" w:line="137" w:lineRule="exact"/>
              <w:ind w:left="16"/>
              <w:jc w:val="left"/>
              <w:rPr>
                <w:rFonts w:ascii="Times New Roman"/>
                <w:color w:val="000000" w:themeColor="text1"/>
                <w:kern w:val="2"/>
                <w:sz w:val="14"/>
                <w14:textFill>
                  <w14:solidFill>
                    <w14:schemeClr w14:val="tx1"/>
                  </w14:solidFill>
                </w14:textFill>
              </w:rPr>
            </w:pPr>
            <w:r>
              <w:rPr>
                <w:rFonts w:ascii="Times New Roman"/>
                <w:color w:val="000000" w:themeColor="text1"/>
                <w:w w:val="99"/>
                <w:kern w:val="2"/>
                <w:sz w:val="14"/>
                <w14:textFill>
                  <w14:solidFill>
                    <w14:schemeClr w14:val="tx1"/>
                  </w14:solidFill>
                </w14:textFill>
              </w:rPr>
              <w:t>5</w:t>
            </w:r>
          </w:p>
        </w:tc>
        <w:tc>
          <w:tcPr>
            <w:tcW w:w="2259" w:type="dxa"/>
            <w:gridSpan w:val="3"/>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06" w:beforeAutospacing="0" w:afterAutospacing="0"/>
              <w:ind w:left="476" w:right="461"/>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畜类</w:t>
            </w:r>
          </w:p>
        </w:tc>
        <w:tc>
          <w:tcPr>
            <w:tcW w:w="868"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20" w:beforeAutospacing="0" w:afterAutospacing="0"/>
              <w:ind w:right="289"/>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 xml:space="preserve">  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0"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5" w:beforeAutospacing="0" w:afterAutospacing="0" w:line="236" w:lineRule="exact"/>
              <w:ind w:left="235"/>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SS</w:t>
            </w:r>
          </w:p>
        </w:tc>
        <w:tc>
          <w:tcPr>
            <w:tcW w:w="2259" w:type="dxa"/>
            <w:gridSpan w:val="3"/>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50" w:lineRule="exact"/>
              <w:ind w:left="476" w:right="461"/>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畜类</w:t>
            </w:r>
          </w:p>
        </w:tc>
        <w:tc>
          <w:tcPr>
            <w:tcW w:w="868"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5" w:beforeAutospacing="0" w:afterAutospacing="0" w:line="236" w:lineRule="exact"/>
              <w:ind w:right="289"/>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 xml:space="preserve">  500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4"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line="224" w:lineRule="exact"/>
              <w:ind w:left="276" w:right="94" w:hanging="147"/>
              <w:jc w:val="left"/>
              <w:rPr>
                <w:rFonts w:ascii="Times New Roman"/>
                <w:color w:val="000000" w:themeColor="text1"/>
                <w:kern w:val="2"/>
                <w:sz w:val="21"/>
                <w14:textFill>
                  <w14:solidFill>
                    <w14:schemeClr w14:val="tx1"/>
                  </w14:solidFill>
                </w14:textFill>
              </w:rPr>
            </w:pPr>
            <w:r>
              <w:rPr>
                <w:rFonts w:ascii="Times New Roman"/>
                <w:color w:val="000000" w:themeColor="text1"/>
                <w:kern w:val="2"/>
                <w:position w:val="2"/>
                <w:sz w:val="21"/>
                <w14:textFill>
                  <w14:solidFill>
                    <w14:schemeClr w14:val="tx1"/>
                  </w14:solidFill>
                </w14:textFill>
              </w:rPr>
              <w:t>NH</w:t>
            </w:r>
            <w:r>
              <w:rPr>
                <w:rFonts w:ascii="Times New Roman"/>
                <w:color w:val="000000" w:themeColor="text1"/>
                <w:kern w:val="2"/>
                <w:sz w:val="14"/>
                <w14:textFill>
                  <w14:solidFill>
                    <w14:schemeClr w14:val="tx1"/>
                  </w14:solidFill>
                </w14:textFill>
              </w:rPr>
              <w:t>3</w:t>
            </w:r>
            <w:r>
              <w:rPr>
                <w:rFonts w:ascii="Times New Roman"/>
                <w:color w:val="000000" w:themeColor="text1"/>
                <w:kern w:val="2"/>
                <w:position w:val="2"/>
                <w:sz w:val="21"/>
                <w14:textFill>
                  <w14:solidFill>
                    <w14:schemeClr w14:val="tx1"/>
                  </w14:solidFill>
                </w14:textFill>
              </w:rPr>
              <w:t xml:space="preserve">- </w:t>
            </w:r>
            <w:r>
              <w:rPr>
                <w:rFonts w:ascii="Times New Roman"/>
                <w:color w:val="000000" w:themeColor="text1"/>
                <w:kern w:val="2"/>
                <w:sz w:val="21"/>
                <w14:textFill>
                  <w14:solidFill>
                    <w14:schemeClr w14:val="tx1"/>
                  </w14:solidFill>
                </w14:textFill>
              </w:rPr>
              <w:t>N</w:t>
            </w:r>
          </w:p>
        </w:tc>
        <w:tc>
          <w:tcPr>
            <w:tcW w:w="2259" w:type="dxa"/>
            <w:gridSpan w:val="3"/>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06" w:beforeAutospacing="0" w:afterAutospacing="0"/>
              <w:ind w:left="476" w:right="461"/>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畜类</w:t>
            </w:r>
          </w:p>
        </w:tc>
        <w:tc>
          <w:tcPr>
            <w:tcW w:w="868"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20" w:beforeAutospacing="0" w:afterAutospacing="0"/>
              <w:ind w:left="308" w:right="289"/>
              <w:jc w:val="left"/>
              <w:rPr>
                <w:rFonts w:hint="eastAsia" w:ascii="Times New Roman" w:eastAsia="宋体"/>
                <w:color w:val="000000" w:themeColor="text1"/>
                <w:kern w:val="2"/>
                <w:sz w:val="21"/>
                <w:lang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ind w:left="141"/>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动植</w:t>
            </w:r>
          </w:p>
          <w:p>
            <w:pPr>
              <w:pStyle w:val="4069"/>
              <w:keepNext w:val="0"/>
              <w:keepLines w:val="0"/>
              <w:suppressLineNumbers w:val="0"/>
              <w:spacing w:before="2" w:beforeAutospacing="0" w:afterAutospacing="0" w:line="252" w:lineRule="exact"/>
              <w:ind w:left="141"/>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物油</w:t>
            </w:r>
          </w:p>
        </w:tc>
        <w:tc>
          <w:tcPr>
            <w:tcW w:w="2259" w:type="dxa"/>
            <w:gridSpan w:val="3"/>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38" w:beforeAutospacing="0" w:afterAutospacing="0"/>
              <w:ind w:left="476" w:right="461"/>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畜类</w:t>
            </w:r>
          </w:p>
        </w:tc>
        <w:tc>
          <w:tcPr>
            <w:tcW w:w="868" w:type="dxa"/>
            <w:gridSpan w:val="2"/>
            <w:tcBorders>
              <w:top w:val="single" w:color="000000" w:sz="4" w:space="0"/>
              <w:left w:val="single" w:color="000000" w:sz="4" w:space="0"/>
              <w:bottom w:val="single" w:color="000000" w:sz="4" w:space="0"/>
            </w:tcBorders>
          </w:tcPr>
          <w:p>
            <w:pPr>
              <w:pStyle w:val="4069"/>
              <w:keepNext w:val="0"/>
              <w:keepLines w:val="0"/>
              <w:suppressLineNumbers w:val="0"/>
              <w:spacing w:before="152" w:beforeAutospacing="0" w:afterAutospacing="0"/>
              <w:ind w:left="308" w:right="289"/>
              <w:jc w:val="left"/>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77" w:hRule="atLeast"/>
        </w:trPr>
        <w:tc>
          <w:tcPr>
            <w:tcW w:w="874" w:type="dxa"/>
            <w:vMerge w:val="restart"/>
            <w:tcBorders>
              <w:top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10" w:beforeAutospacing="0" w:afterAutospacing="0"/>
              <w:jc w:val="left"/>
              <w:rPr>
                <w:b/>
                <w:color w:val="000000" w:themeColor="text1"/>
                <w:kern w:val="2"/>
                <w:sz w:val="14"/>
                <w14:textFill>
                  <w14:solidFill>
                    <w14:schemeClr w14:val="tx1"/>
                  </w14:solidFill>
                </w14:textFill>
              </w:rPr>
            </w:pPr>
          </w:p>
          <w:p>
            <w:pPr>
              <w:pStyle w:val="4069"/>
              <w:keepNext w:val="0"/>
              <w:keepLines w:val="0"/>
              <w:suppressLineNumbers w:val="0"/>
              <w:spacing w:beforeAutospacing="0" w:afterAutospacing="0"/>
              <w:ind w:left="22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噪声</w:t>
            </w:r>
          </w:p>
        </w:tc>
        <w:tc>
          <w:tcPr>
            <w:tcW w:w="184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141" w:beforeAutospacing="0" w:afterAutospacing="0"/>
              <w:ind w:left="280"/>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GB12523-2011</w:t>
            </w:r>
          </w:p>
        </w:tc>
        <w:tc>
          <w:tcPr>
            <w:tcW w:w="153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37" w:beforeAutospacing="0" w:afterAutospacing="0" w:line="242" w:lineRule="auto"/>
              <w:ind w:left="147" w:right="1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建筑施工场界环境噪声排放标准</w:t>
            </w:r>
          </w:p>
        </w:tc>
        <w:tc>
          <w:tcPr>
            <w:tcW w:w="714"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42" w:lineRule="auto"/>
              <w:ind w:left="153" w:right="12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等效连续</w:t>
            </w:r>
            <w:r>
              <w:rPr>
                <w:rFonts w:ascii="Times New Roman" w:eastAsia="Times New Roman"/>
                <w:color w:val="000000" w:themeColor="text1"/>
                <w:kern w:val="2"/>
                <w:sz w:val="21"/>
                <w14:textFill>
                  <w14:solidFill>
                    <w14:schemeClr w14:val="tx1"/>
                  </w14:solidFill>
                </w14:textFill>
              </w:rPr>
              <w:t xml:space="preserve">A </w:t>
            </w:r>
            <w:r>
              <w:rPr>
                <w:color w:val="000000" w:themeColor="text1"/>
                <w:kern w:val="2"/>
                <w:sz w:val="21"/>
                <w14:textFill>
                  <w14:solidFill>
                    <w14:schemeClr w14:val="tx1"/>
                  </w14:solidFill>
                </w14:textFill>
              </w:rPr>
              <w:t>声</w:t>
            </w:r>
          </w:p>
          <w:p>
            <w:pPr>
              <w:pStyle w:val="4069"/>
              <w:keepNext w:val="0"/>
              <w:keepLines w:val="0"/>
              <w:suppressLineNumbers w:val="0"/>
              <w:spacing w:beforeAutospacing="0" w:afterAutospacing="0" w:line="252" w:lineRule="exact"/>
              <w:ind w:left="20"/>
              <w:jc w:val="left"/>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级</w:t>
            </w:r>
          </w:p>
        </w:tc>
        <w:tc>
          <w:tcPr>
            <w:tcW w:w="4214" w:type="dxa"/>
            <w:gridSpan w:val="9"/>
            <w:tcBorders>
              <w:top w:val="single" w:color="000000" w:sz="4" w:space="0"/>
              <w:left w:val="single" w:color="000000" w:sz="4" w:space="0"/>
              <w:bottom w:val="single" w:color="000000" w:sz="4" w:space="0"/>
            </w:tcBorders>
          </w:tcPr>
          <w:p>
            <w:pPr>
              <w:pStyle w:val="4069"/>
              <w:keepNext w:val="0"/>
              <w:keepLines w:val="0"/>
              <w:suppressLineNumbers w:val="0"/>
              <w:spacing w:before="104" w:beforeAutospacing="0" w:afterAutospacing="0"/>
              <w:ind w:left="1719" w:right="1687"/>
              <w:jc w:val="left"/>
              <w:rPr>
                <w:rFonts w:ascii="Times New Roman" w:hAns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昼间</w:t>
            </w:r>
            <w:r>
              <w:rPr>
                <w:rFonts w:ascii="Times New Roman" w:hAnsi="Times New Roman" w:eastAsia="Times New Roman"/>
                <w:color w:val="000000" w:themeColor="text1"/>
                <w:kern w:val="2"/>
                <w:sz w:val="21"/>
                <w14:textFill>
                  <w14:solidFill>
                    <w14:schemeClr w14:val="tx1"/>
                  </w14:solidFill>
                </w14:textFill>
              </w:rPr>
              <w:t>≤70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01"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714"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4214" w:type="dxa"/>
            <w:gridSpan w:val="9"/>
            <w:tcBorders>
              <w:top w:val="single" w:color="000000" w:sz="4" w:space="0"/>
              <w:left w:val="single" w:color="000000" w:sz="4" w:space="0"/>
              <w:bottom w:val="single" w:color="000000" w:sz="4" w:space="0"/>
            </w:tcBorders>
          </w:tcPr>
          <w:p>
            <w:pPr>
              <w:pStyle w:val="4069"/>
              <w:keepNext w:val="0"/>
              <w:keepLines w:val="0"/>
              <w:suppressLineNumbers w:val="0"/>
              <w:spacing w:before="166" w:beforeAutospacing="0" w:afterAutospacing="0"/>
              <w:ind w:left="1720" w:right="1687"/>
              <w:jc w:val="left"/>
              <w:rPr>
                <w:rFonts w:ascii="Times New Roman" w:hAns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夜间</w:t>
            </w:r>
            <w:r>
              <w:rPr>
                <w:rFonts w:ascii="Times New Roman" w:hAnsi="Times New Roman" w:eastAsia="Times New Roman"/>
                <w:color w:val="000000" w:themeColor="text1"/>
                <w:kern w:val="2"/>
                <w:sz w:val="21"/>
                <w14:textFill>
                  <w14:solidFill>
                    <w14:schemeClr w14:val="tx1"/>
                  </w14:solidFill>
                </w14:textFill>
              </w:rPr>
              <w:t>≤55</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55"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141" w:beforeAutospacing="0" w:afterAutospacing="0"/>
              <w:ind w:left="277"/>
              <w:jc w:val="left"/>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GB12348-2008</w:t>
            </w:r>
          </w:p>
        </w:tc>
        <w:tc>
          <w:tcPr>
            <w:tcW w:w="1537" w:type="dxa"/>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38" w:beforeAutospacing="0" w:afterAutospacing="0" w:line="242" w:lineRule="auto"/>
              <w:ind w:left="147" w:right="11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工业企业厂界环境噪声排放标准</w:t>
            </w:r>
          </w:p>
        </w:tc>
        <w:tc>
          <w:tcPr>
            <w:tcW w:w="1104" w:type="dxa"/>
            <w:gridSpan w:val="3"/>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left"/>
              <w:rPr>
                <w:b/>
                <w:color w:val="000000" w:themeColor="text1"/>
                <w:kern w:val="2"/>
                <w:sz w:val="22"/>
                <w14:textFill>
                  <w14:solidFill>
                    <w14:schemeClr w14:val="tx1"/>
                  </w14:solidFill>
                </w14:textFill>
              </w:rPr>
            </w:pPr>
          </w:p>
          <w:p>
            <w:pPr>
              <w:pStyle w:val="4069"/>
              <w:keepNext w:val="0"/>
              <w:keepLines w:val="0"/>
              <w:suppressLineNumbers w:val="0"/>
              <w:spacing w:before="141" w:beforeAutospacing="0" w:afterAutospacing="0"/>
              <w:ind w:left="19"/>
              <w:jc w:val="left"/>
              <w:rPr>
                <w:rFonts w:ascii="Times New Roman"/>
                <w:color w:val="000000" w:themeColor="text1"/>
                <w:kern w:val="2"/>
                <w:sz w:val="21"/>
                <w14:textFill>
                  <w14:solidFill>
                    <w14:schemeClr w14:val="tx1"/>
                  </w14:solidFill>
                </w14:textFill>
              </w:rPr>
            </w:pPr>
            <w:r>
              <w:rPr>
                <w:rFonts w:ascii="Times New Roman"/>
                <w:color w:val="000000" w:themeColor="text1"/>
                <w:w w:val="100"/>
                <w:kern w:val="2"/>
                <w:sz w:val="21"/>
                <w14:textFill>
                  <w14:solidFill>
                    <w14:schemeClr w14:val="tx1"/>
                  </w14:solidFill>
                </w14:textFill>
              </w:rPr>
              <w:t>2</w:t>
            </w:r>
          </w:p>
        </w:tc>
        <w:tc>
          <w:tcPr>
            <w:tcW w:w="697" w:type="dxa"/>
            <w:gridSpan w:val="2"/>
            <w:vMerge w:val="restart"/>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line="242" w:lineRule="auto"/>
              <w:ind w:left="141" w:right="120"/>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等效连续</w:t>
            </w:r>
            <w:r>
              <w:rPr>
                <w:rFonts w:ascii="Times New Roman" w:eastAsia="Times New Roman"/>
                <w:color w:val="000000" w:themeColor="text1"/>
                <w:kern w:val="2"/>
                <w:sz w:val="21"/>
                <w14:textFill>
                  <w14:solidFill>
                    <w14:schemeClr w14:val="tx1"/>
                  </w14:solidFill>
                </w14:textFill>
              </w:rPr>
              <w:t xml:space="preserve">A </w:t>
            </w:r>
            <w:r>
              <w:rPr>
                <w:color w:val="000000" w:themeColor="text1"/>
                <w:kern w:val="2"/>
                <w:sz w:val="21"/>
                <w14:textFill>
                  <w14:solidFill>
                    <w14:schemeClr w14:val="tx1"/>
                  </w14:solidFill>
                </w14:textFill>
              </w:rPr>
              <w:t>声</w:t>
            </w:r>
          </w:p>
          <w:p>
            <w:pPr>
              <w:pStyle w:val="4069"/>
              <w:keepNext w:val="0"/>
              <w:keepLines w:val="0"/>
              <w:suppressLineNumbers w:val="0"/>
              <w:spacing w:beforeAutospacing="0" w:afterAutospacing="0" w:line="252" w:lineRule="exact"/>
              <w:ind w:left="247"/>
              <w:jc w:val="left"/>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级</w:t>
            </w:r>
          </w:p>
        </w:tc>
        <w:tc>
          <w:tcPr>
            <w:tcW w:w="3127" w:type="dxa"/>
            <w:gridSpan w:val="5"/>
            <w:tcBorders>
              <w:top w:val="single" w:color="000000" w:sz="4" w:space="0"/>
              <w:left w:val="single" w:color="000000" w:sz="4" w:space="0"/>
              <w:bottom w:val="single" w:color="000000" w:sz="4" w:space="0"/>
            </w:tcBorders>
          </w:tcPr>
          <w:p>
            <w:pPr>
              <w:pStyle w:val="4069"/>
              <w:keepNext w:val="0"/>
              <w:keepLines w:val="0"/>
              <w:suppressLineNumbers w:val="0"/>
              <w:spacing w:before="92" w:beforeAutospacing="0" w:afterAutospacing="0"/>
              <w:ind w:left="1173" w:right="1147"/>
              <w:jc w:val="left"/>
              <w:rPr>
                <w:rFonts w:ascii="Times New Roman" w:hAns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昼间</w:t>
            </w:r>
            <w:r>
              <w:rPr>
                <w:rFonts w:ascii="Times New Roman" w:hAnsi="Times New Roman" w:eastAsia="Times New Roman"/>
                <w:color w:val="000000" w:themeColor="text1"/>
                <w:kern w:val="2"/>
                <w:sz w:val="21"/>
                <w14:textFill>
                  <w14:solidFill>
                    <w14:schemeClr w14:val="tx1"/>
                  </w14:solidFill>
                </w14:textFill>
              </w:rPr>
              <w:t>≤60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874"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84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537"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1104" w:type="dxa"/>
            <w:gridSpan w:val="3"/>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697" w:type="dxa"/>
            <w:gridSpan w:val="2"/>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3127" w:type="dxa"/>
            <w:gridSpan w:val="5"/>
            <w:tcBorders>
              <w:top w:val="single" w:color="000000" w:sz="4" w:space="0"/>
              <w:left w:val="single" w:color="000000" w:sz="4" w:space="0"/>
              <w:bottom w:val="single" w:color="000000" w:sz="4" w:space="0"/>
            </w:tcBorders>
          </w:tcPr>
          <w:p>
            <w:pPr>
              <w:pStyle w:val="4069"/>
              <w:keepNext w:val="0"/>
              <w:keepLines w:val="0"/>
              <w:suppressLineNumbers w:val="0"/>
              <w:spacing w:before="176" w:beforeAutospacing="0" w:afterAutospacing="0"/>
              <w:ind w:left="1173" w:right="1147"/>
              <w:jc w:val="left"/>
              <w:rPr>
                <w:rFonts w:ascii="Times New Roman" w:hAns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夜间</w:t>
            </w:r>
            <w:r>
              <w:rPr>
                <w:rFonts w:ascii="Times New Roman" w:hAnsi="Times New Roman" w:eastAsia="Times New Roman"/>
                <w:color w:val="000000" w:themeColor="text1"/>
                <w:kern w:val="2"/>
                <w:sz w:val="21"/>
                <w14:textFill>
                  <w14:solidFill>
                    <w14:schemeClr w14:val="tx1"/>
                  </w14:solidFill>
                </w14:textFill>
              </w:rPr>
              <w:t>≤50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4" w:hRule="atLeast"/>
        </w:trPr>
        <w:tc>
          <w:tcPr>
            <w:tcW w:w="874" w:type="dxa"/>
            <w:vMerge w:val="restart"/>
            <w:tcBorders>
              <w:top w:val="single" w:color="000000" w:sz="4" w:space="0"/>
              <w:right w:val="single" w:color="000000" w:sz="4" w:space="0"/>
            </w:tcBorders>
          </w:tcPr>
          <w:p>
            <w:pPr>
              <w:pStyle w:val="4069"/>
              <w:keepNext w:val="0"/>
              <w:keepLines w:val="0"/>
              <w:suppressLineNumbers w:val="0"/>
              <w:spacing w:before="10" w:beforeAutospacing="0" w:afterAutospacing="0"/>
              <w:jc w:val="left"/>
              <w:rPr>
                <w:b/>
                <w:color w:val="000000" w:themeColor="text1"/>
                <w:kern w:val="2"/>
                <w:sz w:val="27"/>
                <w14:textFill>
                  <w14:solidFill>
                    <w14:schemeClr w14:val="tx1"/>
                  </w14:solidFill>
                </w14:textFill>
              </w:rPr>
            </w:pPr>
          </w:p>
          <w:p>
            <w:pPr>
              <w:pStyle w:val="4069"/>
              <w:keepNext w:val="0"/>
              <w:keepLines w:val="0"/>
              <w:suppressLineNumbers w:val="0"/>
              <w:spacing w:beforeAutospacing="0" w:afterAutospacing="0" w:line="242" w:lineRule="auto"/>
              <w:ind w:left="225" w:right="100" w:hanging="10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固体废弃物</w:t>
            </w:r>
          </w:p>
        </w:tc>
        <w:tc>
          <w:tcPr>
            <w:tcW w:w="8312" w:type="dxa"/>
            <w:gridSpan w:val="12"/>
            <w:tcBorders>
              <w:top w:val="single" w:color="000000" w:sz="4" w:space="0"/>
              <w:left w:val="single" w:color="000000" w:sz="4" w:space="0"/>
              <w:bottom w:val="single" w:color="000000" w:sz="4" w:space="0"/>
            </w:tcBorders>
          </w:tcPr>
          <w:p>
            <w:pPr>
              <w:pStyle w:val="4069"/>
              <w:keepNext w:val="0"/>
              <w:keepLines w:val="0"/>
              <w:suppressLineNumbers w:val="0"/>
              <w:spacing w:before="73" w:beforeAutospacing="0" w:afterAutospacing="0"/>
              <w:ind w:left="11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《一般工业固体废弃物贮存、处置场污物控制标准》（</w:t>
            </w:r>
            <w:r>
              <w:rPr>
                <w:rFonts w:ascii="Times New Roman" w:eastAsia="Times New Roman"/>
                <w:color w:val="000000" w:themeColor="text1"/>
                <w:kern w:val="2"/>
                <w:sz w:val="21"/>
                <w14:textFill>
                  <w14:solidFill>
                    <w14:schemeClr w14:val="tx1"/>
                  </w14:solidFill>
                </w14:textFill>
              </w:rPr>
              <w:t>DB52\865-2013</w:t>
            </w:r>
            <w:r>
              <w:rPr>
                <w:color w:val="000000" w:themeColor="text1"/>
                <w:kern w:val="2"/>
                <w:sz w:val="21"/>
                <w14:textFill>
                  <w14:solidFill>
                    <w14:schemeClr w14:val="tx1"/>
                  </w14:solidFill>
                </w14:textFill>
              </w:rPr>
              <w:t>）相关标准</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27"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8312" w:type="dxa"/>
            <w:gridSpan w:val="12"/>
            <w:tcBorders>
              <w:top w:val="single" w:color="000000" w:sz="4" w:space="0"/>
              <w:left w:val="single" w:color="000000" w:sz="4" w:space="0"/>
              <w:bottom w:val="single" w:color="000000" w:sz="4" w:space="0"/>
            </w:tcBorders>
          </w:tcPr>
          <w:p>
            <w:pPr>
              <w:pStyle w:val="4069"/>
              <w:keepNext w:val="0"/>
              <w:keepLines w:val="0"/>
              <w:suppressLineNumbers w:val="0"/>
              <w:spacing w:beforeAutospacing="0" w:afterAutospacing="0" w:line="262" w:lineRule="exact"/>
              <w:ind w:left="116"/>
              <w:jc w:val="left"/>
              <w:rPr>
                <w:color w:val="000000" w:themeColor="text1"/>
                <w:kern w:val="2"/>
                <w:sz w:val="21"/>
                <w14:textFill>
                  <w14:solidFill>
                    <w14:schemeClr w14:val="tx1"/>
                  </w14:solidFill>
                </w14:textFill>
              </w:rPr>
            </w:pPr>
            <w:r>
              <w:rPr>
                <w:color w:val="000000" w:themeColor="text1"/>
                <w:spacing w:val="-3"/>
                <w:kern w:val="2"/>
                <w:sz w:val="21"/>
                <w14:textFill>
                  <w14:solidFill>
                    <w14:schemeClr w14:val="tx1"/>
                  </w14:solidFill>
                </w14:textFill>
              </w:rPr>
              <w:t>病死畜禽及病变部位执行《病死及病害动物无害化处理技术规范》</w:t>
            </w:r>
            <w:r>
              <w:rPr>
                <w:color w:val="000000" w:themeColor="text1"/>
                <w:kern w:val="2"/>
                <w:sz w:val="21"/>
                <w14:textFill>
                  <w14:solidFill>
                    <w14:schemeClr w14:val="tx1"/>
                  </w14:solidFill>
                </w14:textFill>
              </w:rPr>
              <w:t>（</w:t>
            </w:r>
            <w:r>
              <w:rPr>
                <w:color w:val="000000" w:themeColor="text1"/>
                <w:spacing w:val="-14"/>
                <w:kern w:val="2"/>
                <w:sz w:val="21"/>
                <w14:textFill>
                  <w14:solidFill>
                    <w14:schemeClr w14:val="tx1"/>
                  </w14:solidFill>
                </w14:textFill>
              </w:rPr>
              <w:t xml:space="preserve">农业部 </w:t>
            </w:r>
            <w:r>
              <w:rPr>
                <w:rFonts w:ascii="Times New Roman" w:eastAsia="Times New Roman"/>
                <w:color w:val="000000" w:themeColor="text1"/>
                <w:kern w:val="2"/>
                <w:sz w:val="21"/>
                <w14:textFill>
                  <w14:solidFill>
                    <w14:schemeClr w14:val="tx1"/>
                  </w14:solidFill>
                </w14:textFill>
              </w:rPr>
              <w:t xml:space="preserve">2017 </w:t>
            </w:r>
            <w:r>
              <w:rPr>
                <w:color w:val="000000" w:themeColor="text1"/>
                <w:spacing w:val="-23"/>
                <w:kern w:val="2"/>
                <w:sz w:val="21"/>
                <w14:textFill>
                  <w14:solidFill>
                    <w14:schemeClr w14:val="tx1"/>
                  </w14:solidFill>
                </w14:textFill>
              </w:rPr>
              <w:t xml:space="preserve">年 </w:t>
            </w:r>
            <w:r>
              <w:rPr>
                <w:rFonts w:ascii="Times New Roman" w:eastAsia="Times New Roman"/>
                <w:color w:val="000000" w:themeColor="text1"/>
                <w:kern w:val="2"/>
                <w:sz w:val="21"/>
                <w14:textFill>
                  <w14:solidFill>
                    <w14:schemeClr w14:val="tx1"/>
                  </w14:solidFill>
                </w14:textFill>
              </w:rPr>
              <w:t xml:space="preserve">7 </w:t>
            </w:r>
            <w:r>
              <w:rPr>
                <w:color w:val="000000" w:themeColor="text1"/>
                <w:kern w:val="2"/>
                <w:sz w:val="21"/>
                <w14:textFill>
                  <w14:solidFill>
                    <w14:schemeClr w14:val="tx1"/>
                  </w14:solidFill>
                </w14:textFill>
              </w:rPr>
              <w:t>月</w:t>
            </w:r>
          </w:p>
          <w:p>
            <w:pPr>
              <w:pStyle w:val="4069"/>
              <w:keepNext w:val="0"/>
              <w:keepLines w:val="0"/>
              <w:suppressLineNumbers w:val="0"/>
              <w:spacing w:before="2" w:beforeAutospacing="0" w:afterAutospacing="0" w:line="242" w:lineRule="exact"/>
              <w:ind w:left="116"/>
              <w:jc w:val="left"/>
              <w:rPr>
                <w:color w:val="000000" w:themeColor="text1"/>
                <w:kern w:val="2"/>
                <w:sz w:val="21"/>
                <w14:textFill>
                  <w14:solidFill>
                    <w14:schemeClr w14:val="tx1"/>
                  </w14:solidFill>
                </w14:textFill>
              </w:rPr>
            </w:pPr>
            <w:r>
              <w:rPr>
                <w:rFonts w:ascii="Times New Roman" w:eastAsia="Times New Roman"/>
                <w:color w:val="000000" w:themeColor="text1"/>
                <w:kern w:val="2"/>
                <w:sz w:val="21"/>
                <w14:textFill>
                  <w14:solidFill>
                    <w14:schemeClr w14:val="tx1"/>
                  </w14:solidFill>
                </w14:textFill>
              </w:rPr>
              <w:t xml:space="preserve">3 </w:t>
            </w:r>
            <w:r>
              <w:rPr>
                <w:color w:val="000000" w:themeColor="text1"/>
                <w:kern w:val="2"/>
                <w:sz w:val="21"/>
                <w14:textFill>
                  <w14:solidFill>
                    <w14:schemeClr w14:val="tx1"/>
                  </w14:solidFill>
                </w14:textFill>
              </w:rPr>
              <w:t>日）</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60" w:hRule="atLeast"/>
        </w:trPr>
        <w:tc>
          <w:tcPr>
            <w:tcW w:w="874" w:type="dxa"/>
            <w:vMerge w:val="continue"/>
            <w:tcBorders>
              <w:top w:val="nil"/>
              <w:right w:val="single" w:color="000000" w:sz="4" w:space="0"/>
            </w:tcBorders>
          </w:tcPr>
          <w:p>
            <w:pPr>
              <w:keepNext w:val="0"/>
              <w:keepLines w:val="0"/>
              <w:suppressLineNumbers w:val="0"/>
              <w:spacing w:beforeAutospacing="0" w:afterAutospacing="0"/>
              <w:jc w:val="left"/>
              <w:rPr>
                <w:color w:val="000000" w:themeColor="text1"/>
                <w:kern w:val="2"/>
                <w:sz w:val="2"/>
                <w:szCs w:val="2"/>
                <w14:textFill>
                  <w14:solidFill>
                    <w14:schemeClr w14:val="tx1"/>
                  </w14:solidFill>
                </w14:textFill>
              </w:rPr>
            </w:pPr>
          </w:p>
        </w:tc>
        <w:tc>
          <w:tcPr>
            <w:tcW w:w="8312" w:type="dxa"/>
            <w:gridSpan w:val="12"/>
            <w:tcBorders>
              <w:top w:val="single" w:color="000000" w:sz="4" w:space="0"/>
              <w:left w:val="single" w:color="000000" w:sz="4" w:space="0"/>
            </w:tcBorders>
          </w:tcPr>
          <w:p>
            <w:pPr>
              <w:pStyle w:val="4069"/>
              <w:keepNext w:val="0"/>
              <w:keepLines w:val="0"/>
              <w:suppressLineNumbers w:val="0"/>
              <w:spacing w:beforeAutospacing="0" w:afterAutospacing="0" w:line="240" w:lineRule="exact"/>
              <w:ind w:left="11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《危险废物贮存污染控制标准》（</w:t>
            </w:r>
            <w:r>
              <w:rPr>
                <w:rFonts w:ascii="Times New Roman" w:eastAsia="Times New Roman"/>
                <w:color w:val="000000" w:themeColor="text1"/>
                <w:kern w:val="2"/>
                <w:sz w:val="21"/>
                <w14:textFill>
                  <w14:solidFill>
                    <w14:schemeClr w14:val="tx1"/>
                  </w14:solidFill>
                </w14:textFill>
              </w:rPr>
              <w:t>GB 18597-2001</w:t>
            </w:r>
            <w:r>
              <w:rPr>
                <w:color w:val="000000" w:themeColor="text1"/>
                <w:kern w:val="2"/>
                <w:sz w:val="21"/>
                <w14:textFill>
                  <w14:solidFill>
                    <w14:schemeClr w14:val="tx1"/>
                  </w14:solidFill>
                </w14:textFill>
              </w:rPr>
              <w:t xml:space="preserve">）及 </w:t>
            </w:r>
            <w:r>
              <w:rPr>
                <w:rFonts w:ascii="Times New Roman" w:eastAsia="Times New Roman"/>
                <w:color w:val="000000" w:themeColor="text1"/>
                <w:kern w:val="2"/>
                <w:sz w:val="21"/>
                <w14:textFill>
                  <w14:solidFill>
                    <w14:schemeClr w14:val="tx1"/>
                  </w14:solidFill>
                </w14:textFill>
              </w:rPr>
              <w:t xml:space="preserve">2013 </w:t>
            </w:r>
            <w:r>
              <w:rPr>
                <w:color w:val="000000" w:themeColor="text1"/>
                <w:kern w:val="2"/>
                <w:sz w:val="21"/>
                <w14:textFill>
                  <w14:solidFill>
                    <w14:schemeClr w14:val="tx1"/>
                  </w14:solidFill>
                </w14:textFill>
              </w:rPr>
              <w:t>年修改单</w:t>
            </w:r>
          </w:p>
        </w:tc>
      </w:tr>
    </w:tbl>
    <w:p>
      <w:pPr>
        <w:adjustRightInd w:val="0"/>
        <w:snapToGrid w:val="0"/>
        <w:spacing w:line="360" w:lineRule="auto"/>
        <w:ind w:firstLine="361" w:firstLineChars="200"/>
        <w:jc w:val="left"/>
        <w:rPr>
          <w:rFonts w:hint="eastAsia" w:eastAsia="宋体"/>
          <w:sz w:val="24"/>
          <w:lang w:eastAsia="zh-CN"/>
        </w:rPr>
      </w:pPr>
      <w:r>
        <w:rPr>
          <w:rFonts w:hint="eastAsia" w:eastAsia="宋体"/>
          <w:b/>
          <w:bCs/>
          <w:sz w:val="18"/>
          <w:szCs w:val="18"/>
          <w:lang w:eastAsia="zh-CN"/>
        </w:rPr>
        <w:t>注：由于《贵州省环境污染物排放标准》（DB52/864-2013）表 4 中二级及无组织排放标准中 H</w:t>
      </w:r>
      <w:r>
        <w:rPr>
          <w:rFonts w:hint="eastAsia" w:eastAsia="宋体"/>
          <w:b/>
          <w:bCs/>
          <w:sz w:val="18"/>
          <w:szCs w:val="18"/>
          <w:vertAlign w:val="subscript"/>
          <w:lang w:eastAsia="zh-CN"/>
        </w:rPr>
        <w:t>2</w:t>
      </w:r>
      <w:r>
        <w:rPr>
          <w:rFonts w:hint="eastAsia" w:eastAsia="宋体"/>
          <w:b/>
          <w:bCs/>
          <w:sz w:val="18"/>
          <w:szCs w:val="18"/>
          <w:lang w:eastAsia="zh-CN"/>
        </w:rPr>
        <w:t>S、NH</w:t>
      </w:r>
      <w:r>
        <w:rPr>
          <w:rFonts w:hint="eastAsia" w:eastAsia="宋体"/>
          <w:b/>
          <w:bCs/>
          <w:sz w:val="18"/>
          <w:szCs w:val="18"/>
          <w:vertAlign w:val="subscript"/>
          <w:lang w:eastAsia="zh-CN"/>
        </w:rPr>
        <w:t>3</w:t>
      </w:r>
      <w:r>
        <w:rPr>
          <w:rFonts w:hint="eastAsia" w:eastAsia="宋体"/>
          <w:b/>
          <w:bCs/>
          <w:sz w:val="18"/>
          <w:szCs w:val="18"/>
          <w:lang w:eastAsia="zh-CN"/>
        </w:rPr>
        <w:t xml:space="preserve"> 污染物排放标准严于《恶臭污染物排放标准》（GB14554-93）表 1 表 2 二级标准，因此项目产生H</w:t>
      </w:r>
      <w:r>
        <w:rPr>
          <w:rFonts w:hint="eastAsia" w:eastAsia="宋体"/>
          <w:b/>
          <w:bCs/>
          <w:sz w:val="18"/>
          <w:szCs w:val="18"/>
          <w:vertAlign w:val="subscript"/>
          <w:lang w:eastAsia="zh-CN"/>
        </w:rPr>
        <w:t>2</w:t>
      </w:r>
      <w:r>
        <w:rPr>
          <w:rFonts w:hint="eastAsia" w:eastAsia="宋体"/>
          <w:b/>
          <w:bCs/>
          <w:sz w:val="18"/>
          <w:szCs w:val="18"/>
          <w:lang w:eastAsia="zh-CN"/>
        </w:rPr>
        <w:t>S、NH</w:t>
      </w:r>
      <w:r>
        <w:rPr>
          <w:rFonts w:hint="eastAsia" w:eastAsia="宋体"/>
          <w:b/>
          <w:bCs/>
          <w:sz w:val="18"/>
          <w:szCs w:val="18"/>
          <w:vertAlign w:val="subscript"/>
          <w:lang w:eastAsia="zh-CN"/>
        </w:rPr>
        <w:t>3</w:t>
      </w:r>
      <w:r>
        <w:rPr>
          <w:rFonts w:hint="eastAsia" w:eastAsia="宋体"/>
          <w:b/>
          <w:bCs/>
          <w:sz w:val="18"/>
          <w:szCs w:val="18"/>
          <w:lang w:eastAsia="zh-CN"/>
        </w:rPr>
        <w:t xml:space="preserve"> 执行《贵州省环境污染物排放标准》（DB52/864-2013）表 4 中二级及无组织排放标准，臭气浓度执行《恶臭污染物排放标准》（GB14554-93）表 1 表 2 二级标准具体规定。</w:t>
      </w:r>
    </w:p>
    <w:p>
      <w:pPr>
        <w:pStyle w:val="5"/>
        <w:spacing w:before="120" w:after="120"/>
        <w:rPr>
          <w:highlight w:val="none"/>
        </w:rPr>
      </w:pPr>
      <w:bookmarkStart w:id="92" w:name="_Toc2760"/>
      <w:r>
        <w:rPr>
          <w:highlight w:val="none"/>
        </w:rPr>
        <w:t>评价等级</w:t>
      </w:r>
      <w:bookmarkEnd w:id="82"/>
      <w:bookmarkEnd w:id="83"/>
      <w:bookmarkEnd w:id="84"/>
      <w:bookmarkEnd w:id="85"/>
      <w:r>
        <w:rPr>
          <w:rFonts w:hint="eastAsia"/>
          <w:highlight w:val="none"/>
          <w:lang w:eastAsia="zh-CN"/>
        </w:rPr>
        <w:t>及评价范围确定</w:t>
      </w:r>
      <w:bookmarkEnd w:id="92"/>
    </w:p>
    <w:p>
      <w:pPr>
        <w:pStyle w:val="6"/>
        <w:rPr>
          <w:highlight w:val="none"/>
        </w:rPr>
      </w:pPr>
      <w:bookmarkStart w:id="93" w:name="_Toc248308493"/>
      <w:bookmarkStart w:id="94" w:name="_Toc88903326"/>
      <w:bookmarkStart w:id="95" w:name="_Toc31362"/>
      <w:r>
        <w:rPr>
          <w:highlight w:val="none"/>
        </w:rPr>
        <w:t>地表水环境评价工作等级</w:t>
      </w:r>
      <w:bookmarkEnd w:id="93"/>
      <w:bookmarkEnd w:id="94"/>
      <w:bookmarkEnd w:id="95"/>
    </w:p>
    <w:p>
      <w:pPr>
        <w:pStyle w:val="1192"/>
        <w:ind w:firstLine="480"/>
      </w:pPr>
      <w:r>
        <w:rPr>
          <w:rFonts w:hint="default" w:ascii="Times New Roman" w:hAnsi="Times New Roman" w:cs="Times New Roman"/>
          <w:sz w:val="24"/>
          <w:highlight w:val="none"/>
          <w:u w:val="none"/>
        </w:rPr>
        <w:t>根据《环境影响评价技术导则 地</w:t>
      </w:r>
      <w:r>
        <w:rPr>
          <w:rFonts w:hint="default" w:ascii="Times New Roman" w:hAnsi="Times New Roman" w:cs="Times New Roman"/>
          <w:sz w:val="24"/>
          <w:highlight w:val="none"/>
          <w:u w:val="none"/>
          <w:lang w:eastAsia="zh-CN"/>
        </w:rPr>
        <w:t>表</w:t>
      </w:r>
      <w:r>
        <w:rPr>
          <w:rFonts w:hint="default" w:ascii="Times New Roman" w:hAnsi="Times New Roman" w:cs="Times New Roman"/>
          <w:sz w:val="24"/>
          <w:highlight w:val="none"/>
          <w:u w:val="none"/>
        </w:rPr>
        <w:t>水环境》（HJ2.3-2018）规定，水环境影响评价等级判据见表</w:t>
      </w:r>
      <w:r>
        <w:rPr>
          <w:rFonts w:hint="eastAsia" w:ascii="Times New Roman" w:hAnsi="Times New Roman" w:cs="Times New Roman"/>
          <w:sz w:val="24"/>
          <w:highlight w:val="none"/>
          <w:u w:val="none"/>
          <w:lang w:val="en-US" w:eastAsia="zh-CN"/>
        </w:rPr>
        <w:t>2.3</w:t>
      </w:r>
      <w:r>
        <w:rPr>
          <w:rFonts w:hint="default" w:ascii="Times New Roman" w:hAnsi="Times New Roman" w:cs="Times New Roman"/>
          <w:sz w:val="24"/>
          <w:highlight w:val="none"/>
          <w:u w:val="none"/>
        </w:rPr>
        <w:t>-1。</w:t>
      </w:r>
      <w:r>
        <w:rPr>
          <w:rFonts w:hint="eastAsia"/>
          <w:color w:val="auto"/>
          <w:kern w:val="0"/>
          <w:sz w:val="24"/>
          <w:lang w:eastAsia="zh-CN"/>
        </w:rPr>
        <w:t>本项目排水包括职工生活污水、食堂废水、肉牛屠宰废水、车辆清洗污水、道路场地清洗污水以及不可预见污水，厂区内实行“清污分流”及“雨污分流”原则。污水经处理达到GB13457-92表 3 中一级标准后排入万屯污水处理厂，最终汇入马岭河。项目废水为间接排放，</w:t>
      </w:r>
      <w:r>
        <w:rPr>
          <w:highlight w:val="none"/>
        </w:rPr>
        <w:t>根据《环境影响评价技术导则-地</w:t>
      </w:r>
      <w:r>
        <w:rPr>
          <w:rFonts w:hint="eastAsia"/>
          <w:highlight w:val="none"/>
          <w:lang w:val="en-US" w:eastAsia="zh-CN"/>
        </w:rPr>
        <w:t>表</w:t>
      </w:r>
      <w:r>
        <w:rPr>
          <w:highlight w:val="none"/>
        </w:rPr>
        <w:t>水环境》(HJ</w:t>
      </w:r>
      <w:r>
        <w:rPr>
          <w:rFonts w:hint="eastAsia"/>
          <w:highlight w:val="none"/>
          <w:lang w:val="en-US" w:eastAsia="zh-CN"/>
        </w:rPr>
        <w:t xml:space="preserve"> </w:t>
      </w:r>
      <w:r>
        <w:rPr>
          <w:highlight w:val="none"/>
        </w:rPr>
        <w:t>2.3-</w:t>
      </w:r>
      <w:r>
        <w:rPr>
          <w:rFonts w:hint="eastAsia"/>
          <w:highlight w:val="none"/>
          <w:lang w:val="en-US" w:eastAsia="zh-CN"/>
        </w:rPr>
        <w:t>2018</w:t>
      </w:r>
      <w:r>
        <w:rPr>
          <w:highlight w:val="none"/>
        </w:rPr>
        <w:t>)的要求，</w:t>
      </w:r>
      <w:r>
        <w:rPr>
          <w:rFonts w:hint="eastAsia"/>
          <w:sz w:val="24"/>
        </w:rPr>
        <w:t>间接排放建设项目评级等级为三级B，</w:t>
      </w:r>
      <w:r>
        <w:rPr>
          <w:rFonts w:hint="eastAsia"/>
          <w:sz w:val="24"/>
          <w:lang w:val="en-US" w:eastAsia="zh-CN"/>
        </w:rPr>
        <w:t>因此，</w:t>
      </w:r>
      <w:r>
        <w:rPr>
          <w:rFonts w:hint="eastAsia"/>
          <w:sz w:val="24"/>
        </w:rPr>
        <w:t>本项目地表水环境影响评价等级定为三级B，</w:t>
      </w:r>
      <w:r>
        <w:rPr>
          <w:rFonts w:hint="eastAsia"/>
          <w:sz w:val="24"/>
          <w:lang w:eastAsia="zh-CN"/>
        </w:rPr>
        <w:t>分析</w:t>
      </w:r>
      <w:r>
        <w:rPr>
          <w:rFonts w:hint="eastAsia"/>
          <w:sz w:val="24"/>
        </w:rPr>
        <w:t>本项目废水接管</w:t>
      </w:r>
      <w:r>
        <w:rPr>
          <w:rFonts w:hint="eastAsia"/>
          <w:sz w:val="24"/>
          <w:lang w:val="en-US" w:eastAsia="zh-CN"/>
        </w:rPr>
        <w:t>万屯</w:t>
      </w:r>
      <w:r>
        <w:rPr>
          <w:rFonts w:hint="eastAsia"/>
          <w:sz w:val="24"/>
        </w:rPr>
        <w:t>污水处理厂的可行性</w:t>
      </w:r>
      <w: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sz w:val="21"/>
          <w:szCs w:val="21"/>
          <w:highlight w:val="none"/>
          <w:u w:val="none"/>
        </w:rPr>
      </w:pPr>
      <w:r>
        <w:rPr>
          <w:rFonts w:hint="default" w:ascii="Times New Roman" w:hAnsi="Times New Roman" w:cs="Times New Roman"/>
          <w:b/>
          <w:sz w:val="21"/>
          <w:szCs w:val="21"/>
          <w:highlight w:val="none"/>
          <w:u w:val="none"/>
        </w:rPr>
        <w:t>表</w:t>
      </w:r>
      <w:r>
        <w:rPr>
          <w:rFonts w:hint="eastAsia" w:ascii="Times New Roman" w:hAnsi="Times New Roman" w:cs="Times New Roman"/>
          <w:b/>
          <w:sz w:val="21"/>
          <w:szCs w:val="21"/>
          <w:highlight w:val="none"/>
          <w:u w:val="none"/>
          <w:lang w:val="en-US" w:eastAsia="zh-CN"/>
        </w:rPr>
        <w:t>2.3</w:t>
      </w:r>
      <w:r>
        <w:rPr>
          <w:rFonts w:hint="default" w:ascii="Times New Roman" w:hAnsi="Times New Roman" w:cs="Times New Roman"/>
          <w:b/>
          <w:sz w:val="21"/>
          <w:szCs w:val="21"/>
          <w:highlight w:val="none"/>
          <w:u w:val="none"/>
        </w:rPr>
        <w:t>-1  水环境影响评价等级判据</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49"/>
        <w:gridCol w:w="4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评价等级</w:t>
            </w:r>
          </w:p>
        </w:tc>
        <w:tc>
          <w:tcPr>
            <w:tcW w:w="612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p>
        </w:tc>
        <w:tc>
          <w:tcPr>
            <w:tcW w:w="1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排放方式</w:t>
            </w:r>
          </w:p>
        </w:tc>
        <w:tc>
          <w:tcPr>
            <w:tcW w:w="4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废水排放量Q/（m</w:t>
            </w:r>
            <w:r>
              <w:rPr>
                <w:rFonts w:hint="default" w:ascii="Times New Roman" w:hAnsi="Times New Roman" w:cs="Times New Roman"/>
                <w:sz w:val="21"/>
                <w:szCs w:val="21"/>
                <w:highlight w:val="none"/>
                <w:u w:val="none"/>
                <w:vertAlign w:val="superscript"/>
              </w:rPr>
              <w:t>3</w:t>
            </w:r>
            <w:r>
              <w:rPr>
                <w:rFonts w:hint="default" w:ascii="Times New Roman" w:hAnsi="Times New Roman" w:cs="Times New Roman"/>
                <w:sz w:val="21"/>
                <w:szCs w:val="21"/>
                <w:highlight w:val="none"/>
                <w:u w:val="none"/>
              </w:rPr>
              <w:t>/d）；</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一级</w:t>
            </w:r>
          </w:p>
        </w:tc>
        <w:tc>
          <w:tcPr>
            <w:tcW w:w="1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直接排放</w:t>
            </w:r>
          </w:p>
        </w:tc>
        <w:tc>
          <w:tcPr>
            <w:tcW w:w="4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二级</w:t>
            </w:r>
          </w:p>
        </w:tc>
        <w:tc>
          <w:tcPr>
            <w:tcW w:w="1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直接排放</w:t>
            </w:r>
          </w:p>
        </w:tc>
        <w:tc>
          <w:tcPr>
            <w:tcW w:w="4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三级A</w:t>
            </w:r>
          </w:p>
        </w:tc>
        <w:tc>
          <w:tcPr>
            <w:tcW w:w="1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直接排放</w:t>
            </w:r>
          </w:p>
        </w:tc>
        <w:tc>
          <w:tcPr>
            <w:tcW w:w="4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Q&lt;200且W&lt;6000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shd w:val="clear" w:color="FFFFFF" w:fill="D9D9D9"/>
              </w:rPr>
            </w:pPr>
            <w:r>
              <w:rPr>
                <w:rFonts w:hint="default" w:ascii="Times New Roman" w:hAnsi="Times New Roman" w:cs="Times New Roman"/>
                <w:sz w:val="21"/>
                <w:szCs w:val="21"/>
                <w:highlight w:val="none"/>
                <w:u w:val="none"/>
                <w:shd w:val="clear" w:color="FFFFFF" w:fill="D9D9D9"/>
              </w:rPr>
              <w:t>三级B</w:t>
            </w:r>
          </w:p>
        </w:tc>
        <w:tc>
          <w:tcPr>
            <w:tcW w:w="194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shd w:val="clear" w:color="FFFFFF" w:fill="D9D9D9"/>
              </w:rPr>
            </w:pPr>
            <w:r>
              <w:rPr>
                <w:rFonts w:hint="default" w:ascii="Times New Roman" w:hAnsi="Times New Roman" w:cs="Times New Roman"/>
                <w:sz w:val="21"/>
                <w:szCs w:val="21"/>
                <w:highlight w:val="none"/>
                <w:u w:val="none"/>
                <w:shd w:val="clear" w:color="FFFFFF" w:fill="D9D9D9"/>
              </w:rPr>
              <w:t>间接排放</w:t>
            </w:r>
          </w:p>
        </w:tc>
        <w:tc>
          <w:tcPr>
            <w:tcW w:w="418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w:t>
            </w:r>
          </w:p>
        </w:tc>
      </w:tr>
    </w:tbl>
    <w:p>
      <w:pPr>
        <w:pStyle w:val="1192"/>
        <w:ind w:firstLine="480"/>
      </w:pPr>
    </w:p>
    <w:p>
      <w:pPr>
        <w:pStyle w:val="6"/>
        <w:rPr>
          <w:highlight w:val="none"/>
        </w:rPr>
      </w:pPr>
      <w:bookmarkStart w:id="96" w:name="_Toc248308495"/>
      <w:bookmarkStart w:id="97" w:name="_Toc88903328"/>
      <w:bookmarkStart w:id="98" w:name="_Toc22056"/>
      <w:r>
        <w:rPr>
          <w:highlight w:val="none"/>
        </w:rPr>
        <w:t>环境空气评价工作等级</w:t>
      </w:r>
      <w:bookmarkEnd w:id="96"/>
      <w:bookmarkEnd w:id="97"/>
      <w:bookmarkEnd w:id="98"/>
    </w:p>
    <w:p>
      <w:pPr>
        <w:spacing w:line="360" w:lineRule="auto"/>
        <w:ind w:firstLine="480" w:firstLineChars="200"/>
        <w:rPr>
          <w:rFonts w:hint="default" w:ascii="Times New Roman" w:hAnsi="Times New Roman" w:cs="Times New Roman"/>
          <w:sz w:val="24"/>
          <w:szCs w:val="28"/>
          <w:highlight w:val="none"/>
        </w:rPr>
      </w:pPr>
      <w:r>
        <w:rPr>
          <w:rFonts w:hint="default" w:ascii="Times New Roman" w:hAnsi="Times New Roman" w:cs="Times New Roman"/>
          <w:sz w:val="24"/>
          <w:szCs w:val="28"/>
          <w:highlight w:val="none"/>
        </w:rPr>
        <w:t>根据《环境影响评价技术导则 大气环境》（HJ2.2-2018），大气环境评价工作等级划分依据是结合污染源正常排放的主要污染物及排放参数，采用附录A推荐模型中估算模型分别计算项目污染源的最大环境影响，然后按评价工作分级判据进行分级。</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依据《环境影响评价技术导则大气环境》(HJ2.2-20</w:t>
      </w:r>
      <w:r>
        <w:rPr>
          <w:rFonts w:hint="default" w:ascii="Times New Roman" w:hAnsi="Times New Roman" w:cs="Times New Roman"/>
          <w:sz w:val="24"/>
          <w:lang w:val="en-US" w:eastAsia="zh-CN"/>
        </w:rPr>
        <w:t>1</w:t>
      </w:r>
      <w:r>
        <w:rPr>
          <w:rFonts w:hint="default" w:ascii="Times New Roman" w:hAnsi="Times New Roman" w:cs="Times New Roman"/>
          <w:sz w:val="24"/>
        </w:rPr>
        <w:t>8)中最大地面浓度占标率Pi定义如下：</w:t>
      </w:r>
    </w:p>
    <w:p>
      <w:pPr>
        <w:spacing w:line="360" w:lineRule="auto"/>
        <w:jc w:val="center"/>
        <w:rPr>
          <w:rFonts w:hint="default" w:ascii="Times New Roman" w:hAnsi="Times New Roman" w:cs="Times New Roman"/>
          <w:sz w:val="24"/>
          <w:szCs w:val="28"/>
          <w:highlight w:val="none"/>
        </w:rPr>
      </w:pPr>
      <w:r>
        <w:rPr>
          <w:rFonts w:hint="default" w:ascii="Times New Roman" w:hAnsi="Times New Roman" w:cs="Times New Roman"/>
          <w:position w:val="-30"/>
          <w:sz w:val="24"/>
          <w:highlight w:val="none"/>
        </w:rPr>
        <w:object>
          <v:shape id="_x0000_i1025" o:spt="75" type="#_x0000_t75" style="height:34pt;width:80pt;" o:ole="t" filled="f" o:preferrelative="t" stroked="f" coordsize="21600,21600">
            <v:path/>
            <v:fill on="f" alignshape="1"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pPr>
        <w:spacing w:line="480" w:lineRule="exact"/>
        <w:ind w:firstLine="480" w:firstLineChars="200"/>
        <w:rPr>
          <w:rFonts w:hint="default" w:ascii="Times New Roman" w:hAnsi="Times New Roman" w:cs="Times New Roman"/>
          <w:sz w:val="24"/>
          <w:szCs w:val="28"/>
          <w:highlight w:val="none"/>
        </w:rPr>
      </w:pPr>
      <w:r>
        <w:rPr>
          <w:rFonts w:hint="default" w:ascii="Times New Roman" w:hAnsi="Times New Roman" w:cs="Times New Roman"/>
          <w:sz w:val="24"/>
          <w:szCs w:val="28"/>
          <w:highlight w:val="none"/>
        </w:rPr>
        <w:t>式中： P</w:t>
      </w:r>
      <w:r>
        <w:rPr>
          <w:rFonts w:hint="default" w:ascii="Times New Roman" w:hAnsi="Times New Roman" w:cs="Times New Roman"/>
          <w:sz w:val="24"/>
          <w:szCs w:val="28"/>
          <w:highlight w:val="none"/>
          <w:vertAlign w:val="subscript"/>
        </w:rPr>
        <w:t>i</w:t>
      </w:r>
      <w:r>
        <w:rPr>
          <w:rFonts w:hint="default" w:ascii="Times New Roman" w:hAnsi="Times New Roman" w:cs="Times New Roman"/>
          <w:sz w:val="24"/>
          <w:szCs w:val="28"/>
          <w:highlight w:val="none"/>
        </w:rPr>
        <w:t>——第i个污染物的最大地面空气质量浓度占标率，%；</w:t>
      </w:r>
    </w:p>
    <w:p>
      <w:pPr>
        <w:spacing w:line="480" w:lineRule="exact"/>
        <w:ind w:firstLine="1320" w:firstLineChars="550"/>
        <w:rPr>
          <w:rFonts w:hint="default" w:ascii="Times New Roman" w:hAnsi="Times New Roman" w:cs="Times New Roman"/>
          <w:sz w:val="24"/>
          <w:szCs w:val="28"/>
          <w:highlight w:val="none"/>
        </w:rPr>
      </w:pPr>
      <w:r>
        <w:rPr>
          <w:rFonts w:hint="default" w:ascii="Times New Roman" w:hAnsi="Times New Roman" w:cs="Times New Roman"/>
          <w:sz w:val="24"/>
          <w:szCs w:val="28"/>
          <w:highlight w:val="none"/>
        </w:rPr>
        <w:t>C</w:t>
      </w:r>
      <w:r>
        <w:rPr>
          <w:rFonts w:hint="default" w:ascii="Times New Roman" w:hAnsi="Times New Roman" w:cs="Times New Roman"/>
          <w:sz w:val="24"/>
          <w:szCs w:val="28"/>
          <w:highlight w:val="none"/>
          <w:vertAlign w:val="subscript"/>
        </w:rPr>
        <w:t>i</w:t>
      </w:r>
      <w:r>
        <w:rPr>
          <w:rFonts w:hint="default" w:ascii="Times New Roman" w:hAnsi="Times New Roman" w:cs="Times New Roman"/>
          <w:sz w:val="24"/>
          <w:szCs w:val="28"/>
          <w:highlight w:val="none"/>
        </w:rPr>
        <w:t>——采用估算模式计算出的第i个污染物的最大1h地面空气质量浓度，</w:t>
      </w:r>
      <w:r>
        <w:rPr>
          <w:rFonts w:hint="default" w:ascii="Times New Roman" w:hAnsi="Times New Roman" w:cs="Times New Roman"/>
          <w:szCs w:val="21"/>
          <w:highlight w:val="none"/>
        </w:rPr>
        <w:t>μ</w:t>
      </w:r>
      <w:r>
        <w:rPr>
          <w:rFonts w:hint="default" w:ascii="Times New Roman" w:hAnsi="Times New Roman" w:cs="Times New Roman"/>
          <w:sz w:val="24"/>
          <w:szCs w:val="28"/>
          <w:highlight w:val="none"/>
        </w:rPr>
        <w:t>g/m</w:t>
      </w:r>
      <w:r>
        <w:rPr>
          <w:rFonts w:hint="default" w:ascii="Times New Roman" w:hAnsi="Times New Roman" w:cs="Times New Roman"/>
          <w:sz w:val="24"/>
          <w:szCs w:val="28"/>
          <w:highlight w:val="none"/>
          <w:vertAlign w:val="superscript"/>
        </w:rPr>
        <w:t>3</w:t>
      </w:r>
      <w:r>
        <w:rPr>
          <w:rFonts w:hint="default" w:ascii="Times New Roman" w:hAnsi="Times New Roman" w:cs="Times New Roman"/>
          <w:sz w:val="24"/>
          <w:szCs w:val="28"/>
          <w:highlight w:val="none"/>
        </w:rPr>
        <w:t>；</w:t>
      </w:r>
    </w:p>
    <w:p>
      <w:pPr>
        <w:spacing w:line="480" w:lineRule="exact"/>
        <w:ind w:firstLine="1320" w:firstLineChars="550"/>
        <w:rPr>
          <w:rFonts w:hint="default" w:ascii="Times New Roman" w:hAnsi="Times New Roman" w:cs="Times New Roman"/>
          <w:sz w:val="24"/>
          <w:szCs w:val="28"/>
          <w:highlight w:val="none"/>
        </w:rPr>
      </w:pPr>
      <w:r>
        <w:rPr>
          <w:rFonts w:hint="default" w:ascii="Times New Roman" w:hAnsi="Times New Roman" w:cs="Times New Roman"/>
          <w:sz w:val="24"/>
          <w:szCs w:val="28"/>
          <w:highlight w:val="none"/>
        </w:rPr>
        <w:t>C</w:t>
      </w:r>
      <w:r>
        <w:rPr>
          <w:rFonts w:hint="default" w:ascii="Times New Roman" w:hAnsi="Times New Roman" w:cs="Times New Roman"/>
          <w:sz w:val="24"/>
          <w:szCs w:val="28"/>
          <w:highlight w:val="none"/>
          <w:vertAlign w:val="subscript"/>
        </w:rPr>
        <w:t>oi</w:t>
      </w:r>
      <w:r>
        <w:rPr>
          <w:rFonts w:hint="default" w:ascii="Times New Roman" w:hAnsi="Times New Roman" w:cs="Times New Roman"/>
          <w:sz w:val="24"/>
          <w:szCs w:val="28"/>
          <w:highlight w:val="none"/>
        </w:rPr>
        <w:t>——第i个污染物的环境空气质量浓度标准，</w:t>
      </w:r>
      <w:r>
        <w:rPr>
          <w:rFonts w:hint="default" w:ascii="Times New Roman" w:hAnsi="Times New Roman" w:cs="Times New Roman"/>
          <w:szCs w:val="21"/>
          <w:highlight w:val="none"/>
        </w:rPr>
        <w:t>μ</w:t>
      </w:r>
      <w:r>
        <w:rPr>
          <w:rFonts w:hint="default" w:ascii="Times New Roman" w:hAnsi="Times New Roman" w:cs="Times New Roman"/>
          <w:sz w:val="24"/>
          <w:szCs w:val="28"/>
          <w:highlight w:val="none"/>
        </w:rPr>
        <w:t>g/m</w:t>
      </w:r>
      <w:r>
        <w:rPr>
          <w:rFonts w:hint="default" w:ascii="Times New Roman" w:hAnsi="Times New Roman" w:cs="Times New Roman"/>
          <w:sz w:val="24"/>
          <w:szCs w:val="28"/>
          <w:highlight w:val="none"/>
          <w:vertAlign w:val="superscript"/>
        </w:rPr>
        <w:t>3</w:t>
      </w:r>
      <w:r>
        <w:rPr>
          <w:rFonts w:hint="default" w:ascii="Times New Roman" w:hAnsi="Times New Roman" w:cs="Times New Roman"/>
          <w:sz w:val="24"/>
          <w:szCs w:val="28"/>
          <w:highlight w:val="none"/>
        </w:rPr>
        <w:t>；</w:t>
      </w:r>
    </w:p>
    <w:p>
      <w:pPr>
        <w:spacing w:line="480" w:lineRule="exact"/>
        <w:ind w:firstLine="1320" w:firstLineChars="550"/>
        <w:rPr>
          <w:rFonts w:hint="default" w:ascii="Times New Roman" w:hAnsi="Times New Roman" w:cs="Times New Roman"/>
          <w:sz w:val="24"/>
          <w:szCs w:val="28"/>
          <w:highlight w:val="none"/>
        </w:rPr>
      </w:pPr>
      <w:r>
        <w:rPr>
          <w:rFonts w:hint="default" w:ascii="Times New Roman" w:hAnsi="Times New Roman" w:cs="Times New Roman"/>
          <w:sz w:val="24"/>
          <w:szCs w:val="28"/>
          <w:highlight w:val="none"/>
        </w:rPr>
        <w:t>C</w:t>
      </w:r>
      <w:r>
        <w:rPr>
          <w:rFonts w:hint="default" w:ascii="Times New Roman" w:hAnsi="Times New Roman" w:cs="Times New Roman"/>
          <w:sz w:val="24"/>
          <w:szCs w:val="28"/>
          <w:highlight w:val="none"/>
          <w:vertAlign w:val="subscript"/>
        </w:rPr>
        <w:t>oi</w:t>
      </w:r>
      <w:r>
        <w:rPr>
          <w:rFonts w:hint="default" w:ascii="Times New Roman" w:hAnsi="Times New Roman" w:cs="Times New Roman"/>
          <w:sz w:val="24"/>
          <w:szCs w:val="28"/>
          <w:highlight w:val="none"/>
        </w:rPr>
        <w:t>一般选用GB 3095中1 h 平均质量浓度的二级浓度限值，如项目位于一类环境空气功能区，应选择相应的一级浓度限值；对该标准中未包含的污染物，使用5.2 确定的各评价因子1 h 平均质量浓度限值。对仅有8 h 平均质量浓度限值、日平均质量浓度限值或年平均质量浓度限值的，可分别按2 倍、3 倍、6 倍折算为1h 平均质量浓度限值。评价工作等级分级依据见表</w:t>
      </w:r>
      <w:r>
        <w:rPr>
          <w:rFonts w:hint="eastAsia" w:ascii="Times New Roman" w:hAnsi="Times New Roman" w:cs="Times New Roman"/>
          <w:sz w:val="24"/>
          <w:szCs w:val="28"/>
          <w:highlight w:val="none"/>
          <w:lang w:val="en-US" w:eastAsia="zh-CN"/>
        </w:rPr>
        <w:t>2.3.2</w:t>
      </w:r>
      <w:r>
        <w:rPr>
          <w:rFonts w:hint="default" w:ascii="Times New Roman" w:hAnsi="Times New Roman" w:cs="Times New Roman"/>
          <w:sz w:val="24"/>
          <w:szCs w:val="28"/>
          <w:highlight w:val="none"/>
        </w:rPr>
        <w:t>。</w:t>
      </w:r>
    </w:p>
    <w:p>
      <w:pPr>
        <w:spacing w:before="77" w:after="38"/>
        <w:ind w:left="0" w:right="167" w:firstLine="0"/>
        <w:jc w:val="center"/>
        <w:rPr>
          <w:rFonts w:hint="default" w:ascii="Times New Roman" w:hAnsi="Times New Roman" w:eastAsia="宋体" w:cs="Times New Roman"/>
          <w:b/>
          <w:sz w:val="21"/>
        </w:rPr>
      </w:pPr>
      <w:r>
        <w:rPr>
          <w:rFonts w:hint="default" w:ascii="Times New Roman" w:hAnsi="Times New Roman" w:eastAsia="宋体" w:cs="Times New Roman"/>
          <w:b/>
          <w:sz w:val="21"/>
        </w:rPr>
        <w:t>表</w:t>
      </w:r>
      <w:r>
        <w:rPr>
          <w:rFonts w:hint="eastAsia" w:ascii="Times New Roman" w:hAnsi="Times New Roman" w:eastAsia="宋体" w:cs="Times New Roman"/>
          <w:b/>
          <w:sz w:val="21"/>
          <w:lang w:val="en-US" w:eastAsia="zh-CN"/>
        </w:rPr>
        <w:t>2.3</w:t>
      </w:r>
      <w:r>
        <w:rPr>
          <w:rFonts w:hint="default" w:ascii="Times New Roman" w:hAnsi="Times New Roman" w:eastAsia="宋体" w:cs="Times New Roman"/>
          <w:b/>
          <w:sz w:val="21"/>
          <w:lang w:val="en-US" w:eastAsia="zh-CN"/>
        </w:rPr>
        <w:t>-</w:t>
      </w:r>
      <w:r>
        <w:rPr>
          <w:rFonts w:hint="eastAsia" w:ascii="Times New Roman" w:hAnsi="Times New Roman" w:eastAsia="宋体" w:cs="Times New Roman"/>
          <w:b/>
          <w:sz w:val="21"/>
          <w:lang w:val="en-US" w:eastAsia="zh-CN"/>
        </w:rPr>
        <w:t>2</w:t>
      </w:r>
      <w:r>
        <w:rPr>
          <w:rFonts w:hint="default" w:ascii="Times New Roman" w:hAnsi="Times New Roman" w:eastAsia="宋体" w:cs="Times New Roman"/>
          <w:b/>
          <w:sz w:val="21"/>
        </w:rPr>
        <w:t xml:space="preserve">  评价等级判别表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2"/>
        <w:gridCol w:w="5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评价工作等级</w:t>
            </w:r>
          </w:p>
        </w:tc>
        <w:tc>
          <w:tcPr>
            <w:tcW w:w="5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一级评级</w:t>
            </w:r>
          </w:p>
        </w:tc>
        <w:tc>
          <w:tcPr>
            <w:tcW w:w="5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w:t>
            </w:r>
            <w:r>
              <w:rPr>
                <w:rFonts w:hint="default" w:ascii="Times New Roman" w:hAnsi="Times New Roman" w:cs="Times New Roman"/>
                <w:sz w:val="21"/>
                <w:szCs w:val="21"/>
                <w:highlight w:val="none"/>
                <w:vertAlign w:val="subscript"/>
              </w:rPr>
              <w:t>max</w:t>
            </w:r>
            <w:r>
              <w:rPr>
                <w:rFonts w:hint="default" w:ascii="Times New Roman" w:hAnsi="Times New Roman" w:cs="Times New Roman"/>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二级评价</w:t>
            </w:r>
          </w:p>
        </w:tc>
        <w:tc>
          <w:tcPr>
            <w:tcW w:w="5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1%≤P</w:t>
            </w:r>
            <w:r>
              <w:rPr>
                <w:rFonts w:hint="default" w:ascii="Times New Roman" w:hAnsi="Times New Roman" w:cs="Times New Roman"/>
                <w:sz w:val="21"/>
                <w:szCs w:val="21"/>
                <w:highlight w:val="none"/>
                <w:vertAlign w:val="subscript"/>
              </w:rPr>
              <w:t>max</w:t>
            </w:r>
            <w:r>
              <w:rPr>
                <w:rFonts w:hint="default" w:ascii="Times New Roman" w:hAnsi="Times New Roman" w:cs="Times New Roman"/>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三级评价</w:t>
            </w:r>
          </w:p>
        </w:tc>
        <w:tc>
          <w:tcPr>
            <w:tcW w:w="56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P</w:t>
            </w:r>
            <w:r>
              <w:rPr>
                <w:rFonts w:hint="default" w:ascii="Times New Roman" w:hAnsi="Times New Roman" w:cs="Times New Roman"/>
                <w:sz w:val="21"/>
                <w:szCs w:val="21"/>
                <w:highlight w:val="none"/>
                <w:vertAlign w:val="subscript"/>
              </w:rPr>
              <w:t>max</w:t>
            </w:r>
            <w:r>
              <w:rPr>
                <w:rFonts w:hint="default" w:ascii="Times New Roman" w:hAnsi="Times New Roman" w:cs="Times New Roman"/>
                <w:sz w:val="21"/>
                <w:szCs w:val="21"/>
                <w:highlight w:val="none"/>
              </w:rPr>
              <w:t>＜1%</w:t>
            </w:r>
          </w:p>
        </w:tc>
      </w:tr>
    </w:tbl>
    <w:p>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kern w:val="0"/>
          <w:sz w:val="24"/>
          <w:szCs w:val="22"/>
          <w:lang w:val="en-US" w:eastAsia="zh-CN" w:bidi="ar-SA"/>
        </w:rPr>
      </w:pPr>
      <w:r>
        <w:rPr>
          <w:rFonts w:hint="eastAsia" w:ascii="Times New Roman" w:hAnsi="Times New Roman" w:eastAsia="宋体" w:cs="Times New Roman"/>
          <w:color w:val="auto"/>
          <w:kern w:val="0"/>
          <w:sz w:val="24"/>
          <w:szCs w:val="22"/>
          <w:lang w:val="en-US" w:eastAsia="zh-CN" w:bidi="ar-SA"/>
        </w:rPr>
        <w:t>按工程分析结果，该项目营运后主要废气污染因子为屠宰区恶臭（H</w:t>
      </w:r>
      <w:r>
        <w:rPr>
          <w:rFonts w:hint="eastAsia" w:ascii="Times New Roman" w:hAnsi="Times New Roman" w:eastAsia="宋体" w:cs="Times New Roman"/>
          <w:color w:val="auto"/>
          <w:kern w:val="0"/>
          <w:sz w:val="24"/>
          <w:szCs w:val="22"/>
          <w:vertAlign w:val="subscript"/>
          <w:lang w:val="en-US" w:eastAsia="zh-CN" w:bidi="ar-SA"/>
        </w:rPr>
        <w:t>2</w:t>
      </w:r>
      <w:r>
        <w:rPr>
          <w:rFonts w:hint="eastAsia" w:ascii="Times New Roman" w:hAnsi="Times New Roman" w:eastAsia="宋体" w:cs="Times New Roman"/>
          <w:color w:val="auto"/>
          <w:kern w:val="0"/>
          <w:sz w:val="24"/>
          <w:szCs w:val="22"/>
          <w:lang w:val="en-US" w:eastAsia="zh-CN" w:bidi="ar-SA"/>
        </w:rPr>
        <w:t>S、NH</w:t>
      </w:r>
      <w:r>
        <w:rPr>
          <w:rFonts w:hint="eastAsia" w:ascii="Times New Roman" w:hAnsi="Times New Roman" w:eastAsia="宋体" w:cs="Times New Roman"/>
          <w:color w:val="auto"/>
          <w:kern w:val="0"/>
          <w:sz w:val="24"/>
          <w:szCs w:val="22"/>
          <w:vertAlign w:val="subscript"/>
          <w:lang w:val="en-US" w:eastAsia="zh-CN" w:bidi="ar-SA"/>
        </w:rPr>
        <w:t>3</w:t>
      </w:r>
      <w:r>
        <w:rPr>
          <w:rFonts w:hint="eastAsia" w:ascii="Times New Roman" w:hAnsi="Times New Roman" w:eastAsia="宋体" w:cs="Times New Roman"/>
          <w:color w:val="auto"/>
          <w:kern w:val="0"/>
          <w:sz w:val="24"/>
          <w:szCs w:val="22"/>
          <w:lang w:val="en-US" w:eastAsia="zh-CN" w:bidi="ar-SA"/>
        </w:rPr>
        <w:t>）、污水站恶臭因子（H</w:t>
      </w:r>
      <w:r>
        <w:rPr>
          <w:rFonts w:hint="eastAsia" w:ascii="Times New Roman" w:hAnsi="Times New Roman" w:eastAsia="宋体" w:cs="Times New Roman"/>
          <w:color w:val="auto"/>
          <w:kern w:val="0"/>
          <w:sz w:val="24"/>
          <w:szCs w:val="22"/>
          <w:vertAlign w:val="subscript"/>
          <w:lang w:val="en-US" w:eastAsia="zh-CN" w:bidi="ar-SA"/>
        </w:rPr>
        <w:t>2</w:t>
      </w:r>
      <w:r>
        <w:rPr>
          <w:rFonts w:hint="eastAsia" w:ascii="Times New Roman" w:hAnsi="Times New Roman" w:eastAsia="宋体" w:cs="Times New Roman"/>
          <w:color w:val="auto"/>
          <w:kern w:val="0"/>
          <w:sz w:val="24"/>
          <w:szCs w:val="22"/>
          <w:lang w:val="en-US" w:eastAsia="zh-CN" w:bidi="ar-SA"/>
        </w:rPr>
        <w:t>S、NH</w:t>
      </w:r>
      <w:r>
        <w:rPr>
          <w:rFonts w:hint="eastAsia" w:ascii="Times New Roman" w:hAnsi="Times New Roman" w:eastAsia="宋体" w:cs="Times New Roman"/>
          <w:color w:val="auto"/>
          <w:kern w:val="0"/>
          <w:sz w:val="24"/>
          <w:szCs w:val="22"/>
          <w:vertAlign w:val="subscript"/>
          <w:lang w:val="en-US" w:eastAsia="zh-CN" w:bidi="ar-SA"/>
        </w:rPr>
        <w:t>3</w:t>
      </w:r>
      <w:r>
        <w:rPr>
          <w:rFonts w:hint="eastAsia" w:ascii="Times New Roman" w:hAnsi="Times New Roman" w:eastAsia="宋体" w:cs="Times New Roman"/>
          <w:color w:val="auto"/>
          <w:kern w:val="0"/>
          <w:sz w:val="24"/>
          <w:szCs w:val="22"/>
          <w:lang w:val="en-US" w:eastAsia="zh-CN" w:bidi="ar-SA"/>
        </w:rPr>
        <w:t>）以及锅炉废气，根据污染物等标排放量确定大气评价等级的评价因子为有组织颗粒物，项目废气污染物达标排放量计算结果，项目污染因子 Pi 和 D10%计算结果见表 2.3-3。</w:t>
      </w:r>
    </w:p>
    <w:p>
      <w:pPr>
        <w:spacing w:before="77" w:after="38"/>
        <w:ind w:left="0" w:right="167" w:firstLine="0"/>
        <w:jc w:val="center"/>
        <w:rPr>
          <w:b/>
          <w:sz w:val="21"/>
        </w:rPr>
      </w:pPr>
      <w:r>
        <w:rPr>
          <w:b/>
          <w:sz w:val="21"/>
        </w:rPr>
        <w:t xml:space="preserve">表 </w:t>
      </w:r>
      <w:r>
        <w:rPr>
          <w:rFonts w:hint="eastAsia" w:ascii="Times New Roman" w:eastAsia="宋体"/>
          <w:b/>
          <w:sz w:val="21"/>
          <w:lang w:val="en-US" w:eastAsia="zh-CN"/>
        </w:rPr>
        <w:t>2.3-3</w:t>
      </w:r>
      <w:r>
        <w:rPr>
          <w:b/>
          <w:sz w:val="21"/>
        </w:rPr>
        <w:t>评价工作等级确定计算结果</w:t>
      </w:r>
    </w:p>
    <w:tbl>
      <w:tblPr>
        <w:tblStyle w:val="88"/>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50"/>
        <w:gridCol w:w="900"/>
        <w:gridCol w:w="1057"/>
        <w:gridCol w:w="1057"/>
        <w:gridCol w:w="1057"/>
        <w:gridCol w:w="1057"/>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Merge w:val="restart"/>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14"/>
              </w:rPr>
            </w:pPr>
          </w:p>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b/>
                <w:sz w:val="21"/>
              </w:rPr>
              <w:t>项目</w:t>
            </w:r>
          </w:p>
        </w:tc>
        <w:tc>
          <w:tcPr>
            <w:tcW w:w="900" w:type="dxa"/>
            <w:vMerge w:val="restart"/>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14"/>
              </w:rPr>
            </w:pPr>
          </w:p>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b/>
                <w:sz w:val="21"/>
              </w:rPr>
              <w:t>单位</w:t>
            </w:r>
          </w:p>
        </w:tc>
        <w:tc>
          <w:tcPr>
            <w:tcW w:w="5286" w:type="dxa"/>
            <w:gridSpan w:val="5"/>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b/>
                <w:sz w:val="21"/>
              </w:rPr>
              <w:t>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900"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
                <w:szCs w:val="2"/>
              </w:rPr>
            </w:pP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TSP</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13"/>
              </w:rPr>
            </w:pPr>
            <w:r>
              <w:rPr>
                <w:rFonts w:ascii="Times New Roman"/>
                <w:position w:val="2"/>
                <w:sz w:val="21"/>
              </w:rPr>
              <w:t>NH</w:t>
            </w:r>
            <w:r>
              <w:rPr>
                <w:rFonts w:ascii="Times New Roman"/>
                <w:sz w:val="13"/>
              </w:rPr>
              <w:t>3</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position w:val="2"/>
                <w:sz w:val="21"/>
              </w:rPr>
              <w:t>H</w:t>
            </w:r>
            <w:r>
              <w:rPr>
                <w:rFonts w:ascii="Times New Roman"/>
                <w:sz w:val="13"/>
              </w:rPr>
              <w:t>2</w:t>
            </w:r>
            <w:r>
              <w:rPr>
                <w:rFonts w:ascii="Times New Roman"/>
                <w:position w:val="2"/>
                <w:sz w:val="21"/>
              </w:rPr>
              <w:t>S</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13"/>
              </w:rPr>
            </w:pPr>
            <w:r>
              <w:rPr>
                <w:rFonts w:ascii="Times New Roman"/>
                <w:position w:val="2"/>
                <w:sz w:val="21"/>
              </w:rPr>
              <w:t>SO</w:t>
            </w:r>
            <w:r>
              <w:rPr>
                <w:rFonts w:ascii="Times New Roman"/>
                <w:sz w:val="13"/>
              </w:rPr>
              <w:t>2</w:t>
            </w:r>
          </w:p>
        </w:tc>
        <w:tc>
          <w:tcPr>
            <w:tcW w:w="1058"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14"/>
              </w:rPr>
            </w:pPr>
            <w:r>
              <w:rPr>
                <w:rFonts w:ascii="Times New Roman"/>
                <w:position w:val="2"/>
                <w:sz w:val="22"/>
              </w:rPr>
              <w:t>NO</w:t>
            </w:r>
            <w:r>
              <w:rPr>
                <w:rFonts w:ascii="Times New Roman"/>
                <w:sz w:val="1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b/>
                <w:sz w:val="21"/>
              </w:rPr>
              <w:t>环境标准</w:t>
            </w:r>
          </w:p>
        </w:tc>
        <w:tc>
          <w:tcPr>
            <w:tcW w:w="90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mg/m</w:t>
            </w:r>
            <w:r>
              <w:rPr>
                <w:rFonts w:ascii="Times New Roman"/>
                <w:sz w:val="21"/>
                <w:vertAlign w:val="superscript"/>
              </w:rPr>
              <w:t>3</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0.3</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0.2</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0.01</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0.5</w:t>
            </w:r>
          </w:p>
        </w:tc>
        <w:tc>
          <w:tcPr>
            <w:tcW w:w="1058"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b/>
                <w:position w:val="2"/>
                <w:sz w:val="21"/>
              </w:rPr>
              <w:t>最大地面浓度（</w:t>
            </w:r>
            <w:r>
              <w:rPr>
                <w:rFonts w:ascii="Times New Roman" w:eastAsia="Times New Roman"/>
                <w:b/>
                <w:position w:val="2"/>
                <w:sz w:val="21"/>
              </w:rPr>
              <w:t>Q</w:t>
            </w:r>
            <w:r>
              <w:rPr>
                <w:rFonts w:ascii="Times New Roman" w:eastAsia="Times New Roman"/>
                <w:b/>
                <w:sz w:val="13"/>
              </w:rPr>
              <w:t>i</w:t>
            </w:r>
            <w:r>
              <w:rPr>
                <w:b/>
                <w:position w:val="2"/>
                <w:sz w:val="21"/>
              </w:rPr>
              <w:t>）</w:t>
            </w:r>
          </w:p>
        </w:tc>
        <w:tc>
          <w:tcPr>
            <w:tcW w:w="90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13"/>
              </w:rPr>
            </w:pPr>
            <w:r>
              <w:rPr>
                <w:rFonts w:ascii="Times New Roman"/>
                <w:sz w:val="21"/>
              </w:rPr>
              <w:t>mg/m</w:t>
            </w:r>
            <w:r>
              <w:rPr>
                <w:rFonts w:ascii="Times New Roman"/>
                <w:position w:val="7"/>
                <w:sz w:val="13"/>
              </w:rPr>
              <w:t>3</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sz w:val="21"/>
                <w:lang w:val="en-US" w:eastAsia="zh-CN"/>
              </w:rPr>
            </w:pPr>
            <w:r>
              <w:rPr>
                <w:rFonts w:hint="eastAsia" w:ascii="Times New Roman"/>
                <w:sz w:val="21"/>
                <w:lang w:val="en-US" w:eastAsia="zh-CN"/>
              </w:rPr>
              <w:t>0.000565</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sz w:val="21"/>
                <w:lang w:val="en-US" w:eastAsia="zh-CN"/>
              </w:rPr>
            </w:pPr>
            <w:r>
              <w:rPr>
                <w:rFonts w:ascii="Times New Roman"/>
                <w:sz w:val="21"/>
              </w:rPr>
              <w:t>0.0</w:t>
            </w:r>
            <w:r>
              <w:rPr>
                <w:rFonts w:hint="eastAsia" w:ascii="Times New Roman"/>
                <w:sz w:val="21"/>
                <w:lang w:val="en-US" w:eastAsia="zh-CN"/>
              </w:rPr>
              <w:t>03499</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sz w:val="21"/>
                <w:lang w:val="en-US" w:eastAsia="zh-CN"/>
              </w:rPr>
            </w:pPr>
            <w:r>
              <w:rPr>
                <w:rFonts w:ascii="Times New Roman"/>
                <w:sz w:val="21"/>
              </w:rPr>
              <w:t>0.00</w:t>
            </w:r>
            <w:r>
              <w:rPr>
                <w:rFonts w:hint="eastAsia" w:ascii="Times New Roman"/>
                <w:sz w:val="21"/>
                <w:lang w:val="en-US" w:eastAsia="zh-CN"/>
              </w:rPr>
              <w:t>0212</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0.000782</w:t>
            </w:r>
          </w:p>
        </w:tc>
        <w:tc>
          <w:tcPr>
            <w:tcW w:w="1058"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0.00377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b/>
                <w:sz w:val="13"/>
              </w:rPr>
            </w:pPr>
            <w:r>
              <w:rPr>
                <w:b/>
                <w:sz w:val="21"/>
              </w:rPr>
              <w:t>最大地面浓度占标率</w:t>
            </w:r>
            <w:r>
              <w:rPr>
                <w:rFonts w:ascii="Times New Roman"/>
                <w:b/>
                <w:position w:val="2"/>
                <w:sz w:val="21"/>
              </w:rPr>
              <w:t>P</w:t>
            </w:r>
            <w:r>
              <w:rPr>
                <w:rFonts w:ascii="Times New Roman"/>
                <w:b/>
                <w:sz w:val="13"/>
              </w:rPr>
              <w:t>i</w:t>
            </w:r>
          </w:p>
        </w:tc>
        <w:tc>
          <w:tcPr>
            <w:tcW w:w="90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eastAsia" w:ascii="Times New Roman" w:eastAsia="宋体"/>
                <w:sz w:val="21"/>
                <w:lang w:eastAsia="zh-CN"/>
              </w:rPr>
            </w:pPr>
            <w:r>
              <w:rPr>
                <w:rFonts w:ascii="Times New Roman"/>
                <w:sz w:val="21"/>
              </w:rPr>
              <w:t>0.0</w:t>
            </w:r>
            <w:r>
              <w:rPr>
                <w:rFonts w:hint="eastAsia" w:ascii="Times New Roman"/>
                <w:sz w:val="21"/>
                <w:lang w:val="en-US" w:eastAsia="zh-CN"/>
              </w:rPr>
              <w:t>6</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sz w:val="21"/>
                <w:lang w:val="en-US" w:eastAsia="zh-CN"/>
              </w:rPr>
            </w:pPr>
            <w:r>
              <w:rPr>
                <w:rFonts w:hint="eastAsia" w:ascii="Times New Roman"/>
                <w:sz w:val="21"/>
                <w:lang w:val="en-US" w:eastAsia="zh-CN"/>
              </w:rPr>
              <w:t>1.75</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sz w:val="21"/>
                <w:lang w:val="en-US" w:eastAsia="zh-CN"/>
              </w:rPr>
            </w:pPr>
            <w:r>
              <w:rPr>
                <w:rFonts w:ascii="Times New Roman"/>
                <w:sz w:val="21"/>
              </w:rPr>
              <w:t>2.</w:t>
            </w:r>
            <w:r>
              <w:rPr>
                <w:rFonts w:hint="eastAsia" w:ascii="Times New Roman"/>
                <w:sz w:val="21"/>
                <w:lang w:val="en-US" w:eastAsia="zh-CN"/>
              </w:rPr>
              <w:t>12</w:t>
            </w:r>
          </w:p>
        </w:tc>
        <w:tc>
          <w:tcPr>
            <w:tcW w:w="1057"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0.15</w:t>
            </w:r>
          </w:p>
        </w:tc>
        <w:tc>
          <w:tcPr>
            <w:tcW w:w="1058"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b/>
                <w:sz w:val="13"/>
              </w:rPr>
            </w:pPr>
            <w:r>
              <w:rPr>
                <w:rFonts w:ascii="Times New Roman"/>
                <w:b/>
                <w:w w:val="105"/>
                <w:position w:val="2"/>
                <w:sz w:val="21"/>
              </w:rPr>
              <w:t>D</w:t>
            </w:r>
            <w:r>
              <w:rPr>
                <w:rFonts w:ascii="Times New Roman"/>
                <w:b/>
                <w:w w:val="105"/>
                <w:sz w:val="13"/>
              </w:rPr>
              <w:t>10%</w:t>
            </w:r>
          </w:p>
        </w:tc>
        <w:tc>
          <w:tcPr>
            <w:tcW w:w="6186" w:type="dxa"/>
            <w:gridSpan w:val="6"/>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sz w:val="21"/>
              </w:rPr>
            </w:pPr>
            <w:r>
              <w:rPr>
                <w:sz w:val="21"/>
              </w:rPr>
              <w:t>未出现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5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b/>
                <w:sz w:val="21"/>
              </w:rPr>
            </w:pPr>
            <w:r>
              <w:rPr>
                <w:b/>
                <w:sz w:val="21"/>
              </w:rPr>
              <w:t>占标率最大值</w:t>
            </w:r>
          </w:p>
        </w:tc>
        <w:tc>
          <w:tcPr>
            <w:tcW w:w="900" w:type="dxa"/>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sz w:val="21"/>
              </w:rPr>
            </w:pPr>
            <w:r>
              <w:rPr>
                <w:rFonts w:ascii="Times New Roman"/>
                <w:sz w:val="21"/>
              </w:rPr>
              <w:t>%</w:t>
            </w:r>
          </w:p>
        </w:tc>
        <w:tc>
          <w:tcPr>
            <w:tcW w:w="5286" w:type="dxa"/>
            <w:gridSpan w:val="5"/>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eastAsia="宋体"/>
                <w:sz w:val="21"/>
                <w:lang w:val="en-US" w:eastAsia="zh-CN"/>
              </w:rPr>
            </w:pPr>
            <w:r>
              <w:rPr>
                <w:rFonts w:hint="eastAsia" w:ascii="Times New Roman"/>
                <w:sz w:val="21"/>
                <w:lang w:val="en-US" w:eastAsia="zh-CN"/>
              </w:rPr>
              <w:t>2.12</w:t>
            </w:r>
          </w:p>
        </w:tc>
      </w:tr>
    </w:tbl>
    <w:p>
      <w:pPr>
        <w:spacing w:line="360" w:lineRule="auto"/>
        <w:ind w:firstLine="480" w:firstLineChars="200"/>
      </w:pPr>
      <w:r>
        <w:rPr>
          <w:rFonts w:ascii="Times New Roman" w:hAnsi="Times New Roman" w:eastAsia="宋体" w:cs="Times New Roman"/>
          <w:sz w:val="24"/>
        </w:rPr>
        <w:t>根据以上计算结果，按照工作等级分级判据进行划分，本项目各评价因子最大地面浓度占标率最大值为2.</w:t>
      </w:r>
      <w:r>
        <w:rPr>
          <w:rFonts w:hint="eastAsia" w:ascii="Times New Roman" w:hAnsi="Times New Roman" w:eastAsia="宋体" w:cs="Times New Roman"/>
          <w:sz w:val="24"/>
          <w:lang w:val="en-US" w:eastAsia="zh-CN"/>
        </w:rPr>
        <w:t>12</w:t>
      </w:r>
      <w:r>
        <w:rPr>
          <w:rFonts w:ascii="Times New Roman" w:hAnsi="Times New Roman" w:eastAsia="宋体" w:cs="Times New Roman"/>
          <w:sz w:val="24"/>
        </w:rPr>
        <w:t>%，本次评价等级确定为</w:t>
      </w:r>
      <w:r>
        <w:rPr>
          <w:rFonts w:hint="eastAsia" w:ascii="Times New Roman" w:hAnsi="Times New Roman" w:eastAsia="宋体" w:cs="Times New Roman"/>
          <w:sz w:val="24"/>
          <w:lang w:val="en-US" w:eastAsia="zh-CN"/>
        </w:rPr>
        <w:t>二</w:t>
      </w:r>
      <w:r>
        <w:rPr>
          <w:rFonts w:ascii="Times New Roman" w:hAnsi="Times New Roman" w:eastAsia="宋体" w:cs="Times New Roman"/>
          <w:sz w:val="24"/>
        </w:rPr>
        <w:t>级。</w:t>
      </w:r>
    </w:p>
    <w:p>
      <w:pPr>
        <w:pStyle w:val="6"/>
      </w:pPr>
      <w:bookmarkStart w:id="99" w:name="_Toc248308496"/>
      <w:bookmarkStart w:id="100" w:name="_Toc88903329"/>
      <w:bookmarkStart w:id="101" w:name="_Toc4135"/>
      <w:r>
        <w:t>噪声环境评价工作等级</w:t>
      </w:r>
      <w:bookmarkEnd w:id="99"/>
      <w:bookmarkEnd w:id="100"/>
      <w:bookmarkEnd w:id="101"/>
    </w:p>
    <w:p>
      <w:pPr>
        <w:spacing w:line="480" w:lineRule="exact"/>
        <w:ind w:firstLine="480" w:firstLineChars="200"/>
        <w:rPr>
          <w:rFonts w:hint="eastAsia" w:ascii="Times New Roman" w:hAnsi="Times New Roman" w:eastAsia="宋体" w:cs="Times New Roman"/>
          <w:sz w:val="24"/>
          <w:highlight w:val="none"/>
          <w:u w:val="none"/>
        </w:rPr>
      </w:pPr>
      <w:r>
        <w:rPr>
          <w:rFonts w:hint="eastAsia" w:ascii="Times New Roman" w:hAnsi="Times New Roman" w:eastAsia="宋体" w:cs="Times New Roman"/>
          <w:sz w:val="24"/>
          <w:highlight w:val="none"/>
          <w:u w:val="none"/>
        </w:rPr>
        <w:t>本项目所在区域内的声环境功能为《声环境质量标准》（GB3096-2008）中的 2 类区域，</w:t>
      </w:r>
      <w:r>
        <w:rPr>
          <w:rFonts w:hint="default" w:ascii="Times New Roman" w:hAnsi="Times New Roman" w:eastAsia="宋体" w:cs="Times New Roman"/>
          <w:sz w:val="24"/>
          <w:highlight w:val="none"/>
          <w:u w:val="none"/>
        </w:rPr>
        <w:t>噪声有影响范围内的人口分布及敏感目标少，通过采用低噪声设备，合理优化平面布置，设置消声、减震、隔声措施等降低噪声，声级无明显的增高</w:t>
      </w:r>
      <w:r>
        <w:rPr>
          <w:rFonts w:hint="eastAsia" w:ascii="Times New Roman" w:hAnsi="Times New Roman" w:eastAsia="宋体" w:cs="Times New Roman"/>
          <w:sz w:val="24"/>
          <w:highlight w:val="none"/>
          <w:u w:val="none"/>
          <w:lang w:eastAsia="zh-CN"/>
        </w:rPr>
        <w:t>，</w:t>
      </w:r>
      <w:r>
        <w:rPr>
          <w:rFonts w:hint="default" w:ascii="Times New Roman" w:hAnsi="Times New Roman" w:eastAsia="宋体" w:cs="Times New Roman"/>
          <w:sz w:val="24"/>
          <w:highlight w:val="none"/>
          <w:u w:val="none"/>
        </w:rPr>
        <w:t>建成前后噪声级增加小于3dB（A），且受影响人群变化较小</w:t>
      </w:r>
      <w:r>
        <w:rPr>
          <w:rFonts w:hint="eastAsia" w:ascii="Times New Roman" w:hAnsi="Times New Roman" w:eastAsia="宋体" w:cs="Times New Roman"/>
          <w:sz w:val="24"/>
          <w:highlight w:val="none"/>
          <w:u w:val="none"/>
          <w:lang w:eastAsia="zh-CN"/>
        </w:rPr>
        <w:t>，</w:t>
      </w:r>
      <w:r>
        <w:rPr>
          <w:rFonts w:hint="eastAsia" w:ascii="Times New Roman" w:hAnsi="Times New Roman" w:eastAsia="宋体" w:cs="Times New Roman"/>
          <w:sz w:val="24"/>
          <w:highlight w:val="none"/>
          <w:u w:val="none"/>
        </w:rPr>
        <w:t>根据《环境影响评价技术导则声环境》（</w:t>
      </w:r>
      <w:r>
        <w:rPr>
          <w:rFonts w:hint="default" w:ascii="Times New Roman" w:hAnsi="Times New Roman" w:eastAsia="宋体" w:cs="Times New Roman"/>
          <w:sz w:val="24"/>
          <w:highlight w:val="none"/>
          <w:u w:val="none"/>
        </w:rPr>
        <w:t>HJ2.4-2009</w:t>
      </w:r>
      <w:r>
        <w:rPr>
          <w:rFonts w:hint="eastAsia" w:ascii="Times New Roman" w:hAnsi="Times New Roman" w:eastAsia="宋体" w:cs="Times New Roman"/>
          <w:sz w:val="24"/>
          <w:highlight w:val="none"/>
          <w:u w:val="none"/>
        </w:rPr>
        <w:t>），本项目的声环境评价工作等级按二级评价。</w:t>
      </w:r>
    </w:p>
    <w:p>
      <w:pPr>
        <w:pStyle w:val="6"/>
      </w:pPr>
      <w:bookmarkStart w:id="102" w:name="_Toc248308497"/>
      <w:bookmarkStart w:id="103" w:name="_Toc21251"/>
      <w:r>
        <w:t>环境风险评价工作等级</w:t>
      </w:r>
      <w:bookmarkEnd w:id="102"/>
      <w:bookmarkEnd w:id="103"/>
    </w:p>
    <w:p>
      <w:pPr>
        <w:spacing w:line="480" w:lineRule="exact"/>
        <w:ind w:firstLine="480" w:firstLineChars="200"/>
        <w:rPr>
          <w:rFonts w:hint="default" w:ascii="Times New Roman" w:hAnsi="Times New Roman" w:cs="Times New Roman"/>
          <w:sz w:val="24"/>
          <w:highlight w:val="none"/>
          <w:u w:val="none"/>
        </w:rPr>
      </w:pPr>
      <w:r>
        <w:rPr>
          <w:rFonts w:hint="default" w:ascii="Times New Roman" w:hAnsi="Times New Roman" w:cs="Times New Roman"/>
          <w:sz w:val="24"/>
          <w:highlight w:val="none"/>
          <w:u w:val="none"/>
        </w:rPr>
        <w:t>根据《建设项目环境风险评价技术导则》（HJ169-2018）中的有关规定，环境风险评价工作等级划分原则见表</w:t>
      </w:r>
      <w:r>
        <w:rPr>
          <w:rFonts w:hint="eastAsia" w:ascii="Times New Roman" w:hAnsi="Times New Roman" w:cs="Times New Roman"/>
          <w:sz w:val="24"/>
          <w:highlight w:val="none"/>
          <w:u w:val="none"/>
          <w:lang w:val="en-US" w:eastAsia="zh-CN"/>
        </w:rPr>
        <w:t>2.3-5</w:t>
      </w:r>
      <w:r>
        <w:rPr>
          <w:rFonts w:hint="default" w:ascii="Times New Roman" w:hAnsi="Times New Roman" w:cs="Times New Roman"/>
          <w:sz w:val="24"/>
          <w:highlight w:val="none"/>
          <w:u w:val="none"/>
        </w:rPr>
        <w:t>。</w:t>
      </w:r>
    </w:p>
    <w:p>
      <w:pPr>
        <w:pStyle w:val="87"/>
        <w:rPr>
          <w:rFonts w:hint="default"/>
        </w:rPr>
      </w:pPr>
    </w:p>
    <w:p>
      <w:pPr>
        <w:keepNext w:val="0"/>
        <w:keepLines w:val="0"/>
        <w:pageBreakBefore w:val="0"/>
        <w:widowControl w:val="0"/>
        <w:kinsoku/>
        <w:wordWrap/>
        <w:overflowPunct/>
        <w:topLinePunct w:val="0"/>
        <w:autoSpaceDE/>
        <w:autoSpaceDN/>
        <w:bidi w:val="0"/>
        <w:adjustRightInd/>
        <w:snapToGrid/>
        <w:spacing w:line="480" w:lineRule="exact"/>
        <w:ind w:firstLine="0" w:firstLineChars="0"/>
        <w:jc w:val="center"/>
        <w:textAlignment w:val="auto"/>
        <w:rPr>
          <w:rFonts w:hint="default" w:ascii="Times New Roman" w:hAnsi="Times New Roman" w:cs="Times New Roman"/>
          <w:b/>
          <w:sz w:val="21"/>
          <w:szCs w:val="21"/>
          <w:highlight w:val="none"/>
          <w:u w:val="none"/>
        </w:rPr>
      </w:pPr>
      <w:r>
        <w:rPr>
          <w:rFonts w:hint="default" w:ascii="Times New Roman" w:hAnsi="Times New Roman" w:cs="Times New Roman"/>
          <w:b/>
          <w:sz w:val="21"/>
          <w:szCs w:val="21"/>
          <w:highlight w:val="none"/>
          <w:u w:val="none"/>
        </w:rPr>
        <w:t>表</w:t>
      </w:r>
      <w:r>
        <w:rPr>
          <w:rFonts w:hint="eastAsia" w:ascii="Times New Roman" w:hAnsi="Times New Roman" w:cs="Times New Roman"/>
          <w:b/>
          <w:sz w:val="21"/>
          <w:szCs w:val="21"/>
          <w:highlight w:val="none"/>
          <w:u w:val="none"/>
          <w:lang w:val="en-US" w:eastAsia="zh-CN"/>
        </w:rPr>
        <w:t>2.3-5</w:t>
      </w:r>
      <w:r>
        <w:rPr>
          <w:rFonts w:hint="default" w:ascii="Times New Roman" w:hAnsi="Times New Roman" w:cs="Times New Roman"/>
          <w:b/>
          <w:sz w:val="21"/>
          <w:szCs w:val="21"/>
          <w:highlight w:val="none"/>
          <w:u w:val="none"/>
        </w:rPr>
        <w:t xml:space="preserve">      环境风险评价工作等级确定表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612"/>
        <w:gridCol w:w="1600"/>
        <w:gridCol w:w="1633"/>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环境风险潜势</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IV、IV</w:t>
            </w:r>
            <w:r>
              <w:rPr>
                <w:rFonts w:hint="default" w:ascii="Times New Roman" w:hAnsi="Times New Roman" w:cs="Times New Roman"/>
                <w:sz w:val="21"/>
                <w:szCs w:val="21"/>
                <w:highlight w:val="none"/>
                <w:u w:val="none"/>
                <w:vertAlign w:val="superscript"/>
              </w:rPr>
              <w:t>+</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III</w:t>
            </w:r>
          </w:p>
        </w:tc>
        <w:tc>
          <w:tcPr>
            <w:tcW w:w="163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II</w:t>
            </w:r>
          </w:p>
        </w:tc>
        <w:tc>
          <w:tcPr>
            <w:tcW w:w="1650"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7"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评价工作等级</w:t>
            </w:r>
          </w:p>
        </w:tc>
        <w:tc>
          <w:tcPr>
            <w:tcW w:w="161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一</w:t>
            </w:r>
          </w:p>
        </w:tc>
        <w:tc>
          <w:tcPr>
            <w:tcW w:w="16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二</w:t>
            </w:r>
          </w:p>
        </w:tc>
        <w:tc>
          <w:tcPr>
            <w:tcW w:w="163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三</w:t>
            </w:r>
          </w:p>
        </w:tc>
        <w:tc>
          <w:tcPr>
            <w:tcW w:w="165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简单分析</w:t>
            </w:r>
            <w:r>
              <w:rPr>
                <w:rFonts w:hint="default" w:ascii="Times New Roman" w:hAnsi="Times New Roman" w:cs="Times New Roman"/>
                <w:sz w:val="21"/>
                <w:szCs w:val="21"/>
                <w:highlight w:val="none"/>
                <w:u w:val="none"/>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322"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left"/>
              <w:textAlignment w:val="auto"/>
              <w:rPr>
                <w:rFonts w:hint="default" w:ascii="Times New Roman" w:hAnsi="Times New Roman" w:cs="Times New Roman"/>
                <w:sz w:val="21"/>
                <w:szCs w:val="21"/>
                <w:highlight w:val="none"/>
                <w:u w:val="none"/>
              </w:rPr>
            </w:pPr>
            <w:r>
              <w:rPr>
                <w:rFonts w:hint="default" w:ascii="Times New Roman" w:hAnsi="Times New Roman" w:cs="Times New Roman"/>
                <w:sz w:val="21"/>
                <w:szCs w:val="21"/>
                <w:highlight w:val="none"/>
                <w:u w:val="none"/>
              </w:rPr>
              <w:t>a是相对于详细评价工作内容而言，在描述危险物质、环境影响途径、环境危害后果、风险防范措施等方面给出定性的说明。</w:t>
            </w:r>
          </w:p>
        </w:tc>
      </w:tr>
    </w:tbl>
    <w:p>
      <w:pPr>
        <w:spacing w:line="470" w:lineRule="exact"/>
        <w:ind w:firstLine="480" w:firstLineChars="200"/>
        <w:rPr>
          <w:rFonts w:hint="default" w:ascii="Times New Roman" w:hAnsi="Times New Roman" w:cs="Times New Roman"/>
          <w:sz w:val="24"/>
          <w:highlight w:val="none"/>
          <w:u w:val="none"/>
        </w:rPr>
      </w:pPr>
      <w:r>
        <w:rPr>
          <w:rFonts w:hint="default" w:ascii="Times New Roman" w:hAnsi="Times New Roman" w:cs="Times New Roman"/>
          <w:sz w:val="24"/>
          <w:highlight w:val="none"/>
          <w:u w:val="none"/>
        </w:rPr>
        <w:t>根据分析，项目Q&lt;1，环境风险潜势为I，环境风险进行简单分析。</w:t>
      </w:r>
    </w:p>
    <w:p>
      <w:pPr>
        <w:pStyle w:val="6"/>
      </w:pPr>
      <w:bookmarkStart w:id="104" w:name="_Toc28882"/>
      <w:r>
        <w:t>地下水评价等级</w:t>
      </w:r>
      <w:bookmarkEnd w:id="104"/>
    </w:p>
    <w:p>
      <w:pPr>
        <w:spacing w:line="360" w:lineRule="auto"/>
        <w:ind w:firstLine="480" w:firstLineChars="200"/>
        <w:rPr>
          <w:sz w:val="24"/>
        </w:rPr>
      </w:pPr>
      <w:r>
        <w:rPr>
          <w:sz w:val="24"/>
        </w:rPr>
        <w:t>根据《环境影响评价技术导则-地下水环境》（HJ610-2016）的规定确定本次工程环境影响评价工作的环境影响评价等级。</w:t>
      </w:r>
    </w:p>
    <w:p>
      <w:pPr>
        <w:spacing w:line="360" w:lineRule="auto"/>
        <w:ind w:firstLine="480" w:firstLineChars="200"/>
        <w:rPr>
          <w:sz w:val="24"/>
        </w:rPr>
      </w:pPr>
      <w:r>
        <w:rPr>
          <w:sz w:val="24"/>
        </w:rPr>
        <w:t>本项目属于附录 A（地下水环境影响评价行业分类表） 中 N 轻工-98、 屠宰-报告书类别，因此为Ⅲ类项目；根据现场踏勘，</w:t>
      </w:r>
      <w:r>
        <w:rPr>
          <w:rFonts w:hint="default"/>
          <w:sz w:val="24"/>
        </w:rPr>
        <w:t>项目厂址不在集中式饮用水水源准保护区、特殊地下水资源（如矿泉水、温泉等）保护区以外的分布区等环境敏感区，</w:t>
      </w:r>
      <w:r>
        <w:rPr>
          <w:sz w:val="24"/>
        </w:rPr>
        <w:t>本项目用地未涉及集中式饮用水水源保护区，</w:t>
      </w:r>
      <w:r>
        <w:rPr>
          <w:rFonts w:hint="default"/>
          <w:sz w:val="24"/>
        </w:rPr>
        <w:t>项目</w:t>
      </w:r>
      <w:r>
        <w:rPr>
          <w:rFonts w:hint="eastAsia"/>
          <w:sz w:val="24"/>
          <w:lang w:val="en-US" w:eastAsia="zh-CN"/>
        </w:rPr>
        <w:t>西北面补泥溪有居民饮用水井，</w:t>
      </w:r>
      <w:r>
        <w:rPr>
          <w:sz w:val="24"/>
        </w:rPr>
        <w:t>居民大都是饮用地下水</w:t>
      </w:r>
      <w:r>
        <w:rPr>
          <w:rFonts w:hint="eastAsia"/>
          <w:sz w:val="24"/>
          <w:lang w:eastAsia="zh-CN"/>
        </w:rPr>
        <w:t>，</w:t>
      </w:r>
      <w:r>
        <w:rPr>
          <w:rFonts w:hint="eastAsia"/>
          <w:sz w:val="24"/>
          <w:lang w:val="en-US" w:eastAsia="zh-CN"/>
        </w:rPr>
        <w:t>属于分散式饮用水水源地，</w:t>
      </w:r>
      <w:r>
        <w:rPr>
          <w:rFonts w:hint="default"/>
          <w:sz w:val="24"/>
        </w:rPr>
        <w:t>因此，建设项目区域地下水环境特征为</w:t>
      </w:r>
      <w:r>
        <w:rPr>
          <w:rFonts w:hint="eastAsia"/>
          <w:sz w:val="24"/>
          <w:lang w:val="en-US" w:eastAsia="zh-CN"/>
        </w:rPr>
        <w:t>较</w:t>
      </w:r>
      <w:r>
        <w:rPr>
          <w:rFonts w:hint="default"/>
          <w:sz w:val="24"/>
        </w:rPr>
        <w:t>敏感。</w:t>
      </w:r>
    </w:p>
    <w:p>
      <w:pPr>
        <w:spacing w:line="360" w:lineRule="auto"/>
        <w:ind w:firstLine="480" w:firstLineChars="200"/>
        <w:rPr>
          <w:sz w:val="24"/>
        </w:rPr>
      </w:pPr>
      <w:r>
        <w:rPr>
          <w:sz w:val="24"/>
        </w:rPr>
        <w:t>建设项目的地下水环境敏感程度可分为敏感、较敏感、不敏感三级，分级原则见表2.</w:t>
      </w:r>
      <w:r>
        <w:rPr>
          <w:rFonts w:hint="eastAsia"/>
          <w:sz w:val="24"/>
          <w:lang w:val="en-US" w:eastAsia="zh-CN"/>
        </w:rPr>
        <w:t>3-6</w:t>
      </w:r>
      <w:r>
        <w:rPr>
          <w:sz w:val="24"/>
        </w:rPr>
        <w:t>，建设项目地下水环境影响评价工作等级划分见表2.</w:t>
      </w:r>
      <w:r>
        <w:rPr>
          <w:rFonts w:hint="eastAsia"/>
          <w:sz w:val="24"/>
          <w:lang w:val="en-US" w:eastAsia="zh-CN"/>
        </w:rPr>
        <w:t>3</w:t>
      </w:r>
      <w:r>
        <w:rPr>
          <w:sz w:val="24"/>
        </w:rPr>
        <w:t>-</w:t>
      </w:r>
      <w:r>
        <w:rPr>
          <w:rFonts w:hint="eastAsia"/>
          <w:sz w:val="24"/>
          <w:lang w:val="en-US" w:eastAsia="zh-CN"/>
        </w:rPr>
        <w:t>7</w:t>
      </w:r>
      <w:r>
        <w:rPr>
          <w:sz w:val="24"/>
        </w:rPr>
        <w:t>。</w:t>
      </w:r>
    </w:p>
    <w:p>
      <w:pPr>
        <w:spacing w:line="360" w:lineRule="auto"/>
        <w:ind w:firstLine="480"/>
        <w:jc w:val="center"/>
        <w:rPr>
          <w:rFonts w:hint="eastAsia"/>
          <w:b/>
          <w:bCs/>
          <w:sz w:val="24"/>
          <w:lang w:val="en-US" w:eastAsia="zh-CN"/>
        </w:rPr>
      </w:pPr>
      <w:r>
        <w:rPr>
          <w:rFonts w:hint="eastAsia"/>
          <w:b/>
          <w:bCs/>
          <w:sz w:val="24"/>
          <w:lang w:val="en-US" w:eastAsia="zh-CN"/>
        </w:rPr>
        <w:t>表2.3-6    地下水环境敏感程度分级表</w:t>
      </w:r>
    </w:p>
    <w:tbl>
      <w:tblPr>
        <w:tblStyle w:val="88"/>
        <w:tblW w:w="833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667"/>
        <w:gridCol w:w="66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667"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敏感程度</w:t>
            </w:r>
          </w:p>
        </w:tc>
        <w:tc>
          <w:tcPr>
            <w:tcW w:w="6669"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地下水环境敏感特征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667"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敏感</w:t>
            </w:r>
          </w:p>
        </w:tc>
        <w:tc>
          <w:tcPr>
            <w:tcW w:w="6669"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667"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较敏感</w:t>
            </w:r>
          </w:p>
        </w:tc>
        <w:tc>
          <w:tcPr>
            <w:tcW w:w="6669"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集中式饮用水水源 (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境敏感区</w:t>
            </w:r>
            <w:r>
              <w:rPr>
                <w:rFonts w:ascii="Times New Roman" w:hAnsi="Times New Roman" w:cs="Times New Roman"/>
                <w:color w:val="000000"/>
                <w:sz w:val="21"/>
                <w:szCs w:val="21"/>
                <w:vertAlign w:val="superscript"/>
              </w:rPr>
              <w:t>a</w:t>
            </w:r>
            <w:r>
              <w:rPr>
                <w:rFonts w:ascii="Times New Roman" w:hAnsi="Times New Roman" w:cs="Times New Roman"/>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667"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不敏感</w:t>
            </w:r>
          </w:p>
        </w:tc>
        <w:tc>
          <w:tcPr>
            <w:tcW w:w="6669" w:type="dxa"/>
            <w:tcBorders>
              <w:tl2br w:val="nil"/>
              <w:tr2bl w:val="nil"/>
            </w:tcBorders>
            <w:tcMar>
              <w:left w:w="0" w:type="dxa"/>
              <w:right w:w="0" w:type="dxa"/>
            </w:tcMar>
            <w:vAlign w:val="center"/>
          </w:tcPr>
          <w:p>
            <w:pPr>
              <w:adjustRightInd w:val="0"/>
              <w:snapToGrid w:val="0"/>
              <w:jc w:val="center"/>
              <w:rPr>
                <w:rFonts w:ascii="Times New Roman" w:hAnsi="Times New Roman" w:cs="Times New Roman"/>
                <w:color w:val="000000"/>
                <w:sz w:val="21"/>
                <w:szCs w:val="21"/>
              </w:rPr>
            </w:pPr>
            <w:r>
              <w:rPr>
                <w:rFonts w:ascii="Times New Roman" w:hAnsi="Times New Roman" w:cs="Times New Roman"/>
                <w:color w:val="000000"/>
                <w:sz w:val="21"/>
                <w:szCs w:val="21"/>
              </w:rPr>
              <w:t>上述地区之外的其他地区。</w:t>
            </w:r>
          </w:p>
        </w:tc>
      </w:tr>
    </w:tbl>
    <w:p>
      <w:pPr>
        <w:spacing w:line="360" w:lineRule="auto"/>
        <w:ind w:firstLine="480"/>
        <w:jc w:val="center"/>
        <w:rPr>
          <w:rFonts w:hint="eastAsia"/>
          <w:b/>
          <w:bCs/>
          <w:sz w:val="24"/>
          <w:lang w:val="en-US" w:eastAsia="zh-CN"/>
        </w:rPr>
      </w:pPr>
      <w:r>
        <w:rPr>
          <w:rFonts w:hint="eastAsia"/>
          <w:b/>
          <w:bCs/>
          <w:sz w:val="24"/>
          <w:lang w:val="en-US" w:eastAsia="zh-CN"/>
        </w:rPr>
        <w:t>表2.3-7  地下水环境敏感程度分级表</w:t>
      </w:r>
    </w:p>
    <w:tbl>
      <w:tblPr>
        <w:tblStyle w:val="88"/>
        <w:tblW w:w="49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8"/>
        <w:gridCol w:w="2129"/>
        <w:gridCol w:w="2129"/>
        <w:gridCol w:w="20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1264" w:type="pct"/>
            <w:tcBorders>
              <w:tl2br w:val="single" w:color="auto" w:sz="4" w:space="0"/>
            </w:tcBorders>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 xml:space="preserve">        项目类别</w:t>
            </w:r>
          </w:p>
          <w:p>
            <w:pPr>
              <w:snapToGrid w:val="0"/>
              <w:spacing w:line="360" w:lineRule="exact"/>
              <w:ind w:firstLine="0" w:firstLineChars="0"/>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环境敏感程度</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Ⅰ类项目</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Ⅱ类项目</w:t>
            </w:r>
          </w:p>
        </w:tc>
        <w:tc>
          <w:tcPr>
            <w:tcW w:w="1205"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敏感</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一</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一</w:t>
            </w:r>
          </w:p>
        </w:tc>
        <w:tc>
          <w:tcPr>
            <w:tcW w:w="1205"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较敏感</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一</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二</w:t>
            </w:r>
          </w:p>
        </w:tc>
        <w:tc>
          <w:tcPr>
            <w:tcW w:w="1205"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shd w:val="clear" w:color="FFFFFF" w:fill="D9D9D9"/>
              </w:rPr>
              <w:t>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不敏感</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二</w:t>
            </w:r>
          </w:p>
        </w:tc>
        <w:tc>
          <w:tcPr>
            <w:tcW w:w="1264"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rPr>
              <w:t>三</w:t>
            </w:r>
          </w:p>
        </w:tc>
        <w:tc>
          <w:tcPr>
            <w:tcW w:w="1205" w:type="pct"/>
            <w:noWrap w:val="0"/>
            <w:vAlign w:val="center"/>
          </w:tcPr>
          <w:p>
            <w:pPr>
              <w:snapToGrid w:val="0"/>
              <w:spacing w:line="360" w:lineRule="exact"/>
              <w:ind w:firstLine="0" w:firstLineChars="0"/>
              <w:jc w:val="center"/>
              <w:rPr>
                <w:rFonts w:hint="default" w:ascii="Times New Roman" w:hAnsi="Times New Roman" w:cs="Times New Roman"/>
                <w:bCs/>
                <w:sz w:val="21"/>
                <w:szCs w:val="21"/>
                <w:u w:val="none"/>
              </w:rPr>
            </w:pPr>
            <w:r>
              <w:rPr>
                <w:rFonts w:hint="default" w:ascii="Times New Roman" w:hAnsi="Times New Roman" w:cs="Times New Roman"/>
                <w:bCs/>
                <w:sz w:val="21"/>
                <w:szCs w:val="21"/>
                <w:u w:val="none"/>
                <w:shd w:val="clear" w:color="auto" w:fill="auto"/>
              </w:rPr>
              <w:t>三</w:t>
            </w:r>
          </w:p>
        </w:tc>
      </w:tr>
    </w:tbl>
    <w:p>
      <w:pPr>
        <w:spacing w:line="360" w:lineRule="auto"/>
        <w:ind w:firstLine="480" w:firstLineChars="200"/>
        <w:rPr>
          <w:sz w:val="24"/>
        </w:rPr>
      </w:pPr>
      <w:r>
        <w:rPr>
          <w:rFonts w:hint="eastAsia"/>
          <w:sz w:val="24"/>
          <w:lang w:val="en-US" w:eastAsia="zh-CN"/>
        </w:rPr>
        <w:t>根据</w:t>
      </w:r>
      <w:r>
        <w:rPr>
          <w:rFonts w:hint="default"/>
          <w:sz w:val="24"/>
        </w:rPr>
        <w:t>《环境影响评价技术导则 地下水环境》（HJ610-2016），确定本项目地下水环境影响评价工作等级为三级</w:t>
      </w:r>
      <w:r>
        <w:rPr>
          <w:sz w:val="24"/>
        </w:rPr>
        <w:t>。</w:t>
      </w:r>
    </w:p>
    <w:p>
      <w:pPr>
        <w:pStyle w:val="6"/>
      </w:pPr>
      <w:bookmarkStart w:id="105" w:name="_Toc31083"/>
      <w:r>
        <w:rPr>
          <w:rFonts w:hint="eastAsia"/>
          <w:lang w:val="en-US" w:eastAsia="zh-CN"/>
        </w:rPr>
        <w:t>土壤</w:t>
      </w:r>
      <w:r>
        <w:t>评价等级</w:t>
      </w:r>
      <w:bookmarkEnd w:id="105"/>
    </w:p>
    <w:p>
      <w:pPr>
        <w:pStyle w:val="4076"/>
        <w:snapToGrid w:val="0"/>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4"/>
          <w:szCs w:val="24"/>
          <w:highlight w:val="none"/>
        </w:rPr>
        <w:t xml:space="preserve">根据《环境影响评价技术导则 </w:t>
      </w:r>
      <w:r>
        <w:rPr>
          <w:rFonts w:hint="default" w:ascii="Times New Roman" w:hAnsi="Times New Roman" w:eastAsia="宋体" w:cs="Times New Roman"/>
          <w:color w:val="auto"/>
          <w:kern w:val="0"/>
          <w:sz w:val="24"/>
          <w:szCs w:val="24"/>
          <w:highlight w:val="none"/>
          <w:lang w:eastAsia="zh-CN"/>
        </w:rPr>
        <w:t>土壤</w:t>
      </w:r>
      <w:r>
        <w:rPr>
          <w:rFonts w:hint="default" w:ascii="Times New Roman" w:hAnsi="Times New Roman" w:eastAsia="宋体" w:cs="Times New Roman"/>
          <w:color w:val="auto"/>
          <w:kern w:val="0"/>
          <w:sz w:val="24"/>
          <w:szCs w:val="24"/>
          <w:highlight w:val="none"/>
        </w:rPr>
        <w:t>环境</w:t>
      </w:r>
      <w:r>
        <w:rPr>
          <w:rFonts w:hint="default" w:ascii="Times New Roman" w:hAnsi="Times New Roman" w:eastAsia="宋体" w:cs="Times New Roman"/>
          <w:color w:val="auto"/>
          <w:kern w:val="0"/>
          <w:sz w:val="24"/>
          <w:szCs w:val="24"/>
          <w:highlight w:val="none"/>
          <w:lang w:eastAsia="zh-CN"/>
        </w:rPr>
        <w:t>（试行）</w:t>
      </w:r>
      <w:r>
        <w:rPr>
          <w:rFonts w:hint="default"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HJ</w:t>
      </w:r>
      <w:r>
        <w:rPr>
          <w:rFonts w:hint="default" w:ascii="Times New Roman" w:hAnsi="Times New Roman" w:eastAsia="宋体" w:cs="Times New Roman"/>
          <w:color w:val="auto"/>
          <w:kern w:val="0"/>
          <w:sz w:val="24"/>
          <w:szCs w:val="24"/>
          <w:highlight w:val="none"/>
          <w:lang w:eastAsia="zh-CN"/>
        </w:rPr>
        <w:t>964</w:t>
      </w:r>
      <w:r>
        <w:rPr>
          <w:rFonts w:hint="default" w:ascii="Times New Roman" w:hAnsi="Times New Roman" w:eastAsia="宋体" w:cs="Times New Roman"/>
          <w:color w:val="auto"/>
          <w:kern w:val="0"/>
          <w:sz w:val="24"/>
          <w:szCs w:val="24"/>
          <w:highlight w:val="none"/>
        </w:rPr>
        <w:t>—201</w:t>
      </w:r>
      <w:r>
        <w:rPr>
          <w:rFonts w:hint="default" w:ascii="Times New Roman" w:hAnsi="Times New Roman" w:eastAsia="宋体" w:cs="Times New Roman"/>
          <w:color w:val="auto"/>
          <w:kern w:val="0"/>
          <w:sz w:val="24"/>
          <w:szCs w:val="24"/>
          <w:highlight w:val="none"/>
          <w:lang w:eastAsia="zh-CN"/>
        </w:rPr>
        <w:t>8</w:t>
      </w:r>
      <w:r>
        <w:rPr>
          <w:rFonts w:hint="eastAsia"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污染影响型项目根据土壤环境影响评价项目类别、占地规模与敏感程度划分评价工作等级。</w:t>
      </w:r>
    </w:p>
    <w:p>
      <w:pPr>
        <w:pStyle w:val="4076"/>
        <w:snapToGrid w:val="0"/>
        <w:rPr>
          <w:rFonts w:hint="default" w:ascii="Times New Roman" w:hAnsi="Times New Roman" w:cs="Times New Roman"/>
          <w:color w:val="auto"/>
          <w:kern w:val="0"/>
          <w:sz w:val="24"/>
          <w:szCs w:val="24"/>
          <w:highlight w:val="none"/>
          <w:lang w:val="en-US" w:eastAsia="zh-CN"/>
        </w:rPr>
      </w:pPr>
      <w:r>
        <w:rPr>
          <w:rFonts w:hint="default" w:ascii="Times New Roman" w:hAnsi="Times New Roman" w:eastAsia="宋体" w:cs="Times New Roman"/>
          <w:color w:val="000000"/>
          <w:kern w:val="0"/>
          <w:sz w:val="24"/>
          <w:szCs w:val="24"/>
          <w:highlight w:val="none"/>
          <w:lang w:eastAsia="zh-CN"/>
        </w:rPr>
        <w:t>经查</w:t>
      </w:r>
      <w:r>
        <w:rPr>
          <w:rFonts w:hint="default" w:ascii="Times New Roman" w:hAnsi="Times New Roman" w:eastAsia="宋体" w:cs="Times New Roman"/>
          <w:color w:val="000000"/>
          <w:kern w:val="0"/>
          <w:sz w:val="24"/>
          <w:szCs w:val="24"/>
          <w:highlight w:val="none"/>
        </w:rPr>
        <w:t xml:space="preserve">《环境影响评价技术导则 </w:t>
      </w:r>
      <w:r>
        <w:rPr>
          <w:rFonts w:hint="default" w:ascii="Times New Roman" w:hAnsi="Times New Roman" w:eastAsia="宋体" w:cs="Times New Roman"/>
          <w:color w:val="000000"/>
          <w:kern w:val="0"/>
          <w:sz w:val="24"/>
          <w:szCs w:val="24"/>
          <w:highlight w:val="none"/>
          <w:lang w:eastAsia="zh-CN"/>
        </w:rPr>
        <w:t>土壤</w:t>
      </w:r>
      <w:r>
        <w:rPr>
          <w:rFonts w:hint="default" w:ascii="Times New Roman" w:hAnsi="Times New Roman" w:eastAsia="宋体" w:cs="Times New Roman"/>
          <w:color w:val="000000"/>
          <w:kern w:val="0"/>
          <w:sz w:val="24"/>
          <w:szCs w:val="24"/>
          <w:highlight w:val="none"/>
        </w:rPr>
        <w:t>环境</w:t>
      </w:r>
      <w:r>
        <w:rPr>
          <w:rFonts w:hint="default" w:ascii="Times New Roman" w:hAnsi="Times New Roman" w:eastAsia="宋体" w:cs="Times New Roman"/>
          <w:color w:val="000000"/>
          <w:kern w:val="0"/>
          <w:sz w:val="24"/>
          <w:szCs w:val="24"/>
          <w:highlight w:val="none"/>
          <w:lang w:eastAsia="zh-CN"/>
        </w:rPr>
        <w:t>（试行）</w:t>
      </w:r>
      <w:r>
        <w:rPr>
          <w:rFonts w:hint="default" w:ascii="Times New Roman" w:hAnsi="Times New Roman" w:eastAsia="宋体" w:cs="Times New Roman"/>
          <w:color w:val="000000"/>
          <w:kern w:val="0"/>
          <w:sz w:val="24"/>
          <w:szCs w:val="24"/>
          <w:highlight w:val="none"/>
        </w:rPr>
        <w:t>》HJ</w:t>
      </w:r>
      <w:r>
        <w:rPr>
          <w:rFonts w:hint="default" w:ascii="Times New Roman" w:hAnsi="Times New Roman" w:eastAsia="宋体" w:cs="Times New Roman"/>
          <w:color w:val="000000"/>
          <w:kern w:val="0"/>
          <w:sz w:val="24"/>
          <w:szCs w:val="24"/>
          <w:highlight w:val="none"/>
          <w:lang w:eastAsia="zh-CN"/>
        </w:rPr>
        <w:t>964</w:t>
      </w:r>
      <w:r>
        <w:rPr>
          <w:rFonts w:hint="default" w:ascii="Times New Roman" w:hAnsi="Times New Roman" w:eastAsia="宋体" w:cs="Times New Roman"/>
          <w:color w:val="000000"/>
          <w:kern w:val="0"/>
          <w:sz w:val="24"/>
          <w:szCs w:val="24"/>
          <w:highlight w:val="none"/>
        </w:rPr>
        <w:t>—201</w:t>
      </w:r>
      <w:r>
        <w:rPr>
          <w:rFonts w:hint="default" w:ascii="Times New Roman" w:hAnsi="Times New Roman" w:eastAsia="宋体" w:cs="Times New Roman"/>
          <w:color w:val="000000"/>
          <w:kern w:val="0"/>
          <w:sz w:val="24"/>
          <w:szCs w:val="24"/>
          <w:highlight w:val="none"/>
          <w:lang w:eastAsia="zh-CN"/>
        </w:rPr>
        <w:t>8附录A，</w:t>
      </w:r>
      <w:r>
        <w:rPr>
          <w:rFonts w:hint="default" w:ascii="Times New Roman" w:hAnsi="Times New Roman" w:cs="Times New Roman"/>
          <w:color w:val="000000"/>
          <w:kern w:val="0"/>
          <w:sz w:val="24"/>
          <w:szCs w:val="24"/>
          <w:highlight w:val="none"/>
          <w:lang w:val="en-US" w:eastAsia="zh-CN"/>
        </w:rPr>
        <w:t>本</w:t>
      </w:r>
      <w:r>
        <w:rPr>
          <w:rFonts w:hint="default" w:ascii="Times New Roman" w:hAnsi="Times New Roman" w:eastAsia="宋体" w:cs="Times New Roman"/>
          <w:color w:val="000000"/>
          <w:kern w:val="0"/>
          <w:sz w:val="24"/>
          <w:szCs w:val="24"/>
          <w:highlight w:val="none"/>
          <w:lang w:eastAsia="zh-CN"/>
        </w:rPr>
        <w:t>项目</w:t>
      </w:r>
      <w:r>
        <w:rPr>
          <w:rFonts w:hint="eastAsia" w:ascii="Times New Roman" w:hAnsi="Times New Roman" w:eastAsia="宋体" w:cs="Times New Roman"/>
          <w:color w:val="000000"/>
          <w:kern w:val="0"/>
          <w:sz w:val="24"/>
          <w:szCs w:val="24"/>
          <w:highlight w:val="none"/>
          <w:lang w:val="en-US" w:eastAsia="zh-CN"/>
        </w:rPr>
        <w:t>为附录A中未明确的其他</w:t>
      </w:r>
      <w:r>
        <w:rPr>
          <w:rFonts w:hint="default" w:ascii="Times New Roman" w:hAnsi="Times New Roman" w:eastAsia="宋体" w:cs="Times New Roman"/>
          <w:color w:val="000000"/>
          <w:kern w:val="0"/>
          <w:sz w:val="24"/>
          <w:szCs w:val="24"/>
          <w:highlight w:val="none"/>
          <w:lang w:eastAsia="zh-CN"/>
        </w:rPr>
        <w:t>行业类别</w:t>
      </w:r>
      <w:r>
        <w:rPr>
          <w:rFonts w:hint="eastAsia" w:ascii="Times New Roman" w:hAnsi="Times New Roman" w:eastAsia="宋体" w:cs="Times New Roman"/>
          <w:color w:val="000000"/>
          <w:kern w:val="0"/>
          <w:sz w:val="24"/>
          <w:szCs w:val="24"/>
          <w:highlight w:val="none"/>
          <w:lang w:eastAsia="zh-CN"/>
        </w:rPr>
        <w:t>，</w:t>
      </w:r>
      <w:r>
        <w:rPr>
          <w:rFonts w:hint="eastAsia" w:ascii="Times New Roman" w:hAnsi="Times New Roman" w:eastAsia="宋体" w:cs="Times New Roman"/>
          <w:color w:val="000000"/>
          <w:kern w:val="0"/>
          <w:sz w:val="24"/>
          <w:szCs w:val="24"/>
          <w:highlight w:val="none"/>
          <w:lang w:val="en-US" w:eastAsia="zh-CN"/>
        </w:rPr>
        <w:t>属于Ⅳ</w:t>
      </w:r>
      <w:r>
        <w:rPr>
          <w:rFonts w:hint="default" w:ascii="Times New Roman" w:hAnsi="Times New Roman" w:eastAsia="宋体" w:cs="Times New Roman"/>
          <w:color w:val="000000"/>
          <w:kern w:val="0"/>
          <w:sz w:val="24"/>
          <w:szCs w:val="24"/>
          <w:highlight w:val="none"/>
        </w:rPr>
        <w:t>类项目</w:t>
      </w:r>
      <w:r>
        <w:rPr>
          <w:rFonts w:hint="eastAsia" w:ascii="Times New Roman" w:hAnsi="Times New Roman" w:eastAsia="宋体" w:cs="Times New Roman"/>
          <w:color w:val="000000"/>
          <w:kern w:val="0"/>
          <w:sz w:val="24"/>
          <w:szCs w:val="24"/>
          <w:highlight w:val="none"/>
          <w:lang w:eastAsia="zh-CN"/>
        </w:rPr>
        <w:t>，</w:t>
      </w:r>
      <w:r>
        <w:rPr>
          <w:rFonts w:hint="eastAsia" w:ascii="Times New Roman" w:hAnsi="Times New Roman" w:eastAsia="宋体" w:cs="Times New Roman"/>
          <w:color w:val="000000"/>
          <w:kern w:val="0"/>
          <w:sz w:val="24"/>
          <w:szCs w:val="24"/>
          <w:highlight w:val="none"/>
          <w:lang w:val="en-US" w:eastAsia="zh-CN"/>
        </w:rPr>
        <w:t>根据导则规定，可不开展土壤环境影响评价</w:t>
      </w:r>
      <w:r>
        <w:rPr>
          <w:rFonts w:hint="default" w:ascii="Times New Roman" w:hAnsi="Times New Roman" w:eastAsia="宋体" w:cs="Times New Roman"/>
          <w:color w:val="auto"/>
          <w:kern w:val="0"/>
          <w:sz w:val="24"/>
          <w:szCs w:val="24"/>
          <w:highlight w:val="none"/>
          <w:lang w:eastAsia="zh-CN"/>
        </w:rPr>
        <w:t>。</w:t>
      </w:r>
    </w:p>
    <w:p>
      <w:pPr>
        <w:pStyle w:val="6"/>
      </w:pPr>
      <w:bookmarkStart w:id="106" w:name="_Toc14847"/>
      <w:bookmarkStart w:id="107" w:name="_Toc248308498"/>
      <w:r>
        <w:t>生态评价等级</w:t>
      </w:r>
      <w:bookmarkEnd w:id="106"/>
    </w:p>
    <w:p>
      <w:pPr>
        <w:spacing w:line="360" w:lineRule="auto"/>
        <w:ind w:firstLine="480"/>
        <w:rPr>
          <w:sz w:val="24"/>
        </w:rPr>
      </w:pPr>
      <w:r>
        <w:rPr>
          <w:sz w:val="24"/>
        </w:rPr>
        <w:t>本项目占地面积</w:t>
      </w:r>
      <w:r>
        <w:rPr>
          <w:rFonts w:hint="eastAsia"/>
          <w:sz w:val="24"/>
          <w:lang w:val="en-US" w:eastAsia="zh-CN"/>
        </w:rPr>
        <w:t>约</w:t>
      </w:r>
      <w:r>
        <w:rPr>
          <w:sz w:val="24"/>
        </w:rPr>
        <w:t>为</w:t>
      </w:r>
      <w:r>
        <w:rPr>
          <w:rFonts w:hint="eastAsia"/>
          <w:sz w:val="24"/>
          <w:lang w:eastAsia="zh-CN"/>
        </w:rPr>
        <w:t>0.0</w:t>
      </w:r>
      <w:r>
        <w:rPr>
          <w:rFonts w:hint="eastAsia"/>
          <w:sz w:val="24"/>
          <w:lang w:val="en-US" w:eastAsia="zh-CN"/>
        </w:rPr>
        <w:t>194</w:t>
      </w:r>
      <w:r>
        <w:rPr>
          <w:sz w:val="24"/>
        </w:rPr>
        <w:t>平方千米，不在生态敏感区范围内，根据《环境影响评价技术导则 生态影响》（HJ19-2011），本项目生态影响评价工作等级为三级，详见表2.3-</w:t>
      </w:r>
      <w:r>
        <w:rPr>
          <w:rFonts w:hint="eastAsia"/>
          <w:sz w:val="24"/>
          <w:lang w:val="en-US" w:eastAsia="zh-CN"/>
        </w:rPr>
        <w:t>8</w:t>
      </w:r>
      <w:r>
        <w:rPr>
          <w:sz w:val="24"/>
        </w:rPr>
        <w:t>。</w:t>
      </w:r>
    </w:p>
    <w:p>
      <w:pPr>
        <w:spacing w:line="360" w:lineRule="auto"/>
        <w:ind w:firstLine="480"/>
        <w:jc w:val="center"/>
        <w:rPr>
          <w:rFonts w:hint="eastAsia"/>
          <w:b/>
          <w:bCs/>
          <w:sz w:val="24"/>
          <w:lang w:val="en-US" w:eastAsia="zh-CN"/>
        </w:rPr>
      </w:pPr>
      <w:r>
        <w:rPr>
          <w:rFonts w:hint="eastAsia"/>
          <w:b/>
          <w:bCs/>
          <w:sz w:val="24"/>
          <w:lang w:val="en-US" w:eastAsia="zh-CN"/>
        </w:rPr>
        <w:t>表2.3-8  生态影响评价工作等级划分表</w:t>
      </w:r>
    </w:p>
    <w:tbl>
      <w:tblPr>
        <w:tblStyle w:val="88"/>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2504"/>
        <w:gridCol w:w="1832"/>
        <w:gridCol w:w="2337"/>
        <w:gridCol w:w="184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04" w:type="dxa"/>
            <w:vMerge w:val="restart"/>
            <w:tcBorders>
              <w:tl2br w:val="nil"/>
              <w:tr2bl w:val="nil"/>
            </w:tcBorders>
            <w:vAlign w:val="center"/>
          </w:tcPr>
          <w:p>
            <w:pPr>
              <w:adjustRightInd w:val="0"/>
              <w:snapToGrid w:val="0"/>
              <w:jc w:val="center"/>
              <w:rPr>
                <w:bCs/>
                <w:szCs w:val="21"/>
              </w:rPr>
            </w:pPr>
            <w:r>
              <w:rPr>
                <w:bCs/>
                <w:szCs w:val="21"/>
              </w:rPr>
              <w:t>影响区域生态敏感性</w:t>
            </w:r>
          </w:p>
        </w:tc>
        <w:tc>
          <w:tcPr>
            <w:tcW w:w="6018" w:type="dxa"/>
            <w:gridSpan w:val="3"/>
            <w:tcBorders>
              <w:tl2br w:val="nil"/>
              <w:tr2bl w:val="nil"/>
            </w:tcBorders>
            <w:vAlign w:val="center"/>
          </w:tcPr>
          <w:p>
            <w:pPr>
              <w:adjustRightInd w:val="0"/>
              <w:snapToGrid w:val="0"/>
              <w:jc w:val="center"/>
              <w:rPr>
                <w:bCs/>
                <w:szCs w:val="21"/>
              </w:rPr>
            </w:pPr>
            <w:r>
              <w:rPr>
                <w:bCs/>
                <w:szCs w:val="21"/>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04" w:type="dxa"/>
            <w:vMerge w:val="continue"/>
            <w:tcBorders>
              <w:tl2br w:val="nil"/>
              <w:tr2bl w:val="nil"/>
            </w:tcBorders>
            <w:vAlign w:val="center"/>
          </w:tcPr>
          <w:p>
            <w:pPr>
              <w:adjustRightInd w:val="0"/>
              <w:snapToGrid w:val="0"/>
              <w:jc w:val="center"/>
              <w:rPr>
                <w:bCs/>
                <w:szCs w:val="21"/>
              </w:rPr>
            </w:pPr>
          </w:p>
        </w:tc>
        <w:tc>
          <w:tcPr>
            <w:tcW w:w="1832" w:type="dxa"/>
            <w:tcBorders>
              <w:tl2br w:val="nil"/>
              <w:tr2bl w:val="nil"/>
            </w:tcBorders>
          </w:tcPr>
          <w:p>
            <w:pPr>
              <w:adjustRightInd w:val="0"/>
              <w:snapToGrid w:val="0"/>
              <w:jc w:val="center"/>
              <w:rPr>
                <w:bCs/>
                <w:szCs w:val="21"/>
              </w:rPr>
            </w:pPr>
            <w:r>
              <w:rPr>
                <w:bCs/>
                <w:szCs w:val="21"/>
              </w:rPr>
              <w:t>面积≥20km</w:t>
            </w:r>
            <w:r>
              <w:rPr>
                <w:bCs/>
                <w:szCs w:val="21"/>
                <w:vertAlign w:val="superscript"/>
              </w:rPr>
              <w:t>2</w:t>
            </w:r>
            <w:r>
              <w:rPr>
                <w:bCs/>
                <w:szCs w:val="21"/>
              </w:rPr>
              <w:t>或长度≥100km</w:t>
            </w:r>
          </w:p>
        </w:tc>
        <w:tc>
          <w:tcPr>
            <w:tcW w:w="2337" w:type="dxa"/>
            <w:tcBorders>
              <w:tl2br w:val="nil"/>
              <w:tr2bl w:val="nil"/>
            </w:tcBorders>
          </w:tcPr>
          <w:p>
            <w:pPr>
              <w:adjustRightInd w:val="0"/>
              <w:snapToGrid w:val="0"/>
              <w:jc w:val="center"/>
              <w:rPr>
                <w:bCs/>
                <w:szCs w:val="21"/>
              </w:rPr>
            </w:pPr>
            <w:r>
              <w:rPr>
                <w:bCs/>
                <w:szCs w:val="21"/>
              </w:rPr>
              <w:t>面积2km</w:t>
            </w:r>
            <w:r>
              <w:rPr>
                <w:bCs/>
                <w:szCs w:val="21"/>
                <w:vertAlign w:val="superscript"/>
              </w:rPr>
              <w:t>2</w:t>
            </w:r>
            <w:r>
              <w:rPr>
                <w:bCs/>
                <w:szCs w:val="21"/>
              </w:rPr>
              <w:t>～20km</w:t>
            </w:r>
            <w:r>
              <w:rPr>
                <w:bCs/>
                <w:szCs w:val="21"/>
                <w:vertAlign w:val="superscript"/>
              </w:rPr>
              <w:t>2</w:t>
            </w:r>
            <w:r>
              <w:rPr>
                <w:bCs/>
                <w:szCs w:val="21"/>
              </w:rPr>
              <w:t xml:space="preserve">或长度50km～100km </w:t>
            </w:r>
          </w:p>
        </w:tc>
        <w:tc>
          <w:tcPr>
            <w:tcW w:w="1849" w:type="dxa"/>
            <w:tcBorders>
              <w:tl2br w:val="nil"/>
              <w:tr2bl w:val="nil"/>
            </w:tcBorders>
          </w:tcPr>
          <w:p>
            <w:pPr>
              <w:adjustRightInd w:val="0"/>
              <w:snapToGrid w:val="0"/>
              <w:jc w:val="center"/>
              <w:rPr>
                <w:bCs/>
                <w:szCs w:val="21"/>
              </w:rPr>
            </w:pPr>
            <w:r>
              <w:rPr>
                <w:bCs/>
                <w:szCs w:val="21"/>
              </w:rPr>
              <w:t>面积≤2km</w:t>
            </w:r>
            <w:r>
              <w:rPr>
                <w:bCs/>
                <w:szCs w:val="21"/>
                <w:vertAlign w:val="superscript"/>
              </w:rPr>
              <w:t>2</w:t>
            </w:r>
            <w:r>
              <w:rPr>
                <w:bCs/>
                <w:szCs w:val="21"/>
              </w:rPr>
              <w:t>或长度≤50km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04" w:type="dxa"/>
            <w:tcBorders>
              <w:tl2br w:val="nil"/>
              <w:tr2bl w:val="nil"/>
            </w:tcBorders>
            <w:vAlign w:val="center"/>
          </w:tcPr>
          <w:p>
            <w:pPr>
              <w:adjustRightInd w:val="0"/>
              <w:snapToGrid w:val="0"/>
              <w:jc w:val="center"/>
              <w:rPr>
                <w:bCs/>
                <w:szCs w:val="21"/>
              </w:rPr>
            </w:pPr>
            <w:r>
              <w:rPr>
                <w:bCs/>
                <w:szCs w:val="21"/>
              </w:rPr>
              <w:t>特殊生态敏感区</w:t>
            </w:r>
          </w:p>
        </w:tc>
        <w:tc>
          <w:tcPr>
            <w:tcW w:w="1832" w:type="dxa"/>
            <w:tcBorders>
              <w:tl2br w:val="nil"/>
              <w:tr2bl w:val="nil"/>
            </w:tcBorders>
            <w:vAlign w:val="center"/>
          </w:tcPr>
          <w:p>
            <w:pPr>
              <w:adjustRightInd w:val="0"/>
              <w:snapToGrid w:val="0"/>
              <w:jc w:val="center"/>
              <w:rPr>
                <w:bCs/>
                <w:szCs w:val="21"/>
              </w:rPr>
            </w:pPr>
            <w:r>
              <w:rPr>
                <w:bCs/>
                <w:szCs w:val="21"/>
              </w:rPr>
              <w:t>一级</w:t>
            </w:r>
          </w:p>
        </w:tc>
        <w:tc>
          <w:tcPr>
            <w:tcW w:w="2337" w:type="dxa"/>
            <w:tcBorders>
              <w:tl2br w:val="nil"/>
              <w:tr2bl w:val="nil"/>
            </w:tcBorders>
            <w:vAlign w:val="center"/>
          </w:tcPr>
          <w:p>
            <w:pPr>
              <w:adjustRightInd w:val="0"/>
              <w:snapToGrid w:val="0"/>
              <w:jc w:val="center"/>
              <w:rPr>
                <w:bCs/>
                <w:szCs w:val="21"/>
              </w:rPr>
            </w:pPr>
            <w:r>
              <w:rPr>
                <w:bCs/>
                <w:szCs w:val="21"/>
              </w:rPr>
              <w:t>一级</w:t>
            </w:r>
          </w:p>
        </w:tc>
        <w:tc>
          <w:tcPr>
            <w:tcW w:w="1849" w:type="dxa"/>
            <w:tcBorders>
              <w:tl2br w:val="nil"/>
              <w:tr2bl w:val="nil"/>
            </w:tcBorders>
            <w:vAlign w:val="center"/>
          </w:tcPr>
          <w:p>
            <w:pPr>
              <w:adjustRightInd w:val="0"/>
              <w:snapToGrid w:val="0"/>
              <w:jc w:val="center"/>
              <w:rPr>
                <w:bCs/>
                <w:szCs w:val="21"/>
              </w:rPr>
            </w:pPr>
            <w:r>
              <w:rPr>
                <w:bCs/>
                <w:szCs w:val="21"/>
              </w:rPr>
              <w:t>一级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04" w:type="dxa"/>
            <w:tcBorders>
              <w:tl2br w:val="nil"/>
              <w:tr2bl w:val="nil"/>
            </w:tcBorders>
            <w:vAlign w:val="center"/>
          </w:tcPr>
          <w:p>
            <w:pPr>
              <w:adjustRightInd w:val="0"/>
              <w:snapToGrid w:val="0"/>
              <w:jc w:val="center"/>
              <w:rPr>
                <w:bCs/>
                <w:szCs w:val="21"/>
              </w:rPr>
            </w:pPr>
            <w:r>
              <w:rPr>
                <w:bCs/>
                <w:szCs w:val="21"/>
              </w:rPr>
              <w:t>重要生态敏感区</w:t>
            </w:r>
          </w:p>
        </w:tc>
        <w:tc>
          <w:tcPr>
            <w:tcW w:w="1832" w:type="dxa"/>
            <w:tcBorders>
              <w:tl2br w:val="nil"/>
              <w:tr2bl w:val="nil"/>
            </w:tcBorders>
            <w:vAlign w:val="center"/>
          </w:tcPr>
          <w:p>
            <w:pPr>
              <w:adjustRightInd w:val="0"/>
              <w:snapToGrid w:val="0"/>
              <w:jc w:val="center"/>
              <w:rPr>
                <w:bCs/>
                <w:szCs w:val="21"/>
              </w:rPr>
            </w:pPr>
            <w:r>
              <w:rPr>
                <w:bCs/>
                <w:szCs w:val="21"/>
              </w:rPr>
              <w:t>一级</w:t>
            </w:r>
          </w:p>
        </w:tc>
        <w:tc>
          <w:tcPr>
            <w:tcW w:w="2337" w:type="dxa"/>
            <w:tcBorders>
              <w:tl2br w:val="nil"/>
              <w:tr2bl w:val="nil"/>
            </w:tcBorders>
            <w:vAlign w:val="center"/>
          </w:tcPr>
          <w:p>
            <w:pPr>
              <w:adjustRightInd w:val="0"/>
              <w:snapToGrid w:val="0"/>
              <w:jc w:val="center"/>
              <w:rPr>
                <w:bCs/>
                <w:szCs w:val="21"/>
              </w:rPr>
            </w:pPr>
            <w:r>
              <w:rPr>
                <w:bCs/>
                <w:szCs w:val="21"/>
              </w:rPr>
              <w:t>二级</w:t>
            </w:r>
          </w:p>
        </w:tc>
        <w:tc>
          <w:tcPr>
            <w:tcW w:w="1849" w:type="dxa"/>
            <w:tcBorders>
              <w:tl2br w:val="nil"/>
              <w:tr2bl w:val="nil"/>
            </w:tcBorders>
            <w:shd w:val="clear" w:color="auto" w:fill="auto"/>
            <w:vAlign w:val="center"/>
          </w:tcPr>
          <w:p>
            <w:pPr>
              <w:adjustRightInd w:val="0"/>
              <w:snapToGrid w:val="0"/>
              <w:jc w:val="center"/>
              <w:rPr>
                <w:bCs/>
                <w:szCs w:val="21"/>
              </w:rPr>
            </w:pPr>
            <w:r>
              <w:rPr>
                <w:bCs/>
                <w:szCs w:val="21"/>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504" w:type="dxa"/>
            <w:tcBorders>
              <w:tl2br w:val="nil"/>
              <w:tr2bl w:val="nil"/>
            </w:tcBorders>
            <w:vAlign w:val="center"/>
          </w:tcPr>
          <w:p>
            <w:pPr>
              <w:adjustRightInd w:val="0"/>
              <w:snapToGrid w:val="0"/>
              <w:jc w:val="center"/>
              <w:rPr>
                <w:bCs/>
                <w:szCs w:val="21"/>
              </w:rPr>
            </w:pPr>
            <w:r>
              <w:rPr>
                <w:bCs/>
                <w:szCs w:val="21"/>
              </w:rPr>
              <w:t>一般区域</w:t>
            </w:r>
          </w:p>
        </w:tc>
        <w:tc>
          <w:tcPr>
            <w:tcW w:w="1832" w:type="dxa"/>
            <w:tcBorders>
              <w:tl2br w:val="nil"/>
              <w:tr2bl w:val="nil"/>
            </w:tcBorders>
            <w:vAlign w:val="center"/>
          </w:tcPr>
          <w:p>
            <w:pPr>
              <w:adjustRightInd w:val="0"/>
              <w:snapToGrid w:val="0"/>
              <w:jc w:val="center"/>
              <w:rPr>
                <w:bCs/>
                <w:szCs w:val="21"/>
              </w:rPr>
            </w:pPr>
            <w:r>
              <w:rPr>
                <w:bCs/>
                <w:szCs w:val="21"/>
              </w:rPr>
              <w:t>二级</w:t>
            </w:r>
          </w:p>
        </w:tc>
        <w:tc>
          <w:tcPr>
            <w:tcW w:w="2337" w:type="dxa"/>
            <w:tcBorders>
              <w:tl2br w:val="nil"/>
              <w:tr2bl w:val="nil"/>
            </w:tcBorders>
            <w:vAlign w:val="center"/>
          </w:tcPr>
          <w:p>
            <w:pPr>
              <w:adjustRightInd w:val="0"/>
              <w:snapToGrid w:val="0"/>
              <w:jc w:val="center"/>
              <w:rPr>
                <w:bCs/>
                <w:szCs w:val="21"/>
              </w:rPr>
            </w:pPr>
            <w:r>
              <w:rPr>
                <w:bCs/>
                <w:szCs w:val="21"/>
              </w:rPr>
              <w:t>三级</w:t>
            </w:r>
          </w:p>
        </w:tc>
        <w:tc>
          <w:tcPr>
            <w:tcW w:w="1849" w:type="dxa"/>
            <w:tcBorders>
              <w:tl2br w:val="nil"/>
              <w:tr2bl w:val="nil"/>
            </w:tcBorders>
            <w:shd w:val="clear" w:color="auto" w:fill="B4B4B4"/>
            <w:vAlign w:val="center"/>
          </w:tcPr>
          <w:p>
            <w:pPr>
              <w:adjustRightInd w:val="0"/>
              <w:snapToGrid w:val="0"/>
              <w:jc w:val="center"/>
              <w:rPr>
                <w:bCs/>
                <w:szCs w:val="21"/>
              </w:rPr>
            </w:pPr>
            <w:r>
              <w:rPr>
                <w:bCs/>
                <w:szCs w:val="21"/>
              </w:rPr>
              <w:t>三级</w:t>
            </w:r>
          </w:p>
        </w:tc>
      </w:tr>
      <w:bookmarkEnd w:id="107"/>
    </w:tbl>
    <w:p>
      <w:pPr>
        <w:pStyle w:val="5"/>
        <w:spacing w:before="120" w:after="120"/>
      </w:pPr>
      <w:bookmarkStart w:id="108" w:name="_Toc124913963"/>
      <w:bookmarkStart w:id="109" w:name="_Toc135630033"/>
      <w:bookmarkStart w:id="110" w:name="_Toc137861426"/>
      <w:bookmarkStart w:id="111" w:name="_Toc248308499"/>
      <w:bookmarkStart w:id="112" w:name="_Toc10196"/>
      <w:r>
        <w:t>评价范围和重点保护目标</w:t>
      </w:r>
      <w:bookmarkEnd w:id="108"/>
      <w:bookmarkEnd w:id="109"/>
      <w:bookmarkEnd w:id="110"/>
      <w:bookmarkEnd w:id="111"/>
      <w:bookmarkEnd w:id="112"/>
    </w:p>
    <w:p>
      <w:pPr>
        <w:pStyle w:val="6"/>
      </w:pPr>
      <w:bookmarkStart w:id="113" w:name="_Toc124913964"/>
      <w:bookmarkStart w:id="114" w:name="_Toc135630034"/>
      <w:bookmarkStart w:id="115" w:name="_Toc248308500"/>
      <w:bookmarkStart w:id="116" w:name="_Toc137861427"/>
      <w:bookmarkStart w:id="117" w:name="_Toc21397"/>
      <w:r>
        <w:t>评价范围</w:t>
      </w:r>
      <w:bookmarkEnd w:id="113"/>
      <w:bookmarkEnd w:id="114"/>
      <w:bookmarkEnd w:id="115"/>
      <w:bookmarkEnd w:id="116"/>
      <w:bookmarkEnd w:id="117"/>
    </w:p>
    <w:p>
      <w:pPr>
        <w:pStyle w:val="700"/>
        <w:snapToGrid w:val="0"/>
        <w:ind w:firstLine="480"/>
        <w:rPr>
          <w:rFonts w:hint="eastAsia" w:ascii="Times New Roman" w:hAnsi="Times New Roman" w:eastAsia="宋体" w:cs="Times New Roman"/>
          <w:sz w:val="24"/>
          <w:szCs w:val="24"/>
          <w:lang w:val="en-US" w:eastAsia="zh-CN"/>
        </w:rPr>
      </w:pPr>
      <w:bookmarkStart w:id="118" w:name="_Toc88903332"/>
      <w:r>
        <w:rPr>
          <w:rFonts w:hint="default" w:ascii="Times New Roman" w:hAnsi="Times New Roman" w:cs="Times New Roman"/>
          <w:sz w:val="24"/>
          <w:szCs w:val="24"/>
        </w:rPr>
        <w:t>（1）</w:t>
      </w:r>
      <w:bookmarkEnd w:id="118"/>
      <w:r>
        <w:rPr>
          <w:rFonts w:hint="eastAsia" w:ascii="Times New Roman" w:hAnsi="Times New Roman" w:cs="Times New Roman"/>
          <w:sz w:val="24"/>
          <w:szCs w:val="24"/>
          <w:lang w:val="en-US" w:eastAsia="zh-CN"/>
        </w:rPr>
        <w:t>地表水：满足万屯污水处理厂环境可行性分析的要求。</w:t>
      </w:r>
    </w:p>
    <w:p>
      <w:pPr>
        <w:pStyle w:val="700"/>
        <w:snapToGrid w:val="0"/>
        <w:ind w:firstLine="480"/>
        <w:rPr>
          <w:rFonts w:hint="default" w:ascii="Times New Roman" w:hAnsi="Times New Roman" w:cs="Times New Roman"/>
          <w:sz w:val="24"/>
          <w:szCs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2</w:t>
      </w:r>
      <w:r>
        <w:rPr>
          <w:rFonts w:hint="eastAsia" w:ascii="Times New Roman" w:hAnsi="Times New Roman" w:cs="Times New Roman"/>
          <w:sz w:val="24"/>
          <w:lang w:eastAsia="zh-CN"/>
        </w:rPr>
        <w:t>）</w:t>
      </w:r>
      <w:r>
        <w:rPr>
          <w:rFonts w:hint="default" w:ascii="Times New Roman" w:hAnsi="Times New Roman" w:cs="Times New Roman"/>
          <w:sz w:val="24"/>
        </w:rPr>
        <w:t>地下水：地下水环境影响评价范围≤6km</w:t>
      </w:r>
      <w:r>
        <w:rPr>
          <w:rFonts w:hint="default" w:ascii="Times New Roman" w:hAnsi="Times New Roman" w:cs="Times New Roman"/>
          <w:sz w:val="24"/>
          <w:vertAlign w:val="superscript"/>
        </w:rPr>
        <w:t>2</w:t>
      </w:r>
      <w:r>
        <w:rPr>
          <w:rFonts w:hint="default" w:ascii="Times New Roman" w:hAnsi="Times New Roman" w:cs="Times New Roman"/>
          <w:sz w:val="24"/>
        </w:rPr>
        <w:t>，为建设项目场区外同一水文地质单元。</w:t>
      </w:r>
    </w:p>
    <w:p>
      <w:pPr>
        <w:pStyle w:val="143"/>
        <w:spacing w:line="360" w:lineRule="auto"/>
        <w:ind w:firstLine="480"/>
        <w:rPr>
          <w:rFonts w:hint="default" w:ascii="Times New Roman" w:hAnsi="Times New Roman" w:cs="Times New Roman"/>
        </w:rPr>
      </w:pPr>
      <w:r>
        <w:rPr>
          <w:rFonts w:hint="default" w:ascii="Times New Roman" w:hAnsi="Times New Roman" w:cs="Times New Roman"/>
        </w:rPr>
        <w:t>（</w:t>
      </w:r>
      <w:r>
        <w:rPr>
          <w:rFonts w:hint="eastAsia" w:cs="Times New Roman"/>
          <w:lang w:val="en-US" w:eastAsia="zh-CN"/>
        </w:rPr>
        <w:t>3</w:t>
      </w:r>
      <w:r>
        <w:rPr>
          <w:rFonts w:hint="default" w:ascii="Times New Roman" w:hAnsi="Times New Roman" w:cs="Times New Roman"/>
        </w:rPr>
        <w:t>）大气：</w:t>
      </w:r>
      <w:r>
        <w:rPr>
          <w:rFonts w:hint="default" w:ascii="Times New Roman" w:hAnsi="Times New Roman" w:cs="Times New Roman"/>
          <w:color w:val="000000"/>
          <w:highlight w:val="none"/>
        </w:rPr>
        <w:t>根据《环境影响评价技术导则 大气环境》（HJ2.2-2018），二级评价项目大气环境影响评价范围边长取5km。</w:t>
      </w:r>
      <w:r>
        <w:rPr>
          <w:rFonts w:hint="default" w:ascii="Times New Roman" w:hAnsi="Times New Roman" w:cs="Times New Roman"/>
          <w:color w:val="auto"/>
          <w:kern w:val="0"/>
          <w:sz w:val="24"/>
          <w:szCs w:val="24"/>
          <w:highlight w:val="none"/>
        </w:rPr>
        <w:t>以拟建工程厂址为中心，南、北、东、西向各2.5km，边长为5km×5km的矩形区域，共25km</w:t>
      </w:r>
      <w:r>
        <w:rPr>
          <w:rFonts w:hint="default" w:ascii="Times New Roman" w:hAnsi="Times New Roman" w:cs="Times New Roman"/>
          <w:color w:val="auto"/>
          <w:kern w:val="0"/>
          <w:sz w:val="24"/>
          <w:szCs w:val="24"/>
          <w:highlight w:val="none"/>
          <w:vertAlign w:val="superscript"/>
        </w:rPr>
        <w:t>2</w:t>
      </w:r>
      <w:r>
        <w:rPr>
          <w:rFonts w:hint="default" w:ascii="Times New Roman" w:hAnsi="Times New Roman" w:cs="Times New Roman"/>
        </w:rPr>
        <w:t>。</w:t>
      </w:r>
    </w:p>
    <w:p>
      <w:pPr>
        <w:spacing w:line="360" w:lineRule="auto"/>
        <w:ind w:firstLine="480"/>
        <w:rPr>
          <w:sz w:val="24"/>
        </w:rPr>
      </w:pPr>
      <w:r>
        <w:rPr>
          <w:rFonts w:hint="default" w:ascii="Times New Roman" w:hAnsi="Times New Roman" w:cs="Times New Roman"/>
          <w:sz w:val="24"/>
        </w:rPr>
        <w:t>（</w:t>
      </w:r>
      <w:r>
        <w:rPr>
          <w:rFonts w:hint="eastAsia" w:cs="Times New Roman"/>
          <w:sz w:val="24"/>
          <w:lang w:val="en-US" w:eastAsia="zh-CN"/>
        </w:rPr>
        <w:t>4</w:t>
      </w:r>
      <w:r>
        <w:rPr>
          <w:rFonts w:hint="default" w:ascii="Times New Roman" w:hAnsi="Times New Roman" w:cs="Times New Roman"/>
          <w:sz w:val="24"/>
        </w:rPr>
        <w:t>）噪声：</w:t>
      </w:r>
      <w:bookmarkStart w:id="119" w:name="_Toc124332550"/>
      <w:r>
        <w:rPr>
          <w:rFonts w:hint="default" w:ascii="Times New Roman" w:hAnsi="Times New Roman" w:cs="Times New Roman"/>
          <w:sz w:val="24"/>
        </w:rPr>
        <w:t>噪声评价范围为厂界外200m的评价范围。</w:t>
      </w:r>
      <w:bookmarkEnd w:id="119"/>
    </w:p>
    <w:p>
      <w:pPr>
        <w:pStyle w:val="76"/>
        <w:spacing w:after="0" w:line="360" w:lineRule="auto"/>
        <w:ind w:firstLine="482"/>
        <w:jc w:val="left"/>
        <w:rPr>
          <w:sz w:val="24"/>
        </w:rPr>
      </w:pPr>
      <w:r>
        <w:rPr>
          <w:sz w:val="24"/>
        </w:rPr>
        <w:t>（</w:t>
      </w:r>
      <w:r>
        <w:rPr>
          <w:rFonts w:hint="eastAsia"/>
          <w:sz w:val="24"/>
          <w:lang w:val="en-US" w:eastAsia="zh-CN"/>
        </w:rPr>
        <w:t>5</w:t>
      </w:r>
      <w:r>
        <w:rPr>
          <w:sz w:val="24"/>
        </w:rPr>
        <w:t>）环境风险：本次风险评价范围为距离</w:t>
      </w:r>
      <w:r>
        <w:rPr>
          <w:rFonts w:hint="eastAsia"/>
          <w:sz w:val="24"/>
          <w:lang w:val="en-US" w:eastAsia="zh-CN"/>
        </w:rPr>
        <w:t>厂址</w:t>
      </w:r>
      <w:r>
        <w:rPr>
          <w:sz w:val="24"/>
        </w:rPr>
        <w:t>周围</w:t>
      </w:r>
      <w:r>
        <w:rPr>
          <w:rFonts w:hint="eastAsia"/>
          <w:sz w:val="24"/>
          <w:lang w:val="en-US" w:eastAsia="zh-CN"/>
        </w:rPr>
        <w:t>3</w:t>
      </w:r>
      <w:r>
        <w:rPr>
          <w:sz w:val="24"/>
        </w:rPr>
        <w:t>km的范围。</w:t>
      </w:r>
    </w:p>
    <w:p>
      <w:pPr>
        <w:widowControl/>
        <w:adjustRightInd w:val="0"/>
        <w:snapToGrid w:val="0"/>
        <w:spacing w:line="360" w:lineRule="auto"/>
        <w:ind w:firstLine="480" w:firstLineChars="200"/>
        <w:jc w:val="left"/>
        <w:rPr>
          <w:sz w:val="24"/>
        </w:rPr>
      </w:pPr>
      <w:r>
        <w:rPr>
          <w:sz w:val="24"/>
        </w:rPr>
        <w:t>（</w:t>
      </w:r>
      <w:r>
        <w:rPr>
          <w:rFonts w:hint="eastAsia"/>
          <w:sz w:val="24"/>
          <w:lang w:val="en-US" w:eastAsia="zh-CN"/>
        </w:rPr>
        <w:t>6</w:t>
      </w:r>
      <w:r>
        <w:rPr>
          <w:sz w:val="24"/>
        </w:rPr>
        <w:t>）生态评价：评价范围为项目全部活动的直接影响区域和间接影响区域：为厂界外延1km。</w:t>
      </w:r>
    </w:p>
    <w:p>
      <w:pPr>
        <w:pStyle w:val="1656"/>
        <w:rPr>
          <w:rFonts w:hint="default" w:eastAsia="宋体"/>
          <w:lang w:val="en-US" w:eastAsia="zh-CN"/>
        </w:rPr>
      </w:pPr>
      <w:r>
        <w:t>表2.4-</w:t>
      </w:r>
      <w:r>
        <w:rPr>
          <w:rFonts w:hint="eastAsia"/>
          <w:lang w:val="en-US" w:eastAsia="zh-CN"/>
        </w:rPr>
        <w:t>1  项目评价范围一览表</w:t>
      </w:r>
    </w:p>
    <w:tbl>
      <w:tblPr>
        <w:tblStyle w:val="88"/>
        <w:tblW w:w="8505" w:type="dxa"/>
        <w:tblInd w:w="86" w:type="dxa"/>
        <w:tblLayout w:type="fixed"/>
        <w:tblCellMar>
          <w:top w:w="0" w:type="dxa"/>
          <w:left w:w="0" w:type="dxa"/>
          <w:bottom w:w="0" w:type="dxa"/>
          <w:right w:w="0" w:type="dxa"/>
        </w:tblCellMar>
      </w:tblPr>
      <w:tblGrid>
        <w:gridCol w:w="1192"/>
        <w:gridCol w:w="7313"/>
      </w:tblGrid>
      <w:tr>
        <w:tblPrEx>
          <w:tblCellMar>
            <w:top w:w="0" w:type="dxa"/>
            <w:left w:w="0" w:type="dxa"/>
            <w:bottom w:w="0" w:type="dxa"/>
            <w:right w:w="0" w:type="dxa"/>
          </w:tblCellMar>
        </w:tblPrEx>
        <w:trPr>
          <w:trHeight w:val="454" w:hRule="exact"/>
        </w:trPr>
        <w:tc>
          <w:tcPr>
            <w:tcW w:w="1192" w:type="dxa"/>
            <w:tcBorders>
              <w:top w:val="single" w:color="000000" w:sz="12"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环境要素</w:t>
            </w:r>
          </w:p>
        </w:tc>
        <w:tc>
          <w:tcPr>
            <w:tcW w:w="7313" w:type="dxa"/>
            <w:tcBorders>
              <w:top w:val="single" w:color="000000" w:sz="12"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评价范围</w:t>
            </w:r>
          </w:p>
        </w:tc>
      </w:tr>
      <w:tr>
        <w:tblPrEx>
          <w:tblCellMar>
            <w:top w:w="0" w:type="dxa"/>
            <w:left w:w="0" w:type="dxa"/>
            <w:bottom w:w="0" w:type="dxa"/>
            <w:right w:w="0" w:type="dxa"/>
          </w:tblCellMar>
        </w:tblPrEx>
        <w:trPr>
          <w:trHeight w:val="374" w:hRule="exact"/>
        </w:trPr>
        <w:tc>
          <w:tcPr>
            <w:tcW w:w="1192" w:type="dxa"/>
            <w:tcBorders>
              <w:top w:val="single" w:color="000000" w:sz="6"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w:t>
            </w:r>
          </w:p>
        </w:tc>
        <w:tc>
          <w:tcPr>
            <w:tcW w:w="7313" w:type="dxa"/>
            <w:tcBorders>
              <w:top w:val="single" w:color="000000" w:sz="6"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z w:val="21"/>
                <w:szCs w:val="21"/>
                <w:lang w:val="en-US" w:eastAsia="zh-CN"/>
              </w:rPr>
              <w:t>满足万屯污水处理厂环境可行性分析的要求</w:t>
            </w:r>
          </w:p>
        </w:tc>
      </w:tr>
      <w:tr>
        <w:tblPrEx>
          <w:tblCellMar>
            <w:top w:w="0" w:type="dxa"/>
            <w:left w:w="0" w:type="dxa"/>
            <w:bottom w:w="0" w:type="dxa"/>
            <w:right w:w="0" w:type="dxa"/>
          </w:tblCellMar>
        </w:tblPrEx>
        <w:trPr>
          <w:trHeight w:val="357" w:hRule="exact"/>
        </w:trPr>
        <w:tc>
          <w:tcPr>
            <w:tcW w:w="1192" w:type="dxa"/>
            <w:tcBorders>
              <w:top w:val="single" w:color="000000" w:sz="6"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地下水环境</w:t>
            </w:r>
          </w:p>
        </w:tc>
        <w:tc>
          <w:tcPr>
            <w:tcW w:w="7313" w:type="dxa"/>
            <w:tcBorders>
              <w:top w:val="single" w:color="000000" w:sz="6"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Times New Roman" w:cs="Times New Roman"/>
                <w:sz w:val="13"/>
                <w:szCs w:val="13"/>
              </w:rPr>
            </w:pPr>
            <w:r>
              <w:rPr>
                <w:rFonts w:hint="default" w:ascii="Times New Roman" w:hAnsi="Times New Roman" w:eastAsia="宋体" w:cs="Times New Roman"/>
                <w:spacing w:val="-1"/>
                <w:sz w:val="21"/>
                <w:szCs w:val="21"/>
              </w:rPr>
              <w:t>项目所在水文地质单元</w:t>
            </w:r>
            <w:r>
              <w:rPr>
                <w:rFonts w:hint="default" w:ascii="Times New Roman" w:hAnsi="Times New Roman" w:cs="Times New Roman"/>
                <w:spacing w:val="-1"/>
                <w:sz w:val="21"/>
                <w:szCs w:val="21"/>
                <w:lang w:val="en-US" w:eastAsia="zh-CN"/>
              </w:rPr>
              <w:t>≤</w:t>
            </w:r>
            <w:r>
              <w:rPr>
                <w:rFonts w:hint="default" w:ascii="Times New Roman" w:hAnsi="Times New Roman" w:eastAsia="Times New Roman" w:cs="Times New Roman"/>
                <w:spacing w:val="-1"/>
                <w:sz w:val="21"/>
                <w:szCs w:val="21"/>
              </w:rPr>
              <w:t>6km</w:t>
            </w:r>
            <w:r>
              <w:rPr>
                <w:rFonts w:hint="default" w:ascii="Times New Roman" w:hAnsi="Times New Roman" w:eastAsia="Times New Roman" w:cs="Times New Roman"/>
                <w:spacing w:val="-1"/>
                <w:position w:val="7"/>
                <w:sz w:val="13"/>
                <w:szCs w:val="13"/>
              </w:rPr>
              <w:t>2</w:t>
            </w:r>
          </w:p>
        </w:tc>
      </w:tr>
      <w:tr>
        <w:tblPrEx>
          <w:tblCellMar>
            <w:top w:w="0" w:type="dxa"/>
            <w:left w:w="0" w:type="dxa"/>
            <w:bottom w:w="0" w:type="dxa"/>
            <w:right w:w="0" w:type="dxa"/>
          </w:tblCellMar>
        </w:tblPrEx>
        <w:trPr>
          <w:trHeight w:val="627" w:hRule="exact"/>
        </w:trPr>
        <w:tc>
          <w:tcPr>
            <w:tcW w:w="1192" w:type="dxa"/>
            <w:tcBorders>
              <w:top w:val="single" w:color="000000" w:sz="6"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大气环境</w:t>
            </w:r>
          </w:p>
        </w:tc>
        <w:tc>
          <w:tcPr>
            <w:tcW w:w="7313" w:type="dxa"/>
            <w:tcBorders>
              <w:top w:val="single" w:color="000000" w:sz="6"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以拟建工程厂址为中心，南、北、东、西向各2.5km，边长为5km×5km的矩形区域</w:t>
            </w:r>
          </w:p>
        </w:tc>
      </w:tr>
      <w:tr>
        <w:tblPrEx>
          <w:tblCellMar>
            <w:top w:w="0" w:type="dxa"/>
            <w:left w:w="0" w:type="dxa"/>
            <w:bottom w:w="0" w:type="dxa"/>
            <w:right w:w="0" w:type="dxa"/>
          </w:tblCellMar>
        </w:tblPrEx>
        <w:trPr>
          <w:trHeight w:val="327" w:hRule="exact"/>
        </w:trPr>
        <w:tc>
          <w:tcPr>
            <w:tcW w:w="1192" w:type="dxa"/>
            <w:tcBorders>
              <w:top w:val="single" w:color="000000" w:sz="6"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声环境</w:t>
            </w:r>
          </w:p>
        </w:tc>
        <w:tc>
          <w:tcPr>
            <w:tcW w:w="7313" w:type="dxa"/>
            <w:tcBorders>
              <w:top w:val="single" w:color="000000" w:sz="6"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项目场地边界外扩</w:t>
            </w:r>
            <w:r>
              <w:rPr>
                <w:rFonts w:hint="default" w:ascii="Times New Roman" w:hAnsi="Times New Roman" w:eastAsia="宋体" w:cs="Times New Roman"/>
                <w:spacing w:val="-51"/>
                <w:sz w:val="21"/>
                <w:szCs w:val="21"/>
              </w:rPr>
              <w:t xml:space="preserve"> </w:t>
            </w:r>
            <w:r>
              <w:rPr>
                <w:rFonts w:hint="default" w:ascii="Times New Roman" w:hAnsi="Times New Roman" w:eastAsia="Times New Roman" w:cs="Times New Roman"/>
                <w:sz w:val="21"/>
                <w:szCs w:val="21"/>
              </w:rPr>
              <w:t>200m</w:t>
            </w:r>
            <w:r>
              <w:rPr>
                <w:rFonts w:hint="default" w:ascii="Times New Roman" w:hAnsi="Times New Roman" w:eastAsia="Times New Roman" w:cs="Times New Roman"/>
                <w:spacing w:val="-1"/>
                <w:sz w:val="21"/>
                <w:szCs w:val="21"/>
              </w:rPr>
              <w:t xml:space="preserve"> </w:t>
            </w:r>
            <w:r>
              <w:rPr>
                <w:rFonts w:hint="default" w:ascii="Times New Roman" w:hAnsi="Times New Roman" w:eastAsia="宋体" w:cs="Times New Roman"/>
                <w:sz w:val="21"/>
                <w:szCs w:val="21"/>
              </w:rPr>
              <w:t>范围</w:t>
            </w:r>
          </w:p>
        </w:tc>
      </w:tr>
      <w:tr>
        <w:tblPrEx>
          <w:tblCellMar>
            <w:top w:w="0" w:type="dxa"/>
            <w:left w:w="0" w:type="dxa"/>
            <w:bottom w:w="0" w:type="dxa"/>
            <w:right w:w="0" w:type="dxa"/>
          </w:tblCellMar>
        </w:tblPrEx>
        <w:trPr>
          <w:trHeight w:val="391" w:hRule="exact"/>
        </w:trPr>
        <w:tc>
          <w:tcPr>
            <w:tcW w:w="1192" w:type="dxa"/>
            <w:tcBorders>
              <w:top w:val="single" w:color="000000" w:sz="6"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风险评价</w:t>
            </w:r>
          </w:p>
        </w:tc>
        <w:tc>
          <w:tcPr>
            <w:tcW w:w="7313" w:type="dxa"/>
            <w:tcBorders>
              <w:top w:val="single" w:color="000000" w:sz="6"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危险源周围</w:t>
            </w:r>
            <w:r>
              <w:rPr>
                <w:rFonts w:hint="default" w:ascii="Times New Roman" w:hAnsi="Times New Roman" w:eastAsia="宋体" w:cs="Times New Roman"/>
                <w:spacing w:val="-56"/>
                <w:sz w:val="21"/>
                <w:szCs w:val="21"/>
              </w:rPr>
              <w:t xml:space="preserve"> </w:t>
            </w:r>
            <w:r>
              <w:rPr>
                <w:rFonts w:hint="default" w:ascii="Times New Roman" w:hAnsi="Times New Roman" w:eastAsia="Times New Roman" w:cs="Times New Roman"/>
                <w:spacing w:val="-1"/>
                <w:sz w:val="21"/>
                <w:szCs w:val="21"/>
              </w:rPr>
              <w:t xml:space="preserve">3km </w:t>
            </w:r>
            <w:r>
              <w:rPr>
                <w:rFonts w:hint="default" w:ascii="Times New Roman" w:hAnsi="Times New Roman" w:eastAsia="宋体" w:cs="Times New Roman"/>
                <w:sz w:val="21"/>
                <w:szCs w:val="21"/>
              </w:rPr>
              <w:t>范围，重点评价危险源周围</w:t>
            </w:r>
            <w:r>
              <w:rPr>
                <w:rFonts w:hint="default" w:ascii="Times New Roman" w:hAnsi="Times New Roman" w:eastAsia="宋体" w:cs="Times New Roman"/>
                <w:spacing w:val="-55"/>
                <w:sz w:val="21"/>
                <w:szCs w:val="21"/>
              </w:rPr>
              <w:t xml:space="preserve"> </w:t>
            </w:r>
            <w:r>
              <w:rPr>
                <w:rFonts w:hint="default" w:ascii="Times New Roman" w:hAnsi="Times New Roman" w:eastAsia="Times New Roman" w:cs="Times New Roman"/>
                <w:sz w:val="21"/>
                <w:szCs w:val="21"/>
              </w:rPr>
              <w:t>300m</w:t>
            </w:r>
            <w:r>
              <w:rPr>
                <w:rFonts w:hint="default" w:ascii="Times New Roman" w:hAnsi="Times New Roman" w:eastAsia="Times New Roman" w:cs="Times New Roman"/>
                <w:spacing w:val="-3"/>
                <w:sz w:val="21"/>
                <w:szCs w:val="21"/>
              </w:rPr>
              <w:t xml:space="preserve"> </w:t>
            </w:r>
            <w:r>
              <w:rPr>
                <w:rFonts w:hint="default" w:ascii="Times New Roman" w:hAnsi="Times New Roman" w:eastAsia="宋体" w:cs="Times New Roman"/>
                <w:sz w:val="21"/>
                <w:szCs w:val="21"/>
              </w:rPr>
              <w:t>范围</w:t>
            </w:r>
          </w:p>
        </w:tc>
      </w:tr>
      <w:tr>
        <w:tblPrEx>
          <w:tblCellMar>
            <w:top w:w="0" w:type="dxa"/>
            <w:left w:w="0" w:type="dxa"/>
            <w:bottom w:w="0" w:type="dxa"/>
            <w:right w:w="0" w:type="dxa"/>
          </w:tblCellMar>
        </w:tblPrEx>
        <w:trPr>
          <w:trHeight w:val="356" w:hRule="exact"/>
        </w:trPr>
        <w:tc>
          <w:tcPr>
            <w:tcW w:w="1192" w:type="dxa"/>
            <w:tcBorders>
              <w:top w:val="single" w:color="000000" w:sz="6" w:space="0"/>
              <w:left w:val="single" w:color="000000" w:sz="12" w:space="0"/>
              <w:bottom w:val="single" w:color="000000" w:sz="6" w:space="0"/>
              <w:right w:val="single" w:color="000000" w:sz="6"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生态环境</w:t>
            </w:r>
          </w:p>
        </w:tc>
        <w:tc>
          <w:tcPr>
            <w:tcW w:w="7313" w:type="dxa"/>
            <w:tcBorders>
              <w:top w:val="single" w:color="000000" w:sz="6" w:space="0"/>
              <w:left w:val="single" w:color="000000" w:sz="6" w:space="0"/>
              <w:bottom w:val="single" w:color="000000" w:sz="6" w:space="0"/>
              <w:right w:val="single" w:color="000000" w:sz="12" w:space="0"/>
            </w:tcBorders>
            <w:vAlign w:val="center"/>
          </w:tcPr>
          <w:p>
            <w:pPr>
              <w:pStyle w:val="4069"/>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以场地边界向各方向延伸</w:t>
            </w:r>
            <w:r>
              <w:rPr>
                <w:rFonts w:hint="default" w:ascii="Times New Roman" w:hAnsi="Times New Roman" w:eastAsia="宋体" w:cs="Times New Roman"/>
                <w:spacing w:val="-55"/>
                <w:sz w:val="21"/>
                <w:szCs w:val="21"/>
              </w:rPr>
              <w:t xml:space="preserve"> </w:t>
            </w:r>
            <w:r>
              <w:rPr>
                <w:rFonts w:hint="default" w:ascii="Times New Roman" w:hAnsi="Times New Roman" w:eastAsia="宋体" w:cs="Times New Roman"/>
                <w:spacing w:val="-1"/>
                <w:sz w:val="21"/>
                <w:szCs w:val="21"/>
                <w:lang w:val="en-US" w:eastAsia="zh-CN"/>
              </w:rPr>
              <w:t>10</w:t>
            </w:r>
            <w:r>
              <w:rPr>
                <w:rFonts w:hint="default" w:ascii="Times New Roman" w:hAnsi="Times New Roman" w:eastAsia="Times New Roman" w:cs="Times New Roman"/>
                <w:spacing w:val="-1"/>
                <w:sz w:val="21"/>
                <w:szCs w:val="21"/>
              </w:rPr>
              <w:t>00m</w:t>
            </w:r>
            <w:r>
              <w:rPr>
                <w:rFonts w:hint="default" w:ascii="Times New Roman" w:hAnsi="Times New Roman" w:eastAsia="Times New Roman" w:cs="Times New Roman"/>
                <w:spacing w:val="-3"/>
                <w:sz w:val="21"/>
                <w:szCs w:val="21"/>
              </w:rPr>
              <w:t xml:space="preserve"> </w:t>
            </w:r>
            <w:r>
              <w:rPr>
                <w:rFonts w:hint="default" w:ascii="Times New Roman" w:hAnsi="Times New Roman" w:eastAsia="宋体" w:cs="Times New Roman"/>
                <w:sz w:val="21"/>
                <w:szCs w:val="21"/>
              </w:rPr>
              <w:t>为评价范围</w:t>
            </w:r>
          </w:p>
        </w:tc>
      </w:tr>
    </w:tbl>
    <w:p>
      <w:pPr>
        <w:pStyle w:val="6"/>
        <w:rPr>
          <w:rFonts w:ascii="Times New Roman" w:hAnsi="Times New Roman" w:cs="Times New Roman"/>
        </w:rPr>
      </w:pPr>
      <w:bookmarkStart w:id="120" w:name="_Toc9412"/>
      <w:r>
        <w:rPr>
          <w:rFonts w:hint="eastAsia" w:ascii="Times New Roman" w:hAnsi="Times New Roman" w:cs="Times New Roman"/>
          <w:lang w:eastAsia="zh-CN"/>
        </w:rPr>
        <w:t>主要</w:t>
      </w:r>
      <w:r>
        <w:rPr>
          <w:rFonts w:ascii="Times New Roman" w:hAnsi="Times New Roman" w:cs="Times New Roman"/>
        </w:rPr>
        <w:t>保护目标</w:t>
      </w:r>
      <w:bookmarkEnd w:id="120"/>
    </w:p>
    <w:p>
      <w:pPr>
        <w:pStyle w:val="1192"/>
        <w:ind w:firstLine="480"/>
      </w:pPr>
      <w:bookmarkStart w:id="121" w:name="_Toc135630036"/>
      <w:bookmarkStart w:id="122" w:name="_Toc124913966"/>
      <w:bookmarkStart w:id="123" w:name="_Toc137861429"/>
      <w:bookmarkStart w:id="124" w:name="_Toc248308502"/>
      <w:r>
        <w:t>根据项目外环境情况及项目特点，确定项目环境保护目标原则如下：</w:t>
      </w:r>
    </w:p>
    <w:p>
      <w:pPr>
        <w:pStyle w:val="1192"/>
        <w:ind w:firstLine="480"/>
      </w:pPr>
      <w:r>
        <w:rPr>
          <w:rFonts w:hint="eastAsia"/>
          <w:lang w:eastAsia="zh-CN"/>
        </w:rPr>
        <w:t>（</w:t>
      </w:r>
      <w:r>
        <w:rPr>
          <w:rFonts w:hint="eastAsia"/>
          <w:lang w:val="en-US" w:eastAsia="zh-CN"/>
        </w:rPr>
        <w:t>1</w:t>
      </w:r>
      <w:r>
        <w:rPr>
          <w:rFonts w:hint="eastAsia"/>
          <w:lang w:eastAsia="zh-CN"/>
        </w:rPr>
        <w:t>）</w:t>
      </w:r>
      <w:r>
        <w:t>项目的实施，不导致评价区的环境空气、水环境、声环境的质量类别发生变化。</w:t>
      </w:r>
    </w:p>
    <w:p>
      <w:pPr>
        <w:pStyle w:val="1192"/>
        <w:ind w:firstLine="480"/>
      </w:pPr>
      <w:r>
        <w:rPr>
          <w:rFonts w:hint="eastAsia"/>
          <w:lang w:eastAsia="zh-CN"/>
        </w:rPr>
        <w:t>（</w:t>
      </w:r>
      <w:r>
        <w:rPr>
          <w:rFonts w:hint="eastAsia"/>
          <w:lang w:val="en-US" w:eastAsia="zh-CN"/>
        </w:rPr>
        <w:t>2</w:t>
      </w:r>
      <w:r>
        <w:rPr>
          <w:rFonts w:hint="eastAsia"/>
          <w:lang w:eastAsia="zh-CN"/>
        </w:rPr>
        <w:t>）</w:t>
      </w:r>
      <w:r>
        <w:t>确保拟建项目评价范围内的环境质量符合所执行的标准要求，重点保护环境敏感目标。</w:t>
      </w:r>
    </w:p>
    <w:p>
      <w:pPr>
        <w:pStyle w:val="1192"/>
        <w:ind w:firstLine="480"/>
      </w:pPr>
      <w:r>
        <w:rPr>
          <w:rFonts w:hint="eastAsia"/>
          <w:lang w:eastAsia="zh-CN"/>
        </w:rPr>
        <w:t>（</w:t>
      </w:r>
      <w:r>
        <w:rPr>
          <w:rFonts w:hint="eastAsia"/>
          <w:lang w:val="en-US" w:eastAsia="zh-CN"/>
        </w:rPr>
        <w:t>3</w:t>
      </w:r>
      <w:r>
        <w:rPr>
          <w:rFonts w:hint="eastAsia"/>
          <w:lang w:eastAsia="zh-CN"/>
        </w:rPr>
        <w:t>）</w:t>
      </w:r>
      <w:r>
        <w:t>环境空气：评价区范围内的居民区、单位等人群聚集区。</w:t>
      </w:r>
    </w:p>
    <w:p>
      <w:pPr>
        <w:pStyle w:val="1192"/>
        <w:ind w:firstLine="480"/>
      </w:pPr>
      <w:r>
        <w:rPr>
          <w:rFonts w:hint="eastAsia"/>
          <w:lang w:eastAsia="zh-CN"/>
        </w:rPr>
        <w:t>（</w:t>
      </w:r>
      <w:r>
        <w:rPr>
          <w:rFonts w:hint="eastAsia"/>
          <w:lang w:val="en-US" w:eastAsia="zh-CN"/>
        </w:rPr>
        <w:t>4</w:t>
      </w:r>
      <w:r>
        <w:rPr>
          <w:rFonts w:hint="eastAsia"/>
          <w:lang w:eastAsia="zh-CN"/>
        </w:rPr>
        <w:t>）</w:t>
      </w:r>
      <w:r>
        <w:t>地表水和地下水环境：在评价范围内的水体功能和环境质量类别不因本项目的建设而发生变化。</w:t>
      </w:r>
    </w:p>
    <w:p>
      <w:pPr>
        <w:pStyle w:val="1192"/>
        <w:ind w:firstLine="480"/>
      </w:pPr>
      <w:r>
        <w:rPr>
          <w:rFonts w:hint="eastAsia"/>
          <w:lang w:eastAsia="zh-CN"/>
        </w:rPr>
        <w:t>（</w:t>
      </w:r>
      <w:r>
        <w:rPr>
          <w:rFonts w:hint="eastAsia"/>
          <w:lang w:val="en-US" w:eastAsia="zh-CN"/>
        </w:rPr>
        <w:t>5</w:t>
      </w:r>
      <w:r>
        <w:rPr>
          <w:rFonts w:hint="eastAsia"/>
          <w:lang w:eastAsia="zh-CN"/>
        </w:rPr>
        <w:t>）</w:t>
      </w:r>
      <w:r>
        <w:t>声环境：项目边界外200m范围内的居民区、单位。</w:t>
      </w:r>
    </w:p>
    <w:p>
      <w:pPr>
        <w:pStyle w:val="1192"/>
        <w:ind w:firstLine="480"/>
      </w:pPr>
      <w:r>
        <w:rPr>
          <w:rFonts w:hint="eastAsia"/>
          <w:lang w:eastAsia="zh-CN"/>
        </w:rPr>
        <w:t>（</w:t>
      </w:r>
      <w:r>
        <w:rPr>
          <w:rFonts w:hint="eastAsia"/>
          <w:lang w:val="en-US" w:eastAsia="zh-CN"/>
        </w:rPr>
        <w:t>6</w:t>
      </w:r>
      <w:r>
        <w:rPr>
          <w:rFonts w:hint="eastAsia"/>
          <w:lang w:eastAsia="zh-CN"/>
        </w:rPr>
        <w:t>）</w:t>
      </w:r>
      <w:r>
        <w:t>生态环境：重点为区域水土保持。</w:t>
      </w:r>
    </w:p>
    <w:p>
      <w:pPr>
        <w:pStyle w:val="1192"/>
        <w:ind w:firstLine="480"/>
        <w:rPr>
          <w:rFonts w:hint="eastAsia"/>
          <w:lang w:eastAsia="zh-CN"/>
        </w:rPr>
      </w:pPr>
      <w:r>
        <w:t>主要环境保护目标见表2.</w:t>
      </w:r>
      <w:r>
        <w:rPr>
          <w:rFonts w:hint="eastAsia"/>
          <w:lang w:val="en-US" w:eastAsia="zh-CN"/>
        </w:rPr>
        <w:t>4</w:t>
      </w:r>
      <w:r>
        <w:t>-</w:t>
      </w:r>
      <w:r>
        <w:rPr>
          <w:rFonts w:hint="eastAsia"/>
          <w:lang w:val="en-US" w:eastAsia="zh-CN"/>
        </w:rPr>
        <w:t>2</w:t>
      </w:r>
      <w:r>
        <w:rPr>
          <w:rFonts w:hint="eastAsia"/>
          <w:lang w:eastAsia="zh-CN"/>
        </w:rPr>
        <w:t>。</w:t>
      </w:r>
    </w:p>
    <w:p>
      <w:pPr>
        <w:pStyle w:val="1656"/>
        <w:rPr>
          <w:rFonts w:hint="eastAsia" w:eastAsia="宋体"/>
          <w:lang w:eastAsia="zh-CN"/>
        </w:rPr>
      </w:pPr>
      <w:r>
        <w:t>表2.</w:t>
      </w:r>
      <w:r>
        <w:rPr>
          <w:rFonts w:hint="eastAsia"/>
          <w:lang w:val="en-US" w:eastAsia="zh-CN"/>
        </w:rPr>
        <w:t>4</w:t>
      </w:r>
      <w:r>
        <w:t>-</w:t>
      </w:r>
      <w:r>
        <w:rPr>
          <w:rFonts w:hint="eastAsia"/>
          <w:lang w:val="en-US" w:eastAsia="zh-CN"/>
        </w:rPr>
        <w:t xml:space="preserve">2  </w:t>
      </w:r>
      <w:r>
        <w:rPr>
          <w:rFonts w:hint="eastAsia"/>
          <w:lang w:eastAsia="zh-CN"/>
        </w:rPr>
        <w:t>项目主要环境保护目标一览表</w:t>
      </w:r>
    </w:p>
    <w:tbl>
      <w:tblPr>
        <w:tblStyle w:val="88"/>
        <w:tblW w:w="9495" w:type="dxa"/>
        <w:tblInd w:w="-227"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40"/>
        <w:gridCol w:w="1005"/>
        <w:gridCol w:w="1845"/>
        <w:gridCol w:w="765"/>
        <w:gridCol w:w="940"/>
        <w:gridCol w:w="2051"/>
        <w:gridCol w:w="2349"/>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restart"/>
            <w:tcBorders>
              <w:bottom w:val="single" w:color="000000" w:sz="4" w:space="0"/>
              <w:right w:val="single" w:color="000000" w:sz="4" w:space="0"/>
            </w:tcBorders>
          </w:tcPr>
          <w:p>
            <w:pPr>
              <w:pStyle w:val="4069"/>
              <w:keepNext w:val="0"/>
              <w:keepLines w:val="0"/>
              <w:suppressLineNumbers w:val="0"/>
              <w:spacing w:before="29" w:beforeAutospacing="0" w:afterAutospacing="0"/>
              <w:ind w:left="15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环境</w:t>
            </w:r>
          </w:p>
          <w:p>
            <w:pPr>
              <w:pStyle w:val="4069"/>
              <w:keepNext w:val="0"/>
              <w:keepLines w:val="0"/>
              <w:suppressLineNumbers w:val="0"/>
              <w:spacing w:before="43" w:beforeAutospacing="0" w:afterAutospacing="0"/>
              <w:ind w:left="15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要素</w:t>
            </w:r>
          </w:p>
        </w:tc>
        <w:tc>
          <w:tcPr>
            <w:tcW w:w="1005" w:type="dxa"/>
            <w:vMerge w:val="restart"/>
            <w:tcBorders>
              <w:left w:val="single" w:color="000000" w:sz="4" w:space="0"/>
              <w:bottom w:val="single" w:color="000000" w:sz="4" w:space="0"/>
              <w:right w:val="single" w:color="auto" w:sz="4" w:space="0"/>
            </w:tcBorders>
          </w:tcPr>
          <w:p>
            <w:pPr>
              <w:pStyle w:val="4069"/>
              <w:keepNext w:val="0"/>
              <w:keepLines w:val="0"/>
              <w:suppressLineNumbers w:val="0"/>
              <w:spacing w:before="6" w:beforeAutospacing="0" w:afterAutospacing="0"/>
              <w:jc w:val="left"/>
              <w:rPr>
                <w:b/>
                <w:color w:val="000000" w:themeColor="text1"/>
                <w:kern w:val="2"/>
                <w:sz w:val="14"/>
                <w14:textFill>
                  <w14:solidFill>
                    <w14:schemeClr w14:val="tx1"/>
                  </w14:solidFill>
                </w14:textFill>
              </w:rPr>
            </w:pPr>
          </w:p>
          <w:p>
            <w:pPr>
              <w:pStyle w:val="4069"/>
              <w:keepNext w:val="0"/>
              <w:keepLines w:val="0"/>
              <w:suppressLineNumbers w:val="0"/>
              <w:spacing w:beforeAutospacing="0" w:afterAutospacing="0"/>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保护目标</w:t>
            </w:r>
          </w:p>
        </w:tc>
        <w:tc>
          <w:tcPr>
            <w:tcW w:w="1845" w:type="dxa"/>
            <w:vMerge w:val="restart"/>
            <w:tcBorders>
              <w:left w:val="single" w:color="auto" w:sz="4" w:space="0"/>
              <w:bottom w:val="single" w:color="000000" w:sz="4" w:space="0"/>
              <w:right w:val="single" w:color="000000" w:sz="4" w:space="0"/>
            </w:tcBorders>
          </w:tcPr>
          <w:p>
            <w:pPr>
              <w:pStyle w:val="4069"/>
              <w:keepNext w:val="0"/>
              <w:keepLines w:val="0"/>
              <w:suppressLineNumbers w:val="0"/>
              <w:spacing w:beforeAutospacing="0" w:afterAutospacing="0"/>
              <w:ind w:left="573"/>
              <w:jc w:val="left"/>
              <w:rPr>
                <w:rFonts w:hint="eastAsia"/>
                <w:color w:val="000000" w:themeColor="text1"/>
                <w:kern w:val="2"/>
                <w:sz w:val="21"/>
                <w:lang w:val="en-US" w:eastAsia="zh-CN"/>
                <w14:textFill>
                  <w14:solidFill>
                    <w14:schemeClr w14:val="tx1"/>
                  </w14:solidFill>
                </w14:textFill>
              </w:rPr>
            </w:pPr>
          </w:p>
          <w:p>
            <w:pPr>
              <w:pStyle w:val="4069"/>
              <w:keepNext w:val="0"/>
              <w:keepLines w:val="0"/>
              <w:suppressLineNumbers w:val="0"/>
              <w:spacing w:beforeAutospacing="0" w:afterAutospacing="0"/>
              <w:ind w:firstLine="420" w:firstLineChars="200"/>
              <w:jc w:val="left"/>
              <w:rPr>
                <w:rFonts w:hint="eastAsia" w:eastAsia="宋体"/>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坐标</w:t>
            </w:r>
          </w:p>
        </w:tc>
        <w:tc>
          <w:tcPr>
            <w:tcW w:w="1705" w:type="dxa"/>
            <w:gridSpan w:val="2"/>
            <w:tcBorders>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41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距场界位置</w:t>
            </w:r>
          </w:p>
        </w:tc>
        <w:tc>
          <w:tcPr>
            <w:tcW w:w="2051" w:type="dxa"/>
            <w:vMerge w:val="restart"/>
            <w:tcBorders>
              <w:left w:val="single" w:color="000000" w:sz="4" w:space="0"/>
              <w:bottom w:val="single" w:color="000000" w:sz="4" w:space="0"/>
              <w:right w:val="single" w:color="000000" w:sz="4" w:space="0"/>
            </w:tcBorders>
          </w:tcPr>
          <w:p>
            <w:pPr>
              <w:pStyle w:val="4069"/>
              <w:keepNext w:val="0"/>
              <w:keepLines w:val="0"/>
              <w:suppressLineNumbers w:val="0"/>
              <w:spacing w:before="185" w:beforeAutospacing="0" w:afterAutospacing="0"/>
              <w:ind w:left="635"/>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规模</w:t>
            </w:r>
            <w:r>
              <w:rPr>
                <w:rFonts w:ascii="Times New Roman" w:eastAsia="Times New Roman"/>
                <w:color w:val="000000" w:themeColor="text1"/>
                <w:kern w:val="2"/>
                <w:sz w:val="21"/>
                <w14:textFill>
                  <w14:solidFill>
                    <w14:schemeClr w14:val="tx1"/>
                  </w14:solidFill>
                </w14:textFill>
              </w:rPr>
              <w:t>/</w:t>
            </w:r>
            <w:r>
              <w:rPr>
                <w:color w:val="000000" w:themeColor="text1"/>
                <w:kern w:val="2"/>
                <w:sz w:val="21"/>
                <w14:textFill>
                  <w14:solidFill>
                    <w14:schemeClr w14:val="tx1"/>
                  </w14:solidFill>
                </w14:textFill>
              </w:rPr>
              <w:t>功能</w:t>
            </w:r>
          </w:p>
        </w:tc>
        <w:tc>
          <w:tcPr>
            <w:tcW w:w="2349" w:type="dxa"/>
            <w:vMerge w:val="restart"/>
            <w:tcBorders>
              <w:left w:val="single" w:color="000000" w:sz="4" w:space="0"/>
              <w:bottom w:val="single" w:color="000000" w:sz="4" w:space="0"/>
            </w:tcBorders>
          </w:tcPr>
          <w:p>
            <w:pPr>
              <w:pStyle w:val="4069"/>
              <w:keepNext w:val="0"/>
              <w:keepLines w:val="0"/>
              <w:suppressLineNumbers w:val="0"/>
              <w:spacing w:before="6" w:beforeAutospacing="0" w:afterAutospacing="0"/>
              <w:jc w:val="left"/>
              <w:rPr>
                <w:b/>
                <w:color w:val="000000" w:themeColor="text1"/>
                <w:kern w:val="2"/>
                <w:sz w:val="14"/>
                <w14:textFill>
                  <w14:solidFill>
                    <w14:schemeClr w14:val="tx1"/>
                  </w14:solidFill>
                </w14:textFill>
              </w:rPr>
            </w:pPr>
          </w:p>
          <w:p>
            <w:pPr>
              <w:pStyle w:val="4069"/>
              <w:keepNext w:val="0"/>
              <w:keepLines w:val="0"/>
              <w:suppressLineNumbers w:val="0"/>
              <w:spacing w:beforeAutospacing="0" w:afterAutospacing="0"/>
              <w:ind w:left="656"/>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保护目级别</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005" w:type="dxa"/>
            <w:vMerge w:val="continue"/>
            <w:tcBorders>
              <w:top w:val="nil"/>
              <w:left w:val="single" w:color="000000" w:sz="4" w:space="0"/>
              <w:bottom w:val="single" w:color="000000" w:sz="4" w:space="0"/>
              <w:right w:val="single" w:color="auto"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1845" w:type="dxa"/>
            <w:vMerge w:val="continue"/>
            <w:tcBorders>
              <w:top w:val="nil"/>
              <w:left w:val="single" w:color="auto"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5" w:beforeAutospacing="0" w:afterAutospacing="0"/>
              <w:ind w:left="175" w:right="145"/>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方位</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5" w:beforeAutospacing="0" w:afterAutospacing="0"/>
              <w:ind w:left="106" w:right="81"/>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最近距离</w:t>
            </w:r>
          </w:p>
        </w:tc>
        <w:tc>
          <w:tcPr>
            <w:tcW w:w="2051" w:type="dxa"/>
            <w:vMerge w:val="continue"/>
            <w:tcBorders>
              <w:top w:val="nil"/>
              <w:left w:val="single" w:color="000000" w:sz="4" w:space="0"/>
              <w:bottom w:val="single" w:color="000000" w:sz="4" w:space="0"/>
              <w:right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restart"/>
            <w:tcBorders>
              <w:top w:val="single" w:color="000000" w:sz="4" w:space="0"/>
              <w:bottom w:val="single" w:color="000000" w:sz="4" w:space="0"/>
              <w:right w:val="single" w:color="000000" w:sz="4" w:space="0"/>
            </w:tcBorders>
          </w:tcPr>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center"/>
              <w:rPr>
                <w:b/>
                <w:color w:val="000000" w:themeColor="text1"/>
                <w:kern w:val="2"/>
                <w:sz w:val="20"/>
                <w14:textFill>
                  <w14:solidFill>
                    <w14:schemeClr w14:val="tx1"/>
                  </w14:solidFill>
                </w14:textFill>
              </w:rPr>
            </w:pPr>
          </w:p>
          <w:p>
            <w:pPr>
              <w:pStyle w:val="4069"/>
              <w:keepNext w:val="0"/>
              <w:keepLines w:val="0"/>
              <w:suppressLineNumbers w:val="0"/>
              <w:spacing w:before="166" w:beforeAutospacing="0" w:afterAutospacing="0" w:line="278" w:lineRule="auto"/>
              <w:ind w:right="132"/>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大气环境</w:t>
            </w:r>
          </w:p>
        </w:tc>
        <w:tc>
          <w:tcPr>
            <w:tcW w:w="1005"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Autospacing="0" w:afterAutospacing="0"/>
              <w:ind w:left="0" w:leftChars="0" w:right="0" w:rightChars="0"/>
              <w:jc w:val="center"/>
              <w:rPr>
                <w:color w:val="000000" w:themeColor="text1"/>
                <w:kern w:val="2"/>
                <w:sz w:val="21"/>
                <w14:textFill>
                  <w14:solidFill>
                    <w14:schemeClr w14:val="tx1"/>
                  </w14:solidFill>
                </w14:textFill>
              </w:rPr>
            </w:pPr>
            <w:r>
              <w:rPr>
                <w:rFonts w:hint="eastAsia"/>
                <w:color w:val="000000" w:themeColor="text1"/>
                <w:kern w:val="2"/>
                <w14:textFill>
                  <w14:solidFill>
                    <w14:schemeClr w14:val="tx1"/>
                  </w14:solidFill>
                </w14:textFill>
              </w:rPr>
              <w:t xml:space="preserve">龙汪平组居民 </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2" w:beforeAutospacing="0" w:afterAutospacing="0"/>
              <w:ind w:right="-191" w:rightChars="0"/>
              <w:jc w:val="left"/>
              <w:rPr>
                <w:rFonts w:hint="eastAsia" w:eastAsia="宋体"/>
                <w:color w:val="000000" w:themeColor="text1"/>
                <w:kern w:val="2"/>
                <w:sz w:val="21"/>
                <w:lang w:eastAsia="zh-CN"/>
                <w14:textFill>
                  <w14:solidFill>
                    <w14:schemeClr w14:val="tx1"/>
                  </w14:solidFill>
                </w14:textFill>
              </w:rPr>
            </w:pPr>
            <w:r>
              <w:rPr>
                <w:rFonts w:hint="eastAsia"/>
                <w:color w:val="000000" w:themeColor="text1"/>
                <w:kern w:val="2"/>
                <w:sz w:val="21"/>
                <w14:textFill>
                  <w14:solidFill>
                    <w14:schemeClr w14:val="tx1"/>
                  </w14:solidFill>
                </w14:textFill>
              </w:rPr>
              <w:t>25°14'</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20.48"</w:t>
            </w:r>
            <w:r>
              <w:rPr>
                <w:rFonts w:hint="eastAsia"/>
                <w:color w:val="000000" w:themeColor="text1"/>
                <w:kern w:val="2"/>
                <w:sz w:val="21"/>
                <w:lang w:val="en-US" w:eastAsia="zh-CN"/>
                <w14:textFill>
                  <w14:solidFill>
                    <w14:schemeClr w14:val="tx1"/>
                  </w14:solidFill>
                </w14:textFill>
              </w:rPr>
              <w:t>北</w:t>
            </w:r>
            <w:r>
              <w:rPr>
                <w:rFonts w:hint="eastAsia"/>
                <w:color w:val="000000" w:themeColor="text1"/>
                <w:kern w:val="2"/>
                <w:sz w:val="21"/>
                <w:lang w:eastAsia="zh-CN"/>
                <w14:textFill>
                  <w14:solidFill>
                    <w14:schemeClr w14:val="tx1"/>
                  </w14:solidFill>
                </w14:textFill>
              </w:rPr>
              <w:t>，105°2'</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lang w:eastAsia="zh-CN"/>
                <w14:textFill>
                  <w14:solidFill>
                    <w14:schemeClr w14:val="tx1"/>
                  </w14:solidFill>
                </w14:textFill>
              </w:rPr>
              <w:t>30.11"东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175" w:right="145"/>
              <w:rPr>
                <w:rFonts w:hint="eastAsia" w:eastAsia="宋体"/>
                <w:color w:val="000000" w:themeColor="text1"/>
                <w:kern w:val="2"/>
                <w:sz w:val="21"/>
                <w:lang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西北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10</w:t>
            </w:r>
            <w:r>
              <w:rPr>
                <w:rFonts w:hint="eastAsia" w:ascii="Times New Roman"/>
                <w:color w:val="000000" w:themeColor="text1"/>
                <w:kern w:val="2"/>
                <w:sz w:val="21"/>
                <w:lang w:val="en-US" w:eastAsia="zh-CN"/>
                <w14:textFill>
                  <w14:solidFill>
                    <w14:schemeClr w14:val="tx1"/>
                  </w14:solidFill>
                </w14:textFill>
              </w:rPr>
              <w:t>00</w:t>
            </w:r>
            <w:r>
              <w:rPr>
                <w:rFonts w:ascii="Times New Roman"/>
                <w:color w:val="000000" w:themeColor="text1"/>
                <w:kern w:val="2"/>
                <w:sz w:val="21"/>
                <w14:textFill>
                  <w14:solidFill>
                    <w14:schemeClr w14:val="tx1"/>
                  </w14:solidFill>
                </w14:textFill>
              </w:rPr>
              <w:t>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8"/>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 xml:space="preserve">约 </w:t>
            </w:r>
            <w:r>
              <w:rPr>
                <w:rFonts w:ascii="Times New Roman" w:eastAsia="Times New Roman"/>
                <w:color w:val="000000" w:themeColor="text1"/>
                <w:kern w:val="2"/>
                <w:sz w:val="21"/>
                <w14:textFill>
                  <w14:solidFill>
                    <w14:schemeClr w14:val="tx1"/>
                  </w14:solidFill>
                </w14:textFill>
              </w:rPr>
              <w:t>1</w:t>
            </w:r>
            <w:r>
              <w:rPr>
                <w:rFonts w:hint="eastAsia" w:ascii="Times New Roman"/>
                <w:color w:val="000000" w:themeColor="text1"/>
                <w:kern w:val="2"/>
                <w:sz w:val="21"/>
                <w:lang w:val="en-US" w:eastAsia="zh-CN"/>
                <w14:textFill>
                  <w14:solidFill>
                    <w14:schemeClr w14:val="tx1"/>
                  </w14:solidFill>
                </w14:textFill>
              </w:rPr>
              <w:t>8</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户，</w:t>
            </w:r>
            <w:r>
              <w:rPr>
                <w:rFonts w:hint="eastAsia" w:ascii="Times New Roman"/>
                <w:color w:val="000000" w:themeColor="text1"/>
                <w:kern w:val="2"/>
                <w:sz w:val="21"/>
                <w:lang w:val="en-US" w:eastAsia="zh-CN"/>
                <w14:textFill>
                  <w14:solidFill>
                    <w14:schemeClr w14:val="tx1"/>
                  </w14:solidFill>
                </w14:textFill>
              </w:rPr>
              <w:t>54</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人</w:t>
            </w:r>
          </w:p>
        </w:tc>
        <w:tc>
          <w:tcPr>
            <w:tcW w:w="2349" w:type="dxa"/>
            <w:vMerge w:val="restart"/>
            <w:tcBorders>
              <w:top w:val="single" w:color="000000" w:sz="4" w:space="0"/>
              <w:left w:val="single" w:color="000000" w:sz="4" w:space="0"/>
              <w:bottom w:val="single" w:color="000000" w:sz="4" w:space="0"/>
            </w:tcBorders>
          </w:tcPr>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10" w:beforeAutospacing="0" w:afterAutospacing="0"/>
              <w:jc w:val="left"/>
              <w:rPr>
                <w:b/>
                <w:color w:val="000000" w:themeColor="text1"/>
                <w:kern w:val="2"/>
                <w:sz w:val="20"/>
                <w14:textFill>
                  <w14:solidFill>
                    <w14:schemeClr w14:val="tx1"/>
                  </w14:solidFill>
                </w14:textFill>
              </w:rPr>
            </w:pPr>
          </w:p>
          <w:p>
            <w:pPr>
              <w:pStyle w:val="4069"/>
              <w:keepNext w:val="0"/>
              <w:keepLines w:val="0"/>
              <w:suppressLineNumbers w:val="0"/>
              <w:spacing w:beforeAutospacing="0" w:afterAutospacing="0"/>
              <w:ind w:left="130"/>
              <w:jc w:val="left"/>
              <w:rPr>
                <w:color w:val="000000" w:themeColor="text1"/>
                <w:kern w:val="2"/>
                <w:sz w:val="21"/>
                <w14:textFill>
                  <w14:solidFill>
                    <w14:schemeClr w14:val="tx1"/>
                  </w14:solidFill>
                </w14:textFill>
              </w:rPr>
            </w:pPr>
            <w:r>
              <w:rPr>
                <w:color w:val="000000" w:themeColor="text1"/>
                <w:spacing w:val="-3"/>
                <w:kern w:val="2"/>
                <w:sz w:val="21"/>
                <w14:textFill>
                  <w14:solidFill>
                    <w14:schemeClr w14:val="tx1"/>
                  </w14:solidFill>
                </w14:textFill>
              </w:rPr>
              <w:t>《环境空气质量标准》</w:t>
            </w:r>
          </w:p>
          <w:p>
            <w:pPr>
              <w:pStyle w:val="4069"/>
              <w:keepNext w:val="0"/>
              <w:keepLines w:val="0"/>
              <w:suppressLineNumbers w:val="0"/>
              <w:spacing w:before="43" w:beforeAutospacing="0" w:afterAutospacing="0"/>
              <w:ind w:left="158"/>
              <w:jc w:val="left"/>
              <w:rPr>
                <w:color w:val="000000" w:themeColor="text1"/>
                <w:kern w:val="2"/>
                <w:sz w:val="21"/>
                <w14:textFill>
                  <w14:solidFill>
                    <w14:schemeClr w14:val="tx1"/>
                  </w14:solidFill>
                </w14:textFill>
              </w:rPr>
            </w:pPr>
            <w:r>
              <w:rPr>
                <w:color w:val="000000" w:themeColor="text1"/>
                <w:spacing w:val="-1"/>
                <w:kern w:val="2"/>
                <w:sz w:val="21"/>
                <w14:textFill>
                  <w14:solidFill>
                    <w14:schemeClr w14:val="tx1"/>
                  </w14:solidFill>
                </w14:textFill>
              </w:rPr>
              <w:t>（</w:t>
            </w:r>
            <w:r>
              <w:rPr>
                <w:rFonts w:ascii="Times New Roman" w:eastAsia="Times New Roman"/>
                <w:color w:val="000000" w:themeColor="text1"/>
                <w:spacing w:val="-1"/>
                <w:kern w:val="2"/>
                <w:sz w:val="21"/>
                <w14:textFill>
                  <w14:solidFill>
                    <w14:schemeClr w14:val="tx1"/>
                  </w14:solidFill>
                </w14:textFill>
              </w:rPr>
              <w:t>GB3095-2012</w:t>
            </w:r>
            <w:r>
              <w:rPr>
                <w:color w:val="000000" w:themeColor="text1"/>
                <w:spacing w:val="-1"/>
                <w:kern w:val="2"/>
                <w:sz w:val="21"/>
                <w14:textFill>
                  <w14:solidFill>
                    <w14:schemeClr w14:val="tx1"/>
                  </w14:solidFill>
                </w14:textFill>
              </w:rPr>
              <w:t>）</w:t>
            </w:r>
            <w:r>
              <w:rPr>
                <w:color w:val="000000" w:themeColor="text1"/>
                <w:kern w:val="2"/>
                <w:sz w:val="21"/>
                <w14:textFill>
                  <w14:solidFill>
                    <w14:schemeClr w14:val="tx1"/>
                  </w14:solidFill>
                </w14:textFill>
              </w:rPr>
              <w:t>二级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vAlign w:val="center"/>
          </w:tcPr>
          <w:p>
            <w:pPr>
              <w:keepNext w:val="0"/>
              <w:keepLines w:val="0"/>
              <w:suppressLineNumbers w:val="0"/>
              <w:spacing w:beforeAutospacing="0" w:afterAutospacing="0"/>
              <w:ind w:left="0" w:leftChars="0" w:right="0" w:rightChars="0"/>
              <w:jc w:val="center"/>
              <w:rPr>
                <w:color w:val="000000" w:themeColor="text1"/>
                <w:kern w:val="2"/>
                <w:sz w:val="21"/>
                <w14:textFill>
                  <w14:solidFill>
                    <w14:schemeClr w14:val="tx1"/>
                  </w14:solidFill>
                </w14:textFill>
              </w:rPr>
            </w:pPr>
            <w:r>
              <w:rPr>
                <w:rFonts w:hint="eastAsia"/>
                <w:color w:val="000000" w:themeColor="text1"/>
                <w:kern w:val="2"/>
                <w14:textFill>
                  <w14:solidFill>
                    <w14:schemeClr w14:val="tx1"/>
                  </w14:solidFill>
                </w14:textFill>
              </w:rPr>
              <w:t>补泥鸡组居民</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2" w:beforeAutospacing="0" w:afterAutospacing="0"/>
              <w:ind w:right="-45" w:rightChars="0"/>
              <w:jc w:val="both"/>
              <w:rPr>
                <w:color w:val="000000" w:themeColor="text1"/>
                <w:kern w:val="2"/>
                <w:sz w:val="21"/>
                <w14:textFill>
                  <w14:solidFill>
                    <w14:schemeClr w14:val="tx1"/>
                  </w14:solidFill>
                </w14:textFill>
              </w:rPr>
            </w:pPr>
            <w:r>
              <w:rPr>
                <w:rFonts w:hint="eastAsia" w:ascii="宋体" w:hAnsi="宋体" w:eastAsia="宋体" w:cs="宋体"/>
                <w:color w:val="000000" w:themeColor="text1"/>
                <w:kern w:val="2"/>
                <w:sz w:val="21"/>
                <w14:textFill>
                  <w14:solidFill>
                    <w14:schemeClr w14:val="tx1"/>
                  </w14:solidFill>
                </w14:textFill>
              </w:rPr>
              <w:t>25°14'</w:t>
            </w:r>
            <w:r>
              <w:rPr>
                <w:rFonts w:hint="eastAsia" w:ascii="宋体" w:hAnsi="宋体" w:eastAsia="宋体" w:cs="宋体"/>
                <w:color w:val="000000" w:themeColor="text1"/>
                <w:kern w:val="2"/>
                <w:sz w:val="21"/>
                <w:lang w:val="en-US" w:eastAsia="zh-CN"/>
                <w14:textFill>
                  <w14:solidFill>
                    <w14:schemeClr w14:val="tx1"/>
                  </w14:solidFill>
                </w14:textFill>
              </w:rPr>
              <w:t xml:space="preserve"> </w:t>
            </w:r>
            <w:r>
              <w:rPr>
                <w:rFonts w:hint="eastAsia" w:ascii="宋体" w:hAnsi="宋体" w:eastAsia="宋体" w:cs="宋体"/>
                <w:color w:val="000000" w:themeColor="text1"/>
                <w:kern w:val="2"/>
                <w:sz w:val="21"/>
                <w14:textFill>
                  <w14:solidFill>
                    <w14:schemeClr w14:val="tx1"/>
                  </w14:solidFill>
                </w14:textFill>
              </w:rPr>
              <w:t>46.92"北</w:t>
            </w:r>
            <w:r>
              <w:rPr>
                <w:rFonts w:hint="eastAsia" w:ascii="宋体" w:hAnsi="宋体" w:eastAsia="宋体" w:cs="宋体"/>
                <w:color w:val="000000" w:themeColor="text1"/>
                <w:kern w:val="2"/>
                <w:sz w:val="21"/>
                <w:lang w:val="en-US" w:eastAsia="zh-CN"/>
                <w14:textFill>
                  <w14:solidFill>
                    <w14:schemeClr w14:val="tx1"/>
                  </w14:solidFill>
                </w14:textFill>
              </w:rPr>
              <w:t xml:space="preserve">  </w:t>
            </w:r>
            <w:r>
              <w:rPr>
                <w:rFonts w:hint="eastAsia" w:ascii="宋体" w:hAnsi="宋体" w:eastAsia="宋体" w:cs="宋体"/>
                <w:color w:val="000000" w:themeColor="text1"/>
                <w:kern w:val="2"/>
                <w:sz w:val="21"/>
                <w14:textFill>
                  <w14:solidFill>
                    <w14:schemeClr w14:val="tx1"/>
                  </w14:solidFill>
                </w14:textFill>
              </w:rPr>
              <w:t>105°2'</w:t>
            </w:r>
            <w:r>
              <w:rPr>
                <w:rFonts w:hint="eastAsia" w:ascii="宋体" w:hAnsi="宋体" w:eastAsia="宋体" w:cs="宋体"/>
                <w:color w:val="000000" w:themeColor="text1"/>
                <w:kern w:val="2"/>
                <w:sz w:val="21"/>
                <w:lang w:val="en-US" w:eastAsia="zh-CN"/>
                <w14:textFill>
                  <w14:solidFill>
                    <w14:schemeClr w14:val="tx1"/>
                  </w14:solidFill>
                </w14:textFill>
              </w:rPr>
              <w:t xml:space="preserve"> </w:t>
            </w:r>
            <w:r>
              <w:rPr>
                <w:rFonts w:hint="eastAsia" w:ascii="宋体" w:hAnsi="宋体" w:eastAsia="宋体" w:cs="宋体"/>
                <w:color w:val="000000" w:themeColor="text1"/>
                <w:kern w:val="2"/>
                <w:sz w:val="21"/>
                <w14:textFill>
                  <w14:solidFill>
                    <w14:schemeClr w14:val="tx1"/>
                  </w14:solidFill>
                </w14:textFill>
              </w:rPr>
              <w:t>43.73"东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25"/>
              <w:rPr>
                <w:color w:val="000000" w:themeColor="text1"/>
                <w:kern w:val="2"/>
                <w:sz w:val="21"/>
                <w14:textFill>
                  <w14:solidFill>
                    <w14:schemeClr w14:val="tx1"/>
                  </w14:solidFill>
                </w14:textFill>
              </w:rPr>
            </w:pPr>
            <w:r>
              <w:rPr>
                <w:rFonts w:hint="eastAsia"/>
                <w:color w:val="000000" w:themeColor="text1"/>
                <w:w w:val="100"/>
                <w:kern w:val="2"/>
                <w:sz w:val="21"/>
                <w:lang w:val="en-US" w:eastAsia="zh-CN"/>
                <w14:textFill>
                  <w14:solidFill>
                    <w14:schemeClr w14:val="tx1"/>
                  </w14:solidFill>
                </w14:textFill>
              </w:rPr>
              <w:t>西</w:t>
            </w:r>
            <w:r>
              <w:rPr>
                <w:color w:val="000000" w:themeColor="text1"/>
                <w:w w:val="100"/>
                <w:kern w:val="2"/>
                <w:sz w:val="21"/>
                <w14:textFill>
                  <w14:solidFill>
                    <w14:schemeClr w14:val="tx1"/>
                  </w14:solidFill>
                </w14:textFill>
              </w:rPr>
              <w:t>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40</w:t>
            </w:r>
            <w:r>
              <w:rPr>
                <w:rFonts w:hint="eastAsia" w:ascii="Times New Roman"/>
                <w:color w:val="000000" w:themeColor="text1"/>
                <w:kern w:val="2"/>
                <w:sz w:val="21"/>
                <w:lang w:val="en-US" w:eastAsia="zh-CN"/>
                <w14:textFill>
                  <w14:solidFill>
                    <w14:schemeClr w14:val="tx1"/>
                  </w14:solidFill>
                </w14:textFill>
              </w:rPr>
              <w:t>0</w:t>
            </w:r>
            <w:r>
              <w:rPr>
                <w:rFonts w:ascii="Times New Roman"/>
                <w:color w:val="000000" w:themeColor="text1"/>
                <w:kern w:val="2"/>
                <w:sz w:val="21"/>
                <w14:textFill>
                  <w14:solidFill>
                    <w14:schemeClr w14:val="tx1"/>
                  </w14:solidFill>
                </w14:textFill>
              </w:rPr>
              <w:t>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5"/>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 xml:space="preserve">约 </w:t>
            </w:r>
            <w:r>
              <w:rPr>
                <w:rFonts w:hint="eastAsia" w:ascii="Times New Roman"/>
                <w:color w:val="000000" w:themeColor="text1"/>
                <w:kern w:val="2"/>
                <w:sz w:val="21"/>
                <w:lang w:val="en-US" w:eastAsia="zh-CN"/>
                <w14:textFill>
                  <w14:solidFill>
                    <w14:schemeClr w14:val="tx1"/>
                  </w14:solidFill>
                </w14:textFill>
              </w:rPr>
              <w:t>33</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户，</w:t>
            </w:r>
            <w:r>
              <w:rPr>
                <w:rFonts w:hint="eastAsia" w:ascii="Times New Roman"/>
                <w:color w:val="000000" w:themeColor="text1"/>
                <w:kern w:val="2"/>
                <w:sz w:val="21"/>
                <w:lang w:val="en-US" w:eastAsia="zh-CN"/>
                <w14:textFill>
                  <w14:solidFill>
                    <w14:schemeClr w14:val="tx1"/>
                  </w14:solidFill>
                </w14:textFill>
              </w:rPr>
              <w:t>99</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eastAsia" w:ascii="宋体" w:hAnsi="宋体" w:eastAsia="宋体" w:cs="宋体"/>
                <w:color w:val="000000" w:themeColor="text1"/>
                <w:kern w:val="2"/>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张屯</w:t>
            </w:r>
            <w:r>
              <w:rPr>
                <w:rFonts w:hint="eastAsia" w:ascii="宋体" w:hAnsi="宋体" w:eastAsia="宋体" w:cs="宋体"/>
                <w:color w:val="000000" w:themeColor="text1"/>
                <w:kern w:val="2"/>
                <w14:textFill>
                  <w14:solidFill>
                    <w14:schemeClr w14:val="tx1"/>
                  </w14:solidFill>
                </w14:textFill>
              </w:rPr>
              <w:t>组居民</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tabs>
                <w:tab w:val="left" w:pos="1760"/>
              </w:tabs>
              <w:spacing w:before="22" w:beforeAutospacing="0" w:afterAutospacing="0"/>
              <w:ind w:right="-4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25°14'</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32.02"北105°3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'47.76"东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175" w:right="145"/>
              <w:rPr>
                <w:rFonts w:hint="eastAsia" w:eastAsia="宋体"/>
                <w:color w:val="000000" w:themeColor="text1"/>
                <w:kern w:val="2"/>
                <w:sz w:val="21"/>
                <w:lang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东</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1</w:t>
            </w:r>
            <w:r>
              <w:rPr>
                <w:rFonts w:hint="eastAsia" w:ascii="Times New Roman"/>
                <w:color w:val="000000" w:themeColor="text1"/>
                <w:kern w:val="2"/>
                <w:sz w:val="21"/>
                <w:lang w:val="en-US" w:eastAsia="zh-CN"/>
                <w14:textFill>
                  <w14:solidFill>
                    <w14:schemeClr w14:val="tx1"/>
                  </w14:solidFill>
                </w14:textFill>
              </w:rPr>
              <w:t>0</w:t>
            </w:r>
            <w:r>
              <w:rPr>
                <w:rFonts w:ascii="Times New Roman"/>
                <w:color w:val="000000" w:themeColor="text1"/>
                <w:kern w:val="2"/>
                <w:sz w:val="21"/>
                <w14:textFill>
                  <w14:solidFill>
                    <w14:schemeClr w14:val="tx1"/>
                  </w14:solidFill>
                </w14:textFill>
              </w:rPr>
              <w:t>00m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8"/>
              <w:rPr>
                <w:rFonts w:hint="default" w:ascii="Times New Roman" w:hAnsi="Times New Roman" w:cs="Times New Roman"/>
                <w:color w:val="000000" w:themeColor="text1"/>
                <w:kern w:val="2"/>
                <w:sz w:val="21"/>
                <w14:textFill>
                  <w14:solidFill>
                    <w14:schemeClr w14:val="tx1"/>
                  </w14:solidFill>
                </w14:textFill>
              </w:rPr>
            </w:pPr>
            <w:r>
              <w:rPr>
                <w:rFonts w:hint="default" w:ascii="Times New Roman" w:hAnsi="Times New Roman" w:cs="Times New Roman"/>
                <w:color w:val="000000" w:themeColor="text1"/>
                <w:kern w:val="2"/>
                <w:sz w:val="21"/>
                <w14:textFill>
                  <w14:solidFill>
                    <w14:schemeClr w14:val="tx1"/>
                  </w14:solidFill>
                </w14:textFill>
              </w:rPr>
              <w:t xml:space="preserve">约 </w:t>
            </w:r>
            <w:r>
              <w:rPr>
                <w:rFonts w:hint="default" w:ascii="Times New Roman" w:hAnsi="Times New Roman" w:cs="Times New Roman"/>
                <w:color w:val="000000" w:themeColor="text1"/>
                <w:kern w:val="2"/>
                <w:sz w:val="21"/>
                <w:lang w:val="en-US" w:eastAsia="zh-CN"/>
                <w14:textFill>
                  <w14:solidFill>
                    <w14:schemeClr w14:val="tx1"/>
                  </w14:solidFill>
                </w14:textFill>
              </w:rPr>
              <w:t>20</w:t>
            </w:r>
            <w:r>
              <w:rPr>
                <w:rFonts w:hint="default" w:ascii="Times New Roman" w:hAnsi="Times New Roman" w:cs="Times New Roman"/>
                <w:color w:val="000000" w:themeColor="text1"/>
                <w:kern w:val="2"/>
                <w:sz w:val="21"/>
                <w14:textFill>
                  <w14:solidFill>
                    <w14:schemeClr w14:val="tx1"/>
                  </w14:solidFill>
                </w14:textFill>
              </w:rPr>
              <w:t>户，</w:t>
            </w:r>
            <w:r>
              <w:rPr>
                <w:rFonts w:hint="default" w:ascii="Times New Roman" w:hAnsi="Times New Roman" w:cs="Times New Roman"/>
                <w:color w:val="000000" w:themeColor="text1"/>
                <w:kern w:val="2"/>
                <w:sz w:val="21"/>
                <w:lang w:val="en-US" w:eastAsia="zh-CN"/>
                <w14:textFill>
                  <w14:solidFill>
                    <w14:schemeClr w14:val="tx1"/>
                  </w14:solidFill>
                </w14:textFill>
              </w:rPr>
              <w:t>40</w:t>
            </w:r>
            <w:r>
              <w:rPr>
                <w:rFonts w:hint="default" w:ascii="Times New Roman" w:hAnsi="Times New Roman" w:cs="Times New Roman"/>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default" w:ascii="宋体" w:hAnsi="宋体" w:eastAsia="宋体" w:cs="宋体"/>
                <w:color w:val="000000" w:themeColor="text1"/>
                <w:kern w:val="2"/>
                <w:lang w:val="en-US" w:eastAsia="zh-CN"/>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新桥村居民</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2" w:beforeAutospacing="0" w:afterAutospacing="0"/>
              <w:ind w:right="-4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25°14'</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15.22"北105°3'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45.54"东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25"/>
              <w:rPr>
                <w:rFonts w:hint="eastAsia" w:eastAsia="宋体"/>
                <w:color w:val="000000" w:themeColor="text1"/>
                <w:kern w:val="2"/>
                <w:sz w:val="21"/>
                <w:lang w:eastAsia="zh-CN"/>
                <w14:textFill>
                  <w14:solidFill>
                    <w14:schemeClr w14:val="tx1"/>
                  </w14:solidFill>
                </w14:textFill>
              </w:rPr>
            </w:pPr>
            <w:r>
              <w:rPr>
                <w:rFonts w:hint="eastAsia"/>
                <w:color w:val="000000" w:themeColor="text1"/>
                <w:w w:val="100"/>
                <w:kern w:val="2"/>
                <w:sz w:val="21"/>
                <w:lang w:val="en-US" w:eastAsia="zh-CN"/>
                <w14:textFill>
                  <w14:solidFill>
                    <w14:schemeClr w14:val="tx1"/>
                  </w14:solidFill>
                </w14:textFill>
              </w:rPr>
              <w:t>东南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1</w:t>
            </w:r>
            <w:r>
              <w:rPr>
                <w:rFonts w:hint="eastAsia" w:ascii="Times New Roman"/>
                <w:color w:val="000000" w:themeColor="text1"/>
                <w:kern w:val="2"/>
                <w:sz w:val="21"/>
                <w:lang w:val="en-US" w:eastAsia="zh-CN"/>
                <w14:textFill>
                  <w14:solidFill>
                    <w14:schemeClr w14:val="tx1"/>
                  </w14:solidFill>
                </w14:textFill>
              </w:rPr>
              <w:t>30</w:t>
            </w:r>
            <w:r>
              <w:rPr>
                <w:rFonts w:ascii="Times New Roman"/>
                <w:color w:val="000000" w:themeColor="text1"/>
                <w:kern w:val="2"/>
                <w:sz w:val="21"/>
                <w14:textFill>
                  <w14:solidFill>
                    <w14:schemeClr w14:val="tx1"/>
                  </w14:solidFill>
                </w14:textFill>
              </w:rPr>
              <w:t>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5"/>
              <w:rPr>
                <w:rFonts w:hint="default" w:ascii="Times New Roman" w:hAnsi="Times New Roman" w:cs="Times New Roman"/>
                <w:color w:val="000000" w:themeColor="text1"/>
                <w:kern w:val="2"/>
                <w:sz w:val="21"/>
                <w14:textFill>
                  <w14:solidFill>
                    <w14:schemeClr w14:val="tx1"/>
                  </w14:solidFill>
                </w14:textFill>
              </w:rPr>
            </w:pPr>
            <w:r>
              <w:rPr>
                <w:rFonts w:hint="default" w:ascii="Times New Roman" w:hAnsi="Times New Roman" w:cs="Times New Roman"/>
                <w:color w:val="000000" w:themeColor="text1"/>
                <w:kern w:val="2"/>
                <w:sz w:val="21"/>
                <w14:textFill>
                  <w14:solidFill>
                    <w14:schemeClr w14:val="tx1"/>
                  </w14:solidFill>
                </w14:textFill>
              </w:rPr>
              <w:t>约</w:t>
            </w:r>
            <w:r>
              <w:rPr>
                <w:rFonts w:hint="default" w:ascii="Times New Roman" w:hAnsi="Times New Roman" w:cs="Times New Roman"/>
                <w:color w:val="000000" w:themeColor="text1"/>
                <w:kern w:val="2"/>
                <w:sz w:val="21"/>
                <w:lang w:val="en-US" w:eastAsia="zh-CN"/>
                <w14:textFill>
                  <w14:solidFill>
                    <w14:schemeClr w14:val="tx1"/>
                  </w14:solidFill>
                </w14:textFill>
              </w:rPr>
              <w:t>30</w:t>
            </w:r>
            <w:r>
              <w:rPr>
                <w:rFonts w:hint="default" w:ascii="Times New Roman" w:hAnsi="Times New Roman" w:eastAsia="Times New Roman" w:cs="Times New Roman"/>
                <w:color w:val="000000" w:themeColor="text1"/>
                <w:kern w:val="2"/>
                <w:sz w:val="21"/>
                <w14:textFill>
                  <w14:solidFill>
                    <w14:schemeClr w14:val="tx1"/>
                  </w14:solidFill>
                </w14:textFill>
              </w:rPr>
              <w:t xml:space="preserve"> </w:t>
            </w:r>
            <w:r>
              <w:rPr>
                <w:rFonts w:hint="default" w:ascii="Times New Roman" w:hAnsi="Times New Roman" w:cs="Times New Roman"/>
                <w:color w:val="000000" w:themeColor="text1"/>
                <w:kern w:val="2"/>
                <w:sz w:val="21"/>
                <w14:textFill>
                  <w14:solidFill>
                    <w14:schemeClr w14:val="tx1"/>
                  </w14:solidFill>
                </w14:textFill>
              </w:rPr>
              <w:t>户，</w:t>
            </w:r>
            <w:r>
              <w:rPr>
                <w:rFonts w:hint="default" w:ascii="Times New Roman" w:hAnsi="Times New Roman" w:cs="Times New Roman"/>
                <w:color w:val="000000" w:themeColor="text1"/>
                <w:kern w:val="2"/>
                <w:sz w:val="21"/>
                <w:lang w:val="en-US" w:eastAsia="zh-CN"/>
                <w14:textFill>
                  <w14:solidFill>
                    <w14:schemeClr w14:val="tx1"/>
                  </w14:solidFill>
                </w14:textFill>
              </w:rPr>
              <w:t>60</w:t>
            </w:r>
            <w:r>
              <w:rPr>
                <w:rFonts w:hint="default" w:ascii="Times New Roman" w:hAnsi="Times New Roman" w:eastAsia="Times New Roman" w:cs="Times New Roman"/>
                <w:color w:val="000000" w:themeColor="text1"/>
                <w:kern w:val="2"/>
                <w:sz w:val="21"/>
                <w14:textFill>
                  <w14:solidFill>
                    <w14:schemeClr w14:val="tx1"/>
                  </w14:solidFill>
                </w14:textFill>
              </w:rPr>
              <w:t xml:space="preserve"> </w:t>
            </w:r>
            <w:r>
              <w:rPr>
                <w:rFonts w:hint="default" w:ascii="Times New Roman" w:hAnsi="Times New Roman" w:cs="Times New Roman"/>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eastAsia" w:ascii="宋体" w:hAnsi="宋体" w:eastAsia="宋体" w:cs="宋体"/>
                <w:color w:val="000000" w:themeColor="text1"/>
                <w:kern w:val="2"/>
                <w:lang w:eastAsia="zh-CN"/>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坝坎</w:t>
            </w:r>
            <w:r>
              <w:rPr>
                <w:rFonts w:hint="eastAsia" w:ascii="宋体" w:hAnsi="宋体" w:eastAsia="宋体" w:cs="宋体"/>
                <w:color w:val="000000" w:themeColor="text1"/>
                <w:kern w:val="2"/>
                <w14:textFill>
                  <w14:solidFill>
                    <w14:schemeClr w14:val="tx1"/>
                  </w14:solidFill>
                </w14:textFill>
              </w:rPr>
              <w:t>组居民</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3" w:beforeAutospacing="0" w:afterAutospacing="0"/>
              <w:ind w:right="7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30.01"北105°3'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11.26"东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3" w:beforeAutospacing="0" w:afterAutospacing="0"/>
              <w:ind w:left="175" w:right="145"/>
              <w:rPr>
                <w:rFonts w:hint="eastAsia" w:eastAsia="宋体"/>
                <w:color w:val="000000" w:themeColor="text1"/>
                <w:kern w:val="2"/>
                <w:sz w:val="21"/>
                <w:lang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7" w:beforeAutospacing="0" w:afterAutospacing="0"/>
              <w:ind w:left="106" w:right="7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970m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3" w:beforeAutospacing="0" w:afterAutospacing="0"/>
              <w:ind w:left="64" w:right="38"/>
              <w:rPr>
                <w:rFonts w:hint="default" w:ascii="Times New Roman" w:hAnsi="Times New Roman" w:cs="Times New Roman"/>
                <w:color w:val="000000" w:themeColor="text1"/>
                <w:kern w:val="2"/>
                <w:sz w:val="21"/>
                <w14:textFill>
                  <w14:solidFill>
                    <w14:schemeClr w14:val="tx1"/>
                  </w14:solidFill>
                </w14:textFill>
              </w:rPr>
            </w:pPr>
            <w:r>
              <w:rPr>
                <w:rFonts w:hint="default" w:ascii="Times New Roman" w:hAnsi="Times New Roman" w:cs="Times New Roman"/>
                <w:color w:val="000000" w:themeColor="text1"/>
                <w:kern w:val="2"/>
                <w:sz w:val="21"/>
                <w14:textFill>
                  <w14:solidFill>
                    <w14:schemeClr w14:val="tx1"/>
                  </w14:solidFill>
                </w14:textFill>
              </w:rPr>
              <w:t xml:space="preserve">约 </w:t>
            </w:r>
            <w:r>
              <w:rPr>
                <w:rFonts w:hint="default" w:ascii="Times New Roman" w:hAnsi="Times New Roman" w:cs="Times New Roman"/>
                <w:color w:val="000000" w:themeColor="text1"/>
                <w:kern w:val="2"/>
                <w:sz w:val="21"/>
                <w:lang w:val="en-US" w:eastAsia="zh-CN"/>
                <w14:textFill>
                  <w14:solidFill>
                    <w14:schemeClr w14:val="tx1"/>
                  </w14:solidFill>
                </w14:textFill>
              </w:rPr>
              <w:t>10</w:t>
            </w:r>
            <w:r>
              <w:rPr>
                <w:rFonts w:hint="default" w:ascii="Times New Roman" w:hAnsi="Times New Roman" w:eastAsia="Times New Roman" w:cs="Times New Roman"/>
                <w:color w:val="000000" w:themeColor="text1"/>
                <w:kern w:val="2"/>
                <w:sz w:val="21"/>
                <w14:textFill>
                  <w14:solidFill>
                    <w14:schemeClr w14:val="tx1"/>
                  </w14:solidFill>
                </w14:textFill>
              </w:rPr>
              <w:t xml:space="preserve"> </w:t>
            </w:r>
            <w:r>
              <w:rPr>
                <w:rFonts w:hint="default" w:ascii="Times New Roman" w:hAnsi="Times New Roman" w:cs="Times New Roman"/>
                <w:color w:val="000000" w:themeColor="text1"/>
                <w:kern w:val="2"/>
                <w:sz w:val="21"/>
                <w14:textFill>
                  <w14:solidFill>
                    <w14:schemeClr w14:val="tx1"/>
                  </w14:solidFill>
                </w14:textFill>
              </w:rPr>
              <w:t>户，</w:t>
            </w:r>
            <w:r>
              <w:rPr>
                <w:rFonts w:hint="default" w:ascii="Times New Roman" w:hAnsi="Times New Roman" w:cs="Times New Roman"/>
                <w:color w:val="000000" w:themeColor="text1"/>
                <w:kern w:val="2"/>
                <w:sz w:val="21"/>
                <w:lang w:val="en-US" w:eastAsia="zh-CN"/>
                <w14:textFill>
                  <w14:solidFill>
                    <w14:schemeClr w14:val="tx1"/>
                  </w14:solidFill>
                </w14:textFill>
              </w:rPr>
              <w:t>30</w:t>
            </w:r>
            <w:r>
              <w:rPr>
                <w:rFonts w:hint="default" w:ascii="Times New Roman" w:hAnsi="Times New Roman" w:cs="Times New Roman"/>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4"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eastAsia" w:ascii="宋体" w:hAnsi="宋体" w:eastAsia="宋体" w:cs="宋体"/>
                <w:color w:val="000000" w:themeColor="text1"/>
                <w:kern w:val="2"/>
                <w:lang w:val="en-US" w:eastAsia="zh-CN"/>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坡落组居民</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5" w:beforeAutospacing="0" w:afterAutospacing="0"/>
              <w:ind w:right="7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34.56"北105°2'</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40.48"东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5" w:beforeAutospacing="0" w:afterAutospacing="0"/>
              <w:ind w:left="25"/>
              <w:rPr>
                <w:rFonts w:hint="eastAsia" w:eastAsia="宋体"/>
                <w:color w:val="000000" w:themeColor="text1"/>
                <w:kern w:val="2"/>
                <w:sz w:val="21"/>
                <w:lang w:eastAsia="zh-CN"/>
                <w14:textFill>
                  <w14:solidFill>
                    <w14:schemeClr w14:val="tx1"/>
                  </w14:solidFill>
                </w14:textFill>
              </w:rPr>
            </w:pPr>
            <w:r>
              <w:rPr>
                <w:rFonts w:hint="eastAsia"/>
                <w:color w:val="000000" w:themeColor="text1"/>
                <w:w w:val="100"/>
                <w:kern w:val="2"/>
                <w:sz w:val="21"/>
                <w:lang w:val="en-US" w:eastAsia="zh-CN"/>
                <w14:textFill>
                  <w14:solidFill>
                    <w14:schemeClr w14:val="tx1"/>
                  </w14:solidFill>
                </w14:textFill>
              </w:rPr>
              <w:t>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9" w:beforeAutospacing="0" w:afterAutospacing="0"/>
              <w:ind w:left="106" w:right="76"/>
              <w:rPr>
                <w:rFonts w:ascii="Times New Roman"/>
                <w:color w:val="000000" w:themeColor="text1"/>
                <w:kern w:val="2"/>
                <w:sz w:val="21"/>
                <w14:textFill>
                  <w14:solidFill>
                    <w14:schemeClr w14:val="tx1"/>
                  </w14:solidFill>
                </w14:textFill>
              </w:rPr>
            </w:pPr>
            <w:r>
              <w:rPr>
                <w:rFonts w:ascii="Times New Roman"/>
                <w:color w:val="000000" w:themeColor="text1"/>
                <w:kern w:val="2"/>
                <w:sz w:val="21"/>
                <w14:textFill>
                  <w14:solidFill>
                    <w14:schemeClr w14:val="tx1"/>
                  </w14:solidFill>
                </w14:textFill>
              </w:rPr>
              <w:t>1</w:t>
            </w:r>
            <w:r>
              <w:rPr>
                <w:rFonts w:hint="eastAsia" w:ascii="Times New Roman"/>
                <w:color w:val="000000" w:themeColor="text1"/>
                <w:kern w:val="2"/>
                <w:sz w:val="21"/>
                <w:lang w:val="en-US" w:eastAsia="zh-CN"/>
                <w14:textFill>
                  <w14:solidFill>
                    <w14:schemeClr w14:val="tx1"/>
                  </w14:solidFill>
                </w14:textFill>
              </w:rPr>
              <w:t>50</w:t>
            </w:r>
            <w:r>
              <w:rPr>
                <w:rFonts w:ascii="Times New Roman"/>
                <w:color w:val="000000" w:themeColor="text1"/>
                <w:kern w:val="2"/>
                <w:sz w:val="21"/>
                <w14:textFill>
                  <w14:solidFill>
                    <w14:schemeClr w14:val="tx1"/>
                  </w14:solidFill>
                </w14:textFill>
              </w:rPr>
              <w:t>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5" w:beforeAutospacing="0" w:afterAutospacing="0"/>
              <w:ind w:left="64" w:right="35"/>
              <w:rPr>
                <w:rFonts w:hint="default" w:ascii="Times New Roman" w:hAnsi="Times New Roman" w:cs="Times New Roman"/>
                <w:color w:val="000000" w:themeColor="text1"/>
                <w:kern w:val="2"/>
                <w:sz w:val="21"/>
                <w14:textFill>
                  <w14:solidFill>
                    <w14:schemeClr w14:val="tx1"/>
                  </w14:solidFill>
                </w14:textFill>
              </w:rPr>
            </w:pPr>
            <w:r>
              <w:rPr>
                <w:rFonts w:hint="default" w:ascii="Times New Roman" w:hAnsi="Times New Roman" w:cs="Times New Roman"/>
                <w:color w:val="000000" w:themeColor="text1"/>
                <w:kern w:val="2"/>
                <w:sz w:val="21"/>
                <w14:textFill>
                  <w14:solidFill>
                    <w14:schemeClr w14:val="tx1"/>
                  </w14:solidFill>
                </w14:textFill>
              </w:rPr>
              <w:t xml:space="preserve">约 </w:t>
            </w:r>
            <w:r>
              <w:rPr>
                <w:rFonts w:hint="default" w:ascii="Times New Roman" w:hAnsi="Times New Roman" w:eastAsia="Times New Roman" w:cs="Times New Roman"/>
                <w:color w:val="000000" w:themeColor="text1"/>
                <w:kern w:val="2"/>
                <w:sz w:val="21"/>
                <w14:textFill>
                  <w14:solidFill>
                    <w14:schemeClr w14:val="tx1"/>
                  </w14:solidFill>
                </w14:textFill>
              </w:rPr>
              <w:t>1</w:t>
            </w:r>
            <w:r>
              <w:rPr>
                <w:rFonts w:hint="default" w:ascii="Times New Roman" w:hAnsi="Times New Roman" w:cs="Times New Roman"/>
                <w:color w:val="000000" w:themeColor="text1"/>
                <w:kern w:val="2"/>
                <w:sz w:val="21"/>
                <w:lang w:val="en-US" w:eastAsia="zh-CN"/>
                <w14:textFill>
                  <w14:solidFill>
                    <w14:schemeClr w14:val="tx1"/>
                  </w14:solidFill>
                </w14:textFill>
              </w:rPr>
              <w:t>3</w:t>
            </w:r>
            <w:r>
              <w:rPr>
                <w:rFonts w:hint="default" w:ascii="Times New Roman" w:hAnsi="Times New Roman" w:eastAsia="Times New Roman" w:cs="Times New Roman"/>
                <w:color w:val="000000" w:themeColor="text1"/>
                <w:kern w:val="2"/>
                <w:sz w:val="21"/>
                <w14:textFill>
                  <w14:solidFill>
                    <w14:schemeClr w14:val="tx1"/>
                  </w14:solidFill>
                </w14:textFill>
              </w:rPr>
              <w:t xml:space="preserve"> </w:t>
            </w:r>
            <w:r>
              <w:rPr>
                <w:rFonts w:hint="default" w:ascii="Times New Roman" w:hAnsi="Times New Roman" w:cs="Times New Roman"/>
                <w:color w:val="000000" w:themeColor="text1"/>
                <w:kern w:val="2"/>
                <w:sz w:val="21"/>
                <w14:textFill>
                  <w14:solidFill>
                    <w14:schemeClr w14:val="tx1"/>
                  </w14:solidFill>
                </w14:textFill>
              </w:rPr>
              <w:t>户，</w:t>
            </w:r>
            <w:r>
              <w:rPr>
                <w:rFonts w:hint="default" w:ascii="Times New Roman" w:hAnsi="Times New Roman" w:cs="Times New Roman"/>
                <w:color w:val="000000" w:themeColor="text1"/>
                <w:kern w:val="2"/>
                <w:sz w:val="21"/>
                <w:lang w:val="en-US" w:eastAsia="zh-CN"/>
                <w14:textFill>
                  <w14:solidFill>
                    <w14:schemeClr w14:val="tx1"/>
                  </w14:solidFill>
                </w14:textFill>
              </w:rPr>
              <w:t>60</w:t>
            </w:r>
            <w:r>
              <w:rPr>
                <w:rFonts w:hint="default" w:ascii="Times New Roman" w:hAnsi="Times New Roman" w:eastAsia="Times New Roman" w:cs="Times New Roman"/>
                <w:color w:val="000000" w:themeColor="text1"/>
                <w:kern w:val="2"/>
                <w:sz w:val="21"/>
                <w14:textFill>
                  <w14:solidFill>
                    <w14:schemeClr w14:val="tx1"/>
                  </w14:solidFill>
                </w14:textFill>
              </w:rPr>
              <w:t xml:space="preserve"> </w:t>
            </w:r>
            <w:r>
              <w:rPr>
                <w:rFonts w:hint="default" w:ascii="Times New Roman" w:hAnsi="Times New Roman" w:cs="Times New Roman"/>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eastAsia" w:ascii="宋体" w:hAnsi="宋体" w:eastAsia="宋体" w:cs="宋体"/>
                <w:color w:val="000000" w:themeColor="text1"/>
                <w:kern w:val="2"/>
                <w:lang w:val="en-US" w:eastAsia="zh-CN"/>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烂滩组居民</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2" w:beforeAutospacing="0" w:afterAutospacing="0"/>
              <w:ind w:right="7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45.74"北105°2'</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26.93"东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175" w:right="145"/>
              <w:rPr>
                <w:rFonts w:hint="eastAsia" w:eastAsia="宋体"/>
                <w:color w:val="000000" w:themeColor="text1"/>
                <w:kern w:val="2"/>
                <w:sz w:val="21"/>
                <w:lang w:eastAsia="zh-CN"/>
                <w14:textFill>
                  <w14:solidFill>
                    <w14:schemeClr w14:val="tx1"/>
                  </w14:solidFill>
                </w14:textFill>
              </w:rPr>
            </w:pPr>
            <w:r>
              <w:rPr>
                <w:color w:val="000000" w:themeColor="text1"/>
                <w:kern w:val="2"/>
                <w:sz w:val="21"/>
                <w14:textFill>
                  <w14:solidFill>
                    <w14:schemeClr w14:val="tx1"/>
                  </w14:solidFill>
                </w14:textFill>
              </w:rPr>
              <w:t>西</w:t>
            </w:r>
            <w:r>
              <w:rPr>
                <w:rFonts w:hint="eastAsia"/>
                <w:color w:val="000000" w:themeColor="text1"/>
                <w:kern w:val="2"/>
                <w:sz w:val="21"/>
                <w:lang w:val="en-US" w:eastAsia="zh-CN"/>
                <w14:textFill>
                  <w14:solidFill>
                    <w14:schemeClr w14:val="tx1"/>
                  </w14:solidFill>
                </w14:textFill>
              </w:rPr>
              <w:t>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110</w:t>
            </w:r>
            <w:r>
              <w:rPr>
                <w:rFonts w:ascii="Times New Roman"/>
                <w:color w:val="000000" w:themeColor="text1"/>
                <w:kern w:val="2"/>
                <w:sz w:val="21"/>
                <w14:textFill>
                  <w14:solidFill>
                    <w14:schemeClr w14:val="tx1"/>
                  </w14:solidFill>
                </w14:textFill>
              </w:rPr>
              <w:t>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5"/>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 xml:space="preserve">约 </w:t>
            </w:r>
            <w:r>
              <w:rPr>
                <w:rFonts w:ascii="Times New Roman" w:eastAsia="Times New Roman"/>
                <w:color w:val="000000" w:themeColor="text1"/>
                <w:kern w:val="2"/>
                <w:sz w:val="21"/>
                <w14:textFill>
                  <w14:solidFill>
                    <w14:schemeClr w14:val="tx1"/>
                  </w14:solidFill>
                </w14:textFill>
              </w:rPr>
              <w:t>2</w:t>
            </w:r>
            <w:r>
              <w:rPr>
                <w:rFonts w:hint="eastAsia" w:ascii="Times New Roman"/>
                <w:color w:val="000000" w:themeColor="text1"/>
                <w:kern w:val="2"/>
                <w:sz w:val="21"/>
                <w:lang w:val="en-US" w:eastAsia="zh-CN"/>
                <w14:textFill>
                  <w14:solidFill>
                    <w14:schemeClr w14:val="tx1"/>
                  </w14:solidFill>
                </w14:textFill>
              </w:rPr>
              <w:t>3</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户，</w:t>
            </w:r>
            <w:r>
              <w:rPr>
                <w:rFonts w:ascii="Times New Roman" w:eastAsia="Times New Roman"/>
                <w:color w:val="000000" w:themeColor="text1"/>
                <w:kern w:val="2"/>
                <w:sz w:val="21"/>
                <w14:textFill>
                  <w14:solidFill>
                    <w14:schemeClr w14:val="tx1"/>
                  </w14:solidFill>
                </w14:textFill>
              </w:rPr>
              <w:t>6</w:t>
            </w:r>
            <w:r>
              <w:rPr>
                <w:rFonts w:hint="eastAsia" w:ascii="Times New Roman"/>
                <w:color w:val="000000" w:themeColor="text1"/>
                <w:kern w:val="2"/>
                <w:sz w:val="21"/>
                <w:lang w:val="en-US" w:eastAsia="zh-CN"/>
                <w14:textFill>
                  <w14:solidFill>
                    <w14:schemeClr w14:val="tx1"/>
                  </w14:solidFill>
                </w14:textFill>
              </w:rPr>
              <w:t>9</w:t>
            </w:r>
            <w:r>
              <w:rPr>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default" w:ascii="宋体" w:hAnsi="宋体" w:eastAsia="宋体" w:cs="宋体"/>
                <w:color w:val="000000" w:themeColor="text1"/>
                <w:kern w:val="2"/>
                <w:lang w:val="en-US" w:eastAsia="zh-CN"/>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万屯镇下坝学校</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2" w:beforeAutospacing="0" w:afterAutospacing="0"/>
              <w:ind w:right="7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25°14'</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58.11"北105°2'</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18.39"东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175" w:right="145"/>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西北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1</w:t>
            </w:r>
            <w:r>
              <w:rPr>
                <w:rFonts w:hint="eastAsia"/>
                <w:color w:val="000000" w:themeColor="text1"/>
                <w:kern w:val="2"/>
                <w:sz w:val="21"/>
                <w:lang w:val="en-US" w:eastAsia="zh-CN"/>
                <w14:textFill>
                  <w14:solidFill>
                    <w14:schemeClr w14:val="tx1"/>
                  </w14:solidFill>
                </w14:textFill>
              </w:rPr>
              <w:t>3</w:t>
            </w:r>
            <w:r>
              <w:rPr>
                <w:rFonts w:hint="eastAsia" w:ascii="Times New Roman"/>
                <w:color w:val="000000" w:themeColor="text1"/>
                <w:kern w:val="2"/>
                <w:sz w:val="21"/>
                <w:lang w:val="en-US" w:eastAsia="zh-CN"/>
                <w14:textFill>
                  <w14:solidFill>
                    <w14:schemeClr w14:val="tx1"/>
                  </w14:solidFill>
                </w14:textFill>
              </w:rPr>
              <w:t>00</w:t>
            </w:r>
            <w:r>
              <w:rPr>
                <w:rFonts w:ascii="Times New Roman"/>
                <w:color w:val="000000" w:themeColor="text1"/>
                <w:kern w:val="2"/>
                <w:sz w:val="21"/>
                <w14:textFill>
                  <w14:solidFill>
                    <w14:schemeClr w14:val="tx1"/>
                  </w14:solidFill>
                </w14:textFill>
              </w:rPr>
              <w:t>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5"/>
              <w:rPr>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全校师生约300</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1005" w:type="dxa"/>
            <w:tcBorders>
              <w:top w:val="single" w:color="000000" w:sz="4" w:space="0"/>
              <w:left w:val="single" w:color="000000" w:sz="4" w:space="0"/>
              <w:bottom w:val="single" w:color="000000" w:sz="4" w:space="0"/>
              <w:right w:val="single" w:color="auto" w:sz="4" w:space="0"/>
            </w:tcBorders>
          </w:tcPr>
          <w:p>
            <w:pPr>
              <w:keepNext w:val="0"/>
              <w:keepLines w:val="0"/>
              <w:suppressLineNumbers w:val="0"/>
              <w:spacing w:beforeAutospacing="0" w:afterAutospacing="0"/>
              <w:ind w:left="0" w:leftChars="0" w:right="0" w:rightChars="0"/>
              <w:jc w:val="center"/>
              <w:rPr>
                <w:rFonts w:hint="default" w:ascii="宋体" w:hAnsi="宋体" w:eastAsia="宋体" w:cs="宋体"/>
                <w:color w:val="000000" w:themeColor="text1"/>
                <w:kern w:val="2"/>
                <w:lang w:val="en-US" w:eastAsia="zh-CN"/>
                <w14:textFill>
                  <w14:solidFill>
                    <w14:schemeClr w14:val="tx1"/>
                  </w14:solidFill>
                </w14:textFill>
              </w:rPr>
            </w:pPr>
            <w:r>
              <w:rPr>
                <w:rFonts w:hint="eastAsia" w:ascii="宋体" w:hAnsi="宋体" w:eastAsia="宋体" w:cs="宋体"/>
                <w:color w:val="000000" w:themeColor="text1"/>
                <w:kern w:val="2"/>
                <w:lang w:val="en-US" w:eastAsia="zh-CN"/>
                <w14:textFill>
                  <w14:solidFill>
                    <w14:schemeClr w14:val="tx1"/>
                  </w14:solidFill>
                </w14:textFill>
              </w:rPr>
              <w:t>万屯镇新桥小学</w:t>
            </w:r>
          </w:p>
        </w:tc>
        <w:tc>
          <w:tcPr>
            <w:tcW w:w="1845" w:type="dxa"/>
            <w:tcBorders>
              <w:top w:val="single" w:color="000000" w:sz="4" w:space="0"/>
              <w:left w:val="single" w:color="auto" w:sz="4" w:space="0"/>
              <w:bottom w:val="single" w:color="000000" w:sz="4" w:space="0"/>
              <w:right w:val="single" w:color="000000" w:sz="4" w:space="0"/>
            </w:tcBorders>
          </w:tcPr>
          <w:p>
            <w:pPr>
              <w:pStyle w:val="4069"/>
              <w:keepNext w:val="0"/>
              <w:keepLines w:val="0"/>
              <w:suppressLineNumbers w:val="0"/>
              <w:spacing w:before="22" w:beforeAutospacing="0" w:afterAutospacing="0"/>
              <w:ind w:right="75" w:rightChars="0"/>
              <w:jc w:val="both"/>
              <w:rPr>
                <w:color w:val="000000" w:themeColor="text1"/>
                <w:kern w:val="2"/>
                <w:sz w:val="21"/>
                <w14:textFill>
                  <w14:solidFill>
                    <w14:schemeClr w14:val="tx1"/>
                  </w14:solidFill>
                </w14:textFill>
              </w:rPr>
            </w:pPr>
            <w:r>
              <w:rPr>
                <w:rFonts w:hint="eastAsia"/>
                <w:color w:val="000000" w:themeColor="text1"/>
                <w:kern w:val="2"/>
                <w:sz w:val="21"/>
                <w14:textFill>
                  <w14:solidFill>
                    <w14:schemeClr w14:val="tx1"/>
                  </w14:solidFill>
                </w14:textFill>
              </w:rPr>
              <w:t>25°14'</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4.09"北105°3'</w:t>
            </w:r>
            <w:r>
              <w:rPr>
                <w:rFonts w:hint="eastAsia"/>
                <w:color w:val="000000" w:themeColor="text1"/>
                <w:kern w:val="2"/>
                <w:sz w:val="21"/>
                <w:lang w:val="en-US" w:eastAsia="zh-CN"/>
                <w14:textFill>
                  <w14:solidFill>
                    <w14:schemeClr w14:val="tx1"/>
                  </w14:solidFill>
                </w14:textFill>
              </w:rPr>
              <w:t xml:space="preserve"> </w:t>
            </w:r>
            <w:r>
              <w:rPr>
                <w:rFonts w:hint="eastAsia"/>
                <w:color w:val="000000" w:themeColor="text1"/>
                <w:kern w:val="2"/>
                <w:sz w:val="21"/>
                <w14:textFill>
                  <w14:solidFill>
                    <w14:schemeClr w14:val="tx1"/>
                  </w14:solidFill>
                </w14:textFill>
              </w:rPr>
              <w:t>45.01"东</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25"/>
              <w:rPr>
                <w:rFonts w:hint="default" w:eastAsia="宋体"/>
                <w:color w:val="000000" w:themeColor="text1"/>
                <w:kern w:val="2"/>
                <w:sz w:val="21"/>
                <w:lang w:val="en-US" w:eastAsia="zh-CN"/>
                <w14:textFill>
                  <w14:solidFill>
                    <w14:schemeClr w14:val="tx1"/>
                  </w14:solidFill>
                </w14:textFill>
              </w:rPr>
            </w:pPr>
            <w:r>
              <w:rPr>
                <w:rFonts w:hint="eastAsia"/>
                <w:color w:val="000000" w:themeColor="text1"/>
                <w:w w:val="100"/>
                <w:kern w:val="2"/>
                <w:sz w:val="21"/>
                <w:lang w:val="en-US" w:eastAsia="zh-CN"/>
                <w14:textFill>
                  <w14:solidFill>
                    <w14:schemeClr w14:val="tx1"/>
                  </w14:solidFill>
                </w14:textFill>
              </w:rPr>
              <w:t>东南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36" w:beforeAutospacing="0" w:afterAutospacing="0"/>
              <w:ind w:left="106" w:right="76"/>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1</w:t>
            </w:r>
            <w:r>
              <w:rPr>
                <w:rFonts w:ascii="Times New Roman"/>
                <w:color w:val="000000" w:themeColor="text1"/>
                <w:kern w:val="2"/>
                <w:sz w:val="21"/>
                <w14:textFill>
                  <w14:solidFill>
                    <w14:schemeClr w14:val="tx1"/>
                  </w14:solidFill>
                </w14:textFill>
              </w:rPr>
              <w:t>420m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22" w:beforeAutospacing="0" w:afterAutospacing="0"/>
              <w:ind w:left="64" w:right="38"/>
              <w:rPr>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全校师生约350</w:t>
            </w:r>
            <w:r>
              <w:rPr>
                <w:rFonts w:ascii="Times New Roman" w:eastAsia="Times New Roman"/>
                <w:color w:val="000000" w:themeColor="text1"/>
                <w:kern w:val="2"/>
                <w:sz w:val="21"/>
                <w14:textFill>
                  <w14:solidFill>
                    <w14:schemeClr w14:val="tx1"/>
                  </w14:solidFill>
                </w14:textFill>
              </w:rPr>
              <w:t xml:space="preserve"> </w:t>
            </w:r>
            <w:r>
              <w:rPr>
                <w:color w:val="000000" w:themeColor="text1"/>
                <w:kern w:val="2"/>
                <w:sz w:val="21"/>
                <w14:textFill>
                  <w14:solidFill>
                    <w14:schemeClr w14:val="tx1"/>
                  </w14:solidFill>
                </w14:textFill>
              </w:rPr>
              <w:t>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9" w:hRule="atLeast"/>
        </w:trPr>
        <w:tc>
          <w:tcPr>
            <w:tcW w:w="540" w:type="dxa"/>
            <w:tcBorders>
              <w:top w:val="single" w:color="000000" w:sz="4" w:space="0"/>
              <w:bottom w:val="single" w:color="000000" w:sz="4" w:space="0"/>
              <w:right w:val="single" w:color="000000" w:sz="4" w:space="0"/>
            </w:tcBorders>
          </w:tcPr>
          <w:p>
            <w:pPr>
              <w:pStyle w:val="4069"/>
              <w:keepNext w:val="0"/>
              <w:keepLines w:val="0"/>
              <w:suppressLineNumbers w:val="0"/>
              <w:spacing w:before="11" w:beforeAutospacing="0" w:afterAutospacing="0"/>
              <w:jc w:val="center"/>
              <w:rPr>
                <w:b/>
                <w:color w:val="000000" w:themeColor="text1"/>
                <w:kern w:val="2"/>
                <w:sz w:val="26"/>
                <w14:textFill>
                  <w14:solidFill>
                    <w14:schemeClr w14:val="tx1"/>
                  </w14:solidFill>
                </w14:textFill>
              </w:rPr>
            </w:pPr>
          </w:p>
          <w:p>
            <w:pPr>
              <w:pStyle w:val="4069"/>
              <w:keepNext w:val="0"/>
              <w:keepLines w:val="0"/>
              <w:suppressLineNumbers w:val="0"/>
              <w:spacing w:beforeAutospacing="0" w:afterAutospacing="0" w:line="278" w:lineRule="auto"/>
              <w:ind w:right="132"/>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声环境</w:t>
            </w:r>
          </w:p>
        </w:tc>
        <w:tc>
          <w:tcPr>
            <w:tcW w:w="2850" w:type="dxa"/>
            <w:gridSpan w:val="2"/>
            <w:tcBorders>
              <w:top w:val="single" w:color="000000" w:sz="4" w:space="0"/>
              <w:left w:val="single" w:color="000000" w:sz="4" w:space="0"/>
              <w:bottom w:val="single" w:color="000000" w:sz="6" w:space="0"/>
              <w:right w:val="single" w:color="000000" w:sz="4" w:space="0"/>
            </w:tcBorders>
            <w:vAlign w:val="center"/>
          </w:tcPr>
          <w:p>
            <w:pPr>
              <w:pStyle w:val="4069"/>
              <w:keepNext w:val="0"/>
              <w:keepLines w:val="0"/>
              <w:suppressLineNumbers w:val="0"/>
              <w:spacing w:before="22" w:beforeAutospacing="0" w:afterAutospacing="0" w:line="267" w:lineRule="exact"/>
              <w:ind w:left="449" w:right="419"/>
              <w:jc w:val="center"/>
              <w:rPr>
                <w:color w:val="000000" w:themeColor="text1"/>
                <w:kern w:val="2"/>
                <w:sz w:val="21"/>
                <w14:textFill>
                  <w14:solidFill>
                    <w14:schemeClr w14:val="tx1"/>
                  </w14:solidFill>
                </w14:textFill>
              </w:rPr>
            </w:pPr>
            <w:r>
              <w:rPr>
                <w:rFonts w:hint="eastAsia"/>
                <w:color w:val="000000" w:themeColor="text1"/>
                <w:kern w:val="2"/>
                <w14:textFill>
                  <w14:solidFill>
                    <w14:schemeClr w14:val="tx1"/>
                  </w14:solidFill>
                </w14:textFill>
              </w:rPr>
              <w:t>补泥鸡组居民</w:t>
            </w:r>
          </w:p>
        </w:tc>
        <w:tc>
          <w:tcPr>
            <w:tcW w:w="765" w:type="dxa"/>
            <w:tcBorders>
              <w:top w:val="single" w:color="000000" w:sz="4" w:space="0"/>
              <w:left w:val="single" w:color="000000" w:sz="4" w:space="0"/>
              <w:bottom w:val="single" w:color="000000" w:sz="6" w:space="0"/>
              <w:right w:val="single" w:color="000000" w:sz="4" w:space="0"/>
            </w:tcBorders>
            <w:vAlign w:val="center"/>
          </w:tcPr>
          <w:p>
            <w:pPr>
              <w:pStyle w:val="4069"/>
              <w:keepNext w:val="0"/>
              <w:keepLines w:val="0"/>
              <w:suppressLineNumbers w:val="0"/>
              <w:spacing w:before="22" w:beforeAutospacing="0" w:afterAutospacing="0" w:line="267" w:lineRule="exact"/>
              <w:ind w:left="25"/>
              <w:jc w:val="center"/>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西</w:t>
            </w:r>
          </w:p>
        </w:tc>
        <w:tc>
          <w:tcPr>
            <w:tcW w:w="940" w:type="dxa"/>
            <w:tcBorders>
              <w:top w:val="single" w:color="000000" w:sz="4" w:space="0"/>
              <w:left w:val="single" w:color="000000" w:sz="4" w:space="0"/>
              <w:bottom w:val="single" w:color="000000" w:sz="6" w:space="0"/>
              <w:right w:val="single" w:color="000000" w:sz="4" w:space="0"/>
            </w:tcBorders>
            <w:vAlign w:val="center"/>
          </w:tcPr>
          <w:p>
            <w:pPr>
              <w:pStyle w:val="4069"/>
              <w:keepNext w:val="0"/>
              <w:keepLines w:val="0"/>
              <w:suppressLineNumbers w:val="0"/>
              <w:spacing w:before="36" w:beforeAutospacing="0" w:afterAutospacing="0"/>
              <w:ind w:left="106" w:right="76"/>
              <w:jc w:val="center"/>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190</w:t>
            </w:r>
            <w:r>
              <w:rPr>
                <w:rFonts w:ascii="Times New Roman"/>
                <w:color w:val="000000" w:themeColor="text1"/>
                <w:kern w:val="2"/>
                <w:sz w:val="21"/>
                <w14:textFill>
                  <w14:solidFill>
                    <w14:schemeClr w14:val="tx1"/>
                  </w14:solidFill>
                </w14:textFill>
              </w:rPr>
              <w:t>m</w:t>
            </w:r>
          </w:p>
        </w:tc>
        <w:tc>
          <w:tcPr>
            <w:tcW w:w="2051" w:type="dxa"/>
            <w:tcBorders>
              <w:top w:val="single" w:color="000000" w:sz="4" w:space="0"/>
              <w:left w:val="single" w:color="000000" w:sz="4" w:space="0"/>
              <w:bottom w:val="single" w:color="000000" w:sz="6" w:space="0"/>
              <w:right w:val="single" w:color="000000" w:sz="4" w:space="0"/>
            </w:tcBorders>
            <w:vAlign w:val="center"/>
          </w:tcPr>
          <w:p>
            <w:pPr>
              <w:pStyle w:val="4069"/>
              <w:keepNext w:val="0"/>
              <w:keepLines w:val="0"/>
              <w:suppressLineNumbers w:val="0"/>
              <w:spacing w:before="22" w:beforeAutospacing="0" w:afterAutospacing="0" w:line="267" w:lineRule="exact"/>
              <w:ind w:left="64" w:right="38"/>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 xml:space="preserve">约 </w:t>
            </w:r>
            <w:r>
              <w:rPr>
                <w:rFonts w:ascii="Times New Roman" w:eastAsia="Times New Roman"/>
                <w:color w:val="000000" w:themeColor="text1"/>
                <w:kern w:val="2"/>
                <w:sz w:val="21"/>
                <w14:textFill>
                  <w14:solidFill>
                    <w14:schemeClr w14:val="tx1"/>
                  </w14:solidFill>
                </w14:textFill>
              </w:rPr>
              <w:t xml:space="preserve">3 </w:t>
            </w:r>
            <w:r>
              <w:rPr>
                <w:color w:val="000000" w:themeColor="text1"/>
                <w:kern w:val="2"/>
                <w:sz w:val="21"/>
                <w14:textFill>
                  <w14:solidFill>
                    <w14:schemeClr w14:val="tx1"/>
                  </w14:solidFill>
                </w14:textFill>
              </w:rPr>
              <w:t>户，</w:t>
            </w:r>
            <w:r>
              <w:rPr>
                <w:rFonts w:ascii="Times New Roman" w:eastAsia="Times New Roman"/>
                <w:color w:val="000000" w:themeColor="text1"/>
                <w:kern w:val="2"/>
                <w:sz w:val="21"/>
                <w14:textFill>
                  <w14:solidFill>
                    <w14:schemeClr w14:val="tx1"/>
                  </w14:solidFill>
                </w14:textFill>
              </w:rPr>
              <w:t>105</w:t>
            </w:r>
            <w:r>
              <w:rPr>
                <w:color w:val="000000" w:themeColor="text1"/>
                <w:kern w:val="2"/>
                <w:sz w:val="21"/>
                <w14:textFill>
                  <w14:solidFill>
                    <w14:schemeClr w14:val="tx1"/>
                  </w14:solidFill>
                </w14:textFill>
              </w:rPr>
              <w:t>人</w:t>
            </w:r>
          </w:p>
        </w:tc>
        <w:tc>
          <w:tcPr>
            <w:tcW w:w="2349" w:type="dxa"/>
            <w:tcBorders>
              <w:top w:val="single" w:color="000000" w:sz="4" w:space="0"/>
              <w:left w:val="single" w:color="000000" w:sz="4" w:space="0"/>
              <w:bottom w:val="single" w:color="000000" w:sz="4" w:space="0"/>
            </w:tcBorders>
            <w:vAlign w:val="center"/>
          </w:tcPr>
          <w:p>
            <w:pPr>
              <w:pStyle w:val="4069"/>
              <w:keepNext w:val="0"/>
              <w:keepLines w:val="0"/>
              <w:suppressLineNumbers w:val="0"/>
              <w:spacing w:before="11" w:beforeAutospacing="0" w:afterAutospacing="0"/>
              <w:jc w:val="center"/>
              <w:rPr>
                <w:b/>
                <w:color w:val="000000" w:themeColor="text1"/>
                <w:kern w:val="2"/>
                <w:sz w:val="26"/>
                <w14:textFill>
                  <w14:solidFill>
                    <w14:schemeClr w14:val="tx1"/>
                  </w14:solidFill>
                </w14:textFill>
              </w:rPr>
            </w:pPr>
          </w:p>
          <w:p>
            <w:pPr>
              <w:pStyle w:val="4069"/>
              <w:keepNext w:val="0"/>
              <w:keepLines w:val="0"/>
              <w:suppressLineNumbers w:val="0"/>
              <w:spacing w:beforeAutospacing="0" w:afterAutospacing="0"/>
              <w:ind w:left="235"/>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《声环境质量标准》</w:t>
            </w:r>
          </w:p>
          <w:p>
            <w:pPr>
              <w:pStyle w:val="4069"/>
              <w:keepNext w:val="0"/>
              <w:keepLines w:val="0"/>
              <w:suppressLineNumbers w:val="0"/>
              <w:spacing w:before="43" w:beforeAutospacing="0" w:afterAutospacing="0"/>
              <w:ind w:left="185"/>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w:t>
            </w:r>
            <w:r>
              <w:rPr>
                <w:rFonts w:ascii="Times New Roman" w:eastAsia="Times New Roman"/>
                <w:color w:val="000000" w:themeColor="text1"/>
                <w:kern w:val="2"/>
                <w:sz w:val="21"/>
                <w14:textFill>
                  <w14:solidFill>
                    <w14:schemeClr w14:val="tx1"/>
                  </w14:solidFill>
                </w14:textFill>
              </w:rPr>
              <w:t>GB3096-2008</w:t>
            </w:r>
            <w:r>
              <w:rPr>
                <w:color w:val="000000" w:themeColor="text1"/>
                <w:kern w:val="2"/>
                <w:sz w:val="21"/>
                <w14:textFill>
                  <w14:solidFill>
                    <w14:schemeClr w14:val="tx1"/>
                  </w14:solidFill>
                </w14:textFill>
              </w:rPr>
              <w:t>）</w:t>
            </w:r>
            <w:r>
              <w:rPr>
                <w:rFonts w:ascii="Times New Roman" w:eastAsia="Times New Roman"/>
                <w:color w:val="000000" w:themeColor="text1"/>
                <w:kern w:val="2"/>
                <w:sz w:val="21"/>
                <w14:textFill>
                  <w14:solidFill>
                    <w14:schemeClr w14:val="tx1"/>
                  </w14:solidFill>
                </w14:textFill>
              </w:rPr>
              <w:t xml:space="preserve">2 </w:t>
            </w:r>
            <w:r>
              <w:rPr>
                <w:color w:val="000000" w:themeColor="text1"/>
                <w:kern w:val="2"/>
                <w:sz w:val="21"/>
                <w14:textFill>
                  <w14:solidFill>
                    <w14:schemeClr w14:val="tx1"/>
                  </w14:solidFill>
                </w14:textFill>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540" w:type="dxa"/>
            <w:vMerge w:val="restart"/>
            <w:tcBorders>
              <w:top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jc w:val="center"/>
              <w:rPr>
                <w:b/>
                <w:color w:val="000000" w:themeColor="text1"/>
                <w:kern w:val="2"/>
                <w:sz w:val="14"/>
                <w14:textFill>
                  <w14:solidFill>
                    <w14:schemeClr w14:val="tx1"/>
                  </w14:solidFill>
                </w14:textFill>
              </w:rPr>
            </w:pPr>
          </w:p>
          <w:p>
            <w:pPr>
              <w:pStyle w:val="4069"/>
              <w:keepNext w:val="0"/>
              <w:keepLines w:val="0"/>
              <w:suppressLineNumbers w:val="0"/>
              <w:spacing w:beforeAutospacing="0" w:afterAutospacing="0" w:line="278" w:lineRule="auto"/>
              <w:ind w:right="132"/>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地表水</w:t>
            </w:r>
          </w:p>
        </w:tc>
        <w:tc>
          <w:tcPr>
            <w:tcW w:w="285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44" w:beforeAutospacing="0" w:afterAutospacing="0"/>
              <w:ind w:left="449" w:right="419"/>
              <w:rPr>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纳省</w:t>
            </w:r>
            <w:r>
              <w:rPr>
                <w:color w:val="000000" w:themeColor="text1"/>
                <w:kern w:val="2"/>
                <w:sz w:val="21"/>
                <w14:textFill>
                  <w14:solidFill>
                    <w14:schemeClr w14:val="tx1"/>
                  </w14:solidFill>
                </w14:textFill>
              </w:rPr>
              <w:t>河</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44" w:beforeAutospacing="0" w:afterAutospacing="0"/>
              <w:ind w:left="25"/>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东</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8" w:beforeAutospacing="0" w:afterAutospacing="0"/>
              <w:ind w:left="106" w:right="76"/>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84</w:t>
            </w:r>
            <w:r>
              <w:rPr>
                <w:rFonts w:ascii="Times New Roman"/>
                <w:color w:val="000000" w:themeColor="text1"/>
                <w:kern w:val="2"/>
                <w:sz w:val="21"/>
                <w14:textFill>
                  <w14:solidFill>
                    <w14:schemeClr w14:val="tx1"/>
                  </w14:solidFill>
                </w14:textFill>
              </w:rPr>
              <w:t>0m</w:t>
            </w:r>
          </w:p>
        </w:tc>
        <w:tc>
          <w:tcPr>
            <w:tcW w:w="2051"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44" w:beforeAutospacing="0" w:afterAutospacing="0"/>
              <w:ind w:left="64" w:right="39"/>
              <w:rPr>
                <w:rFonts w:asci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 xml:space="preserve">年平均流量为 </w:t>
            </w:r>
            <w:r>
              <w:rPr>
                <w:rFonts w:ascii="Times New Roman" w:eastAsia="Times New Roman"/>
                <w:color w:val="000000" w:themeColor="text1"/>
                <w:kern w:val="2"/>
                <w:sz w:val="21"/>
                <w14:textFill>
                  <w14:solidFill>
                    <w14:schemeClr w14:val="tx1"/>
                  </w14:solidFill>
                </w14:textFill>
              </w:rPr>
              <w:t>1.2m</w:t>
            </w:r>
            <w:r>
              <w:rPr>
                <w:rFonts w:ascii="Times New Roman" w:eastAsia="Times New Roman"/>
                <w:color w:val="000000" w:themeColor="text1"/>
                <w:kern w:val="2"/>
                <w:position w:val="7"/>
                <w:sz w:val="14"/>
                <w14:textFill>
                  <w14:solidFill>
                    <w14:schemeClr w14:val="tx1"/>
                  </w14:solidFill>
                </w14:textFill>
              </w:rPr>
              <w:t>3</w:t>
            </w:r>
            <w:r>
              <w:rPr>
                <w:rFonts w:ascii="Times New Roman" w:eastAsia="Times New Roman"/>
                <w:color w:val="000000" w:themeColor="text1"/>
                <w:kern w:val="2"/>
                <w:sz w:val="21"/>
                <w14:textFill>
                  <w14:solidFill>
                    <w14:schemeClr w14:val="tx1"/>
                  </w14:solidFill>
                </w14:textFill>
              </w:rPr>
              <w:t>/s</w:t>
            </w:r>
          </w:p>
        </w:tc>
        <w:tc>
          <w:tcPr>
            <w:tcW w:w="2349" w:type="dxa"/>
            <w:vMerge w:val="restart"/>
            <w:tcBorders>
              <w:top w:val="single" w:color="000000" w:sz="4" w:space="0"/>
              <w:left w:val="single" w:color="000000" w:sz="4" w:space="0"/>
              <w:bottom w:val="single" w:color="000000" w:sz="4" w:space="0"/>
            </w:tcBorders>
          </w:tcPr>
          <w:p>
            <w:pPr>
              <w:pStyle w:val="4069"/>
              <w:keepNext w:val="0"/>
              <w:keepLines w:val="0"/>
              <w:suppressLineNumbers w:val="0"/>
              <w:spacing w:before="25" w:beforeAutospacing="0" w:afterAutospacing="0" w:line="278" w:lineRule="auto"/>
              <w:ind w:left="235" w:right="197"/>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《地表水环境质量标准》（</w:t>
            </w:r>
            <w:r>
              <w:rPr>
                <w:rFonts w:ascii="Times New Roman" w:eastAsia="Times New Roman"/>
                <w:color w:val="000000" w:themeColor="text1"/>
                <w:kern w:val="2"/>
                <w:sz w:val="21"/>
                <w14:textFill>
                  <w14:solidFill>
                    <w14:schemeClr w14:val="tx1"/>
                  </w14:solidFill>
                </w14:textFill>
              </w:rPr>
              <w:t>GB3838-2002</w:t>
            </w:r>
            <w:r>
              <w:rPr>
                <w:color w:val="000000" w:themeColor="text1"/>
                <w:kern w:val="2"/>
                <w:sz w:val="21"/>
                <w14:textFill>
                  <w14:solidFill>
                    <w14:schemeClr w14:val="tx1"/>
                  </w14:solidFill>
                </w14:textFill>
              </w:rPr>
              <w:t>）</w:t>
            </w:r>
            <w:r>
              <w:rPr>
                <w:rFonts w:ascii="Times New Roman" w:eastAsia="Times New Roman"/>
                <w:color w:val="000000" w:themeColor="text1"/>
                <w:kern w:val="2"/>
                <w:sz w:val="21"/>
                <w14:textFill>
                  <w14:solidFill>
                    <w14:schemeClr w14:val="tx1"/>
                  </w14:solidFill>
                </w14:textFill>
              </w:rPr>
              <w:t>III</w:t>
            </w:r>
            <w:r>
              <w:rPr>
                <w:color w:val="000000" w:themeColor="text1"/>
                <w:kern w:val="2"/>
                <w:sz w:val="21"/>
                <w14:textFill>
                  <w14:solidFill>
                    <w14:schemeClr w14:val="tx1"/>
                  </w14:solidFill>
                </w14:textFill>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540" w:type="dxa"/>
            <w:vMerge w:val="continue"/>
            <w:tcBorders>
              <w:right w:val="single" w:color="000000" w:sz="4" w:space="0"/>
            </w:tcBorders>
          </w:tcPr>
          <w:p>
            <w:pPr>
              <w:pStyle w:val="4069"/>
              <w:keepNext w:val="0"/>
              <w:keepLines w:val="0"/>
              <w:suppressLineNumbers w:val="0"/>
              <w:spacing w:beforeAutospacing="0" w:afterAutospacing="0" w:line="278" w:lineRule="auto"/>
              <w:ind w:right="132"/>
              <w:jc w:val="center"/>
              <w:rPr>
                <w:color w:val="000000" w:themeColor="text1"/>
                <w:kern w:val="2"/>
                <w:sz w:val="21"/>
                <w14:textFill>
                  <w14:solidFill>
                    <w14:schemeClr w14:val="tx1"/>
                  </w14:solidFill>
                </w14:textFill>
              </w:rPr>
            </w:pPr>
          </w:p>
        </w:tc>
        <w:tc>
          <w:tcPr>
            <w:tcW w:w="2850" w:type="dxa"/>
            <w:gridSpan w:val="2"/>
            <w:tcBorders>
              <w:top w:val="single" w:color="000000" w:sz="4" w:space="0"/>
              <w:left w:val="single" w:color="000000" w:sz="4" w:space="0"/>
              <w:bottom w:val="single" w:color="000000" w:sz="4" w:space="0"/>
              <w:right w:val="single" w:color="000000" w:sz="4" w:space="0"/>
            </w:tcBorders>
            <w:vAlign w:val="top"/>
          </w:tcPr>
          <w:p>
            <w:pPr>
              <w:pStyle w:val="4069"/>
              <w:keepNext w:val="0"/>
              <w:keepLines w:val="0"/>
              <w:suppressLineNumbers w:val="0"/>
              <w:spacing w:before="154" w:beforeAutospacing="0" w:afterAutospacing="0"/>
              <w:ind w:left="449" w:leftChars="0" w:right="419" w:right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kern w:val="2"/>
                <w:sz w:val="21"/>
                <w14:textFill>
                  <w14:solidFill>
                    <w14:schemeClr w14:val="tx1"/>
                  </w14:solidFill>
                </w14:textFill>
              </w:rPr>
              <w:t>马槽田</w:t>
            </w:r>
            <w:r>
              <w:rPr>
                <w:color w:val="000000" w:themeColor="text1"/>
                <w:kern w:val="2"/>
                <w:sz w:val="21"/>
                <w14:textFill>
                  <w14:solidFill>
                    <w14:schemeClr w14:val="tx1"/>
                  </w14:solidFill>
                </w14:textFill>
              </w:rPr>
              <w:t>河</w:t>
            </w:r>
          </w:p>
        </w:tc>
        <w:tc>
          <w:tcPr>
            <w:tcW w:w="765" w:type="dxa"/>
            <w:tcBorders>
              <w:top w:val="single" w:color="000000" w:sz="4" w:space="0"/>
              <w:left w:val="single" w:color="000000" w:sz="4" w:space="0"/>
              <w:bottom w:val="single" w:color="000000" w:sz="4" w:space="0"/>
              <w:right w:val="single" w:color="000000" w:sz="4" w:space="0"/>
            </w:tcBorders>
            <w:vAlign w:val="top"/>
          </w:tcPr>
          <w:p>
            <w:pPr>
              <w:pStyle w:val="4069"/>
              <w:keepNext w:val="0"/>
              <w:keepLines w:val="0"/>
              <w:suppressLineNumbers w:val="0"/>
              <w:spacing w:before="154" w:beforeAutospacing="0" w:afterAutospacing="0"/>
              <w:ind w:left="25" w:left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w w:val="100"/>
                <w:kern w:val="2"/>
                <w:sz w:val="21"/>
                <w:lang w:val="en-US" w:eastAsia="zh-CN"/>
                <w14:textFill>
                  <w14:solidFill>
                    <w14:schemeClr w14:val="tx1"/>
                  </w14:solidFill>
                </w14:textFill>
              </w:rPr>
              <w:t>南</w:t>
            </w:r>
          </w:p>
        </w:tc>
        <w:tc>
          <w:tcPr>
            <w:tcW w:w="940" w:type="dxa"/>
            <w:tcBorders>
              <w:top w:val="single" w:color="000000" w:sz="4" w:space="0"/>
              <w:left w:val="single" w:color="000000" w:sz="4" w:space="0"/>
              <w:bottom w:val="single" w:color="000000" w:sz="4" w:space="0"/>
              <w:right w:val="single" w:color="000000" w:sz="4" w:space="0"/>
            </w:tcBorders>
            <w:vAlign w:val="top"/>
          </w:tcPr>
          <w:p>
            <w:pPr>
              <w:pStyle w:val="4069"/>
              <w:keepNext w:val="0"/>
              <w:keepLines w:val="0"/>
              <w:suppressLineNumbers w:val="0"/>
              <w:spacing w:before="168" w:beforeAutospacing="0" w:afterAutospacing="0"/>
              <w:ind w:left="106" w:leftChars="0" w:right="76" w:rightChars="0"/>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ascii="Times New Roman"/>
                <w:color w:val="000000" w:themeColor="text1"/>
                <w:kern w:val="2"/>
                <w:sz w:val="21"/>
                <w14:textFill>
                  <w14:solidFill>
                    <w14:schemeClr w14:val="tx1"/>
                  </w14:solidFill>
                </w14:textFill>
              </w:rPr>
              <w:t>5500m</w:t>
            </w:r>
          </w:p>
        </w:tc>
        <w:tc>
          <w:tcPr>
            <w:tcW w:w="2051" w:type="dxa"/>
            <w:tcBorders>
              <w:top w:val="single" w:color="000000" w:sz="4" w:space="0"/>
              <w:left w:val="single" w:color="000000" w:sz="4" w:space="0"/>
              <w:bottom w:val="single" w:color="000000" w:sz="4" w:space="0"/>
              <w:right w:val="single" w:color="000000" w:sz="4" w:space="0"/>
            </w:tcBorders>
            <w:vAlign w:val="top"/>
          </w:tcPr>
          <w:p>
            <w:pPr>
              <w:pStyle w:val="4069"/>
              <w:keepNext w:val="0"/>
              <w:keepLines w:val="0"/>
              <w:suppressLineNumbers w:val="0"/>
              <w:spacing w:before="154" w:beforeAutospacing="0" w:afterAutospacing="0"/>
              <w:ind w:left="59" w:leftChars="0" w:right="39" w:rightChars="0"/>
              <w:rPr>
                <w:rFonts w:ascii="Times New Roman" w:hAnsi="Times New Roman" w:eastAsia="Times New Roman" w:cs="Times New Roman"/>
                <w:color w:val="000000" w:themeColor="text1"/>
                <w:kern w:val="2"/>
                <w:sz w:val="21"/>
                <w:szCs w:val="24"/>
                <w:lang w:val="en-US" w:eastAsia="zh-CN" w:bidi="ar-SA"/>
                <w14:textFill>
                  <w14:solidFill>
                    <w14:schemeClr w14:val="tx1"/>
                  </w14:solidFill>
                </w14:textFill>
              </w:rPr>
            </w:pPr>
            <w:r>
              <w:rPr>
                <w:color w:val="000000" w:themeColor="text1"/>
                <w:kern w:val="2"/>
                <w:sz w:val="21"/>
                <w14:textFill>
                  <w14:solidFill>
                    <w14:schemeClr w14:val="tx1"/>
                  </w14:solidFill>
                </w14:textFill>
              </w:rPr>
              <w:t xml:space="preserve">年平均流量为 </w:t>
            </w:r>
            <w:r>
              <w:rPr>
                <w:rFonts w:hint="eastAsia" w:ascii="Times New Roman"/>
                <w:color w:val="000000" w:themeColor="text1"/>
                <w:kern w:val="2"/>
                <w:sz w:val="21"/>
                <w:lang w:val="en-US" w:eastAsia="zh-CN"/>
                <w14:textFill>
                  <w14:solidFill>
                    <w14:schemeClr w14:val="tx1"/>
                  </w14:solidFill>
                </w14:textFill>
              </w:rPr>
              <w:t>1.0</w:t>
            </w:r>
            <w:r>
              <w:rPr>
                <w:rFonts w:ascii="Times New Roman" w:eastAsia="Times New Roman"/>
                <w:color w:val="000000" w:themeColor="text1"/>
                <w:kern w:val="2"/>
                <w:sz w:val="21"/>
                <w14:textFill>
                  <w14:solidFill>
                    <w14:schemeClr w14:val="tx1"/>
                  </w14:solidFill>
                </w14:textFill>
              </w:rPr>
              <w:t>m</w:t>
            </w:r>
            <w:r>
              <w:rPr>
                <w:rFonts w:ascii="Times New Roman" w:eastAsia="Times New Roman"/>
                <w:color w:val="000000" w:themeColor="text1"/>
                <w:kern w:val="2"/>
                <w:position w:val="7"/>
                <w:sz w:val="14"/>
                <w14:textFill>
                  <w14:solidFill>
                    <w14:schemeClr w14:val="tx1"/>
                  </w14:solidFill>
                </w14:textFill>
              </w:rPr>
              <w:t>3</w:t>
            </w:r>
            <w:r>
              <w:rPr>
                <w:rFonts w:ascii="Times New Roman" w:eastAsia="Times New Roman"/>
                <w:color w:val="000000" w:themeColor="text1"/>
                <w:kern w:val="2"/>
                <w:sz w:val="21"/>
                <w14:textFill>
                  <w14:solidFill>
                    <w14:schemeClr w14:val="tx1"/>
                  </w14:solidFill>
                </w14:textFill>
              </w:rPr>
              <w:t>/s</w:t>
            </w:r>
          </w:p>
        </w:tc>
        <w:tc>
          <w:tcPr>
            <w:tcW w:w="2349" w:type="dxa"/>
            <w:vMerge w:val="continue"/>
            <w:tcBorders>
              <w:left w:val="single" w:color="000000" w:sz="4" w:space="0"/>
            </w:tcBorders>
          </w:tcPr>
          <w:p>
            <w:pPr>
              <w:pStyle w:val="4069"/>
              <w:keepNext w:val="0"/>
              <w:keepLines w:val="0"/>
              <w:suppressLineNumbers w:val="0"/>
              <w:spacing w:before="25" w:beforeAutospacing="0" w:afterAutospacing="0" w:line="278" w:lineRule="auto"/>
              <w:ind w:left="235" w:right="197"/>
              <w:rPr>
                <w:color w:val="000000" w:themeColor="text1"/>
                <w:kern w:val="2"/>
                <w:sz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52" w:hRule="atLeast"/>
        </w:trPr>
        <w:tc>
          <w:tcPr>
            <w:tcW w:w="540" w:type="dxa"/>
            <w:vMerge w:val="continue"/>
            <w:tcBorders>
              <w:right w:val="single" w:color="000000" w:sz="4" w:space="0"/>
            </w:tcBorders>
          </w:tcPr>
          <w:p>
            <w:pPr>
              <w:pStyle w:val="4069"/>
              <w:keepNext w:val="0"/>
              <w:keepLines w:val="0"/>
              <w:suppressLineNumbers w:val="0"/>
              <w:spacing w:beforeAutospacing="0" w:afterAutospacing="0" w:line="278" w:lineRule="auto"/>
              <w:ind w:right="132"/>
              <w:jc w:val="center"/>
              <w:rPr>
                <w:color w:val="000000" w:themeColor="text1"/>
                <w:kern w:val="2"/>
                <w:sz w:val="21"/>
                <w14:textFill>
                  <w14:solidFill>
                    <w14:schemeClr w14:val="tx1"/>
                  </w14:solidFill>
                </w14:textFill>
              </w:rPr>
            </w:pPr>
          </w:p>
        </w:tc>
        <w:tc>
          <w:tcPr>
            <w:tcW w:w="285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44" w:beforeAutospacing="0" w:afterAutospacing="0"/>
              <w:ind w:left="449" w:right="419"/>
              <w:rPr>
                <w:rFonts w:hint="eastAsia"/>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纳省水库</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44" w:beforeAutospacing="0" w:afterAutospacing="0"/>
              <w:ind w:left="25"/>
              <w:rPr>
                <w:rFonts w:hint="eastAsia" w:eastAsia="宋体"/>
                <w:color w:val="000000" w:themeColor="text1"/>
                <w:w w:val="100"/>
                <w:kern w:val="2"/>
                <w:sz w:val="21"/>
                <w:lang w:eastAsia="zh-CN"/>
                <w14:textFill>
                  <w14:solidFill>
                    <w14:schemeClr w14:val="tx1"/>
                  </w14:solidFill>
                </w14:textFill>
              </w:rPr>
            </w:pPr>
            <w:r>
              <w:rPr>
                <w:rFonts w:hint="eastAsia"/>
                <w:color w:val="000000" w:themeColor="text1"/>
                <w:w w:val="100"/>
                <w:kern w:val="2"/>
                <w:sz w:val="21"/>
                <w:lang w:eastAsia="zh-CN"/>
                <w14:textFill>
                  <w14:solidFill>
                    <w14:schemeClr w14:val="tx1"/>
                  </w14:solidFill>
                </w14:textFill>
              </w:rPr>
              <w:t>西南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58" w:beforeAutospacing="0" w:afterAutospacing="0"/>
              <w:ind w:left="106" w:right="76"/>
              <w:rPr>
                <w:rFonts w:hint="default" w:ascii="Times New Roman"/>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10000m</w:t>
            </w:r>
          </w:p>
        </w:tc>
        <w:tc>
          <w:tcPr>
            <w:tcW w:w="2051" w:type="dxa"/>
            <w:tcBorders>
              <w:top w:val="single" w:color="000000" w:sz="4" w:space="0"/>
              <w:left w:val="single" w:color="000000" w:sz="4" w:space="0"/>
              <w:bottom w:val="single" w:color="000000" w:sz="4" w:space="0"/>
              <w:right w:val="single" w:color="000000" w:sz="4" w:space="0"/>
            </w:tcBorders>
            <w:vAlign w:val="top"/>
          </w:tcPr>
          <w:p>
            <w:pPr>
              <w:pStyle w:val="4069"/>
              <w:keepNext w:val="0"/>
              <w:keepLines w:val="0"/>
              <w:suppressLineNumbers w:val="0"/>
              <w:spacing w:before="154" w:beforeAutospacing="0" w:afterAutospacing="0"/>
              <w:ind w:left="59" w:leftChars="0" w:right="39" w:rightChars="0"/>
              <w:rPr>
                <w:color w:val="auto"/>
                <w:kern w:val="2"/>
                <w:sz w:val="21"/>
              </w:rPr>
            </w:pPr>
            <w:r>
              <w:rPr>
                <w:rFonts w:hint="eastAsia"/>
                <w:color w:val="auto"/>
                <w:kern w:val="2"/>
                <w:sz w:val="21"/>
                <w:lang w:val="en-US" w:eastAsia="zh-CN"/>
              </w:rPr>
              <w:t>大型水库，水源保护区</w:t>
            </w:r>
          </w:p>
        </w:tc>
        <w:tc>
          <w:tcPr>
            <w:tcW w:w="2349" w:type="dxa"/>
            <w:vMerge w:val="continue"/>
            <w:tcBorders>
              <w:left w:val="single" w:color="000000" w:sz="4" w:space="0"/>
            </w:tcBorders>
          </w:tcPr>
          <w:p>
            <w:pPr>
              <w:pStyle w:val="4069"/>
              <w:keepNext w:val="0"/>
              <w:keepLines w:val="0"/>
              <w:suppressLineNumbers w:val="0"/>
              <w:spacing w:before="25" w:beforeAutospacing="0" w:afterAutospacing="0" w:line="278" w:lineRule="auto"/>
              <w:ind w:left="235" w:right="197"/>
              <w:rPr>
                <w:color w:val="000000" w:themeColor="text1"/>
                <w:kern w:val="2"/>
                <w:sz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75" w:hRule="atLeast"/>
        </w:trPr>
        <w:tc>
          <w:tcPr>
            <w:tcW w:w="540" w:type="dxa"/>
            <w:vMerge w:val="continue"/>
            <w:tcBorders>
              <w:top w:val="nil"/>
              <w:bottom w:val="single" w:color="000000" w:sz="4" w:space="0"/>
              <w:right w:val="single" w:color="000000" w:sz="4" w:space="0"/>
            </w:tcBorders>
          </w:tcPr>
          <w:p>
            <w:pPr>
              <w:keepNext w:val="0"/>
              <w:keepLines w:val="0"/>
              <w:suppressLineNumbers w:val="0"/>
              <w:spacing w:beforeAutospacing="0" w:afterAutospacing="0"/>
              <w:jc w:val="center"/>
              <w:rPr>
                <w:color w:val="000000" w:themeColor="text1"/>
                <w:kern w:val="2"/>
                <w:sz w:val="2"/>
                <w:szCs w:val="2"/>
                <w14:textFill>
                  <w14:solidFill>
                    <w14:schemeClr w14:val="tx1"/>
                  </w14:solidFill>
                </w14:textFill>
              </w:rPr>
            </w:pPr>
          </w:p>
        </w:tc>
        <w:tc>
          <w:tcPr>
            <w:tcW w:w="2850" w:type="dxa"/>
            <w:gridSpan w:val="2"/>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54" w:beforeAutospacing="0" w:afterAutospacing="0"/>
              <w:ind w:left="449" w:right="419"/>
              <w:rPr>
                <w:rFonts w:hint="eastAsia" w:eastAsia="宋体"/>
                <w:color w:val="000000" w:themeColor="text1"/>
                <w:kern w:val="2"/>
                <w:sz w:val="21"/>
                <w:lang w:eastAsia="zh-CN"/>
                <w14:textFill>
                  <w14:solidFill>
                    <w14:schemeClr w14:val="tx1"/>
                  </w14:solidFill>
                </w14:textFill>
              </w:rPr>
            </w:pPr>
            <w:r>
              <w:rPr>
                <w:rFonts w:hint="eastAsia"/>
                <w:color w:val="000000" w:themeColor="text1"/>
                <w:kern w:val="2"/>
                <w:sz w:val="21"/>
                <w:lang w:eastAsia="zh-CN"/>
                <w14:textFill>
                  <w14:solidFill>
                    <w14:schemeClr w14:val="tx1"/>
                  </w14:solidFill>
                </w14:textFill>
              </w:rPr>
              <w:t>围山湖水库</w:t>
            </w:r>
          </w:p>
        </w:tc>
        <w:tc>
          <w:tcPr>
            <w:tcW w:w="765"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54" w:beforeAutospacing="0" w:afterAutospacing="0"/>
              <w:ind w:left="25"/>
              <w:rPr>
                <w:rFonts w:hint="eastAsia" w:eastAsia="宋体"/>
                <w:color w:val="000000" w:themeColor="text1"/>
                <w:kern w:val="2"/>
                <w:sz w:val="21"/>
                <w:lang w:eastAsia="zh-CN"/>
                <w14:textFill>
                  <w14:solidFill>
                    <w14:schemeClr w14:val="tx1"/>
                  </w14:solidFill>
                </w14:textFill>
              </w:rPr>
            </w:pPr>
            <w:r>
              <w:rPr>
                <w:rFonts w:hint="eastAsia"/>
                <w:color w:val="000000" w:themeColor="text1"/>
                <w:kern w:val="2"/>
                <w:sz w:val="21"/>
                <w:lang w:eastAsia="zh-CN"/>
                <w14:textFill>
                  <w14:solidFill>
                    <w14:schemeClr w14:val="tx1"/>
                  </w14:solidFill>
                </w14:textFill>
              </w:rPr>
              <w:t>北</w:t>
            </w:r>
          </w:p>
        </w:tc>
        <w:tc>
          <w:tcPr>
            <w:tcW w:w="940" w:type="dxa"/>
            <w:tcBorders>
              <w:top w:val="single" w:color="000000" w:sz="4" w:space="0"/>
              <w:left w:val="single" w:color="000000" w:sz="4" w:space="0"/>
              <w:bottom w:val="single" w:color="000000" w:sz="4" w:space="0"/>
              <w:right w:val="single" w:color="000000" w:sz="4" w:space="0"/>
            </w:tcBorders>
          </w:tcPr>
          <w:p>
            <w:pPr>
              <w:pStyle w:val="4069"/>
              <w:keepNext w:val="0"/>
              <w:keepLines w:val="0"/>
              <w:suppressLineNumbers w:val="0"/>
              <w:spacing w:before="168" w:beforeAutospacing="0" w:afterAutospacing="0"/>
              <w:ind w:left="106" w:right="76"/>
              <w:rPr>
                <w:rFonts w:hint="default" w:ascii="Times New Roman" w:eastAsia="宋体"/>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2500m</w:t>
            </w:r>
          </w:p>
        </w:tc>
        <w:tc>
          <w:tcPr>
            <w:tcW w:w="2051" w:type="dxa"/>
            <w:tcBorders>
              <w:top w:val="single" w:color="000000" w:sz="4" w:space="0"/>
              <w:left w:val="single" w:color="000000" w:sz="4" w:space="0"/>
              <w:bottom w:val="single" w:color="000000" w:sz="4" w:space="0"/>
              <w:right w:val="single" w:color="000000" w:sz="4" w:space="0"/>
            </w:tcBorders>
            <w:vAlign w:val="top"/>
          </w:tcPr>
          <w:p>
            <w:pPr>
              <w:pStyle w:val="4069"/>
              <w:keepNext w:val="0"/>
              <w:keepLines w:val="0"/>
              <w:suppressLineNumbers w:val="0"/>
              <w:spacing w:before="154" w:beforeAutospacing="0" w:afterAutospacing="0"/>
              <w:ind w:left="59" w:leftChars="0" w:right="39" w:rightChars="0"/>
              <w:rPr>
                <w:rFonts w:ascii="Times New Roman" w:eastAsia="Times New Roman"/>
                <w:color w:val="auto"/>
                <w:kern w:val="2"/>
                <w:sz w:val="21"/>
              </w:rPr>
            </w:pPr>
            <w:r>
              <w:rPr>
                <w:rFonts w:hint="eastAsia"/>
                <w:color w:val="auto"/>
                <w:kern w:val="2"/>
                <w:sz w:val="21"/>
                <w:lang w:val="en-US" w:eastAsia="zh-CN"/>
              </w:rPr>
              <w:t>中型水库，水源保护区</w:t>
            </w:r>
          </w:p>
        </w:tc>
        <w:tc>
          <w:tcPr>
            <w:tcW w:w="2349" w:type="dxa"/>
            <w:vMerge w:val="continue"/>
            <w:tcBorders>
              <w:top w:val="nil"/>
              <w:left w:val="single" w:color="000000" w:sz="4" w:space="0"/>
              <w:bottom w:val="single" w:color="000000" w:sz="4" w:space="0"/>
            </w:tcBorders>
          </w:tcPr>
          <w:p>
            <w:pPr>
              <w:keepNext w:val="0"/>
              <w:keepLines w:val="0"/>
              <w:suppressLineNumbers w:val="0"/>
              <w:spacing w:beforeAutospacing="0" w:afterAutospacing="0"/>
              <w:rPr>
                <w:color w:val="000000" w:themeColor="text1"/>
                <w:kern w:val="2"/>
                <w:sz w:val="2"/>
                <w:szCs w:val="2"/>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7" w:hRule="atLeast"/>
        </w:trPr>
        <w:tc>
          <w:tcPr>
            <w:tcW w:w="540" w:type="dxa"/>
            <w:vMerge w:val="restart"/>
            <w:tcBorders>
              <w:top w:val="single" w:color="000000" w:sz="4" w:space="0"/>
              <w:right w:val="single" w:color="000000" w:sz="4" w:space="0"/>
            </w:tcBorders>
          </w:tcPr>
          <w:p>
            <w:pPr>
              <w:pStyle w:val="4069"/>
              <w:keepNext w:val="0"/>
              <w:keepLines w:val="0"/>
              <w:suppressLineNumbers w:val="0"/>
              <w:spacing w:before="178" w:beforeAutospacing="0" w:afterAutospacing="0" w:line="278" w:lineRule="auto"/>
              <w:ind w:right="132"/>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地下水</w:t>
            </w:r>
          </w:p>
        </w:tc>
        <w:tc>
          <w:tcPr>
            <w:tcW w:w="2850" w:type="dxa"/>
            <w:gridSpan w:val="2"/>
            <w:tcBorders>
              <w:top w:val="single" w:color="000000" w:sz="4" w:space="0"/>
              <w:left w:val="single" w:color="000000" w:sz="4" w:space="0"/>
              <w:bottom w:val="single" w:color="auto" w:sz="4" w:space="0"/>
              <w:right w:val="single" w:color="000000" w:sz="4" w:space="0"/>
            </w:tcBorders>
          </w:tcPr>
          <w:p>
            <w:pPr>
              <w:pStyle w:val="4069"/>
              <w:keepNext w:val="0"/>
              <w:keepLines w:val="0"/>
              <w:suppressLineNumbers w:val="0"/>
              <w:spacing w:before="1" w:beforeAutospacing="0" w:afterAutospacing="0"/>
              <w:ind w:left="449" w:right="421"/>
              <w:rPr>
                <w:color w:val="000000" w:themeColor="text1"/>
                <w:kern w:val="2"/>
                <w:sz w:val="21"/>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张屯组</w:t>
            </w:r>
            <w:r>
              <w:rPr>
                <w:color w:val="000000" w:themeColor="text1"/>
                <w:kern w:val="2"/>
                <w:sz w:val="21"/>
                <w14:textFill>
                  <w14:solidFill>
                    <w14:schemeClr w14:val="tx1"/>
                  </w14:solidFill>
                </w14:textFill>
              </w:rPr>
              <w:t>水井</w:t>
            </w:r>
          </w:p>
        </w:tc>
        <w:tc>
          <w:tcPr>
            <w:tcW w:w="765" w:type="dxa"/>
            <w:tcBorders>
              <w:top w:val="single" w:color="000000" w:sz="4" w:space="0"/>
              <w:left w:val="single" w:color="000000" w:sz="4" w:space="0"/>
              <w:bottom w:val="single" w:color="auto" w:sz="4" w:space="0"/>
              <w:right w:val="single" w:color="000000" w:sz="4" w:space="0"/>
            </w:tcBorders>
          </w:tcPr>
          <w:p>
            <w:pPr>
              <w:pStyle w:val="4069"/>
              <w:keepNext w:val="0"/>
              <w:keepLines w:val="0"/>
              <w:suppressLineNumbers w:val="0"/>
              <w:spacing w:before="1" w:beforeAutospacing="0" w:afterAutospacing="0"/>
              <w:ind w:left="175" w:right="145"/>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东</w:t>
            </w:r>
          </w:p>
        </w:tc>
        <w:tc>
          <w:tcPr>
            <w:tcW w:w="940" w:type="dxa"/>
            <w:tcBorders>
              <w:top w:val="single" w:color="000000" w:sz="4" w:space="0"/>
              <w:left w:val="single" w:color="000000" w:sz="4" w:space="0"/>
              <w:bottom w:val="single" w:color="auto" w:sz="4" w:space="0"/>
              <w:right w:val="single" w:color="000000" w:sz="4" w:space="0"/>
            </w:tcBorders>
          </w:tcPr>
          <w:p>
            <w:pPr>
              <w:pStyle w:val="4069"/>
              <w:keepNext w:val="0"/>
              <w:keepLines w:val="0"/>
              <w:suppressLineNumbers w:val="0"/>
              <w:spacing w:beforeAutospacing="0" w:afterAutospacing="0"/>
              <w:ind w:left="106" w:right="76"/>
              <w:rPr>
                <w:rFonts w:ascii="Times New Roman"/>
                <w:color w:val="000000" w:themeColor="text1"/>
                <w:kern w:val="2"/>
                <w:sz w:val="21"/>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100</w:t>
            </w:r>
            <w:r>
              <w:rPr>
                <w:rFonts w:ascii="Times New Roman"/>
                <w:color w:val="000000" w:themeColor="text1"/>
                <w:kern w:val="2"/>
                <w:sz w:val="21"/>
                <w14:textFill>
                  <w14:solidFill>
                    <w14:schemeClr w14:val="tx1"/>
                  </w14:solidFill>
                </w14:textFill>
              </w:rPr>
              <w:t>0m</w:t>
            </w:r>
          </w:p>
        </w:tc>
        <w:tc>
          <w:tcPr>
            <w:tcW w:w="2051" w:type="dxa"/>
            <w:tcBorders>
              <w:top w:val="single" w:color="000000" w:sz="4" w:space="0"/>
              <w:left w:val="single" w:color="000000" w:sz="4" w:space="0"/>
              <w:bottom w:val="single" w:color="auto" w:sz="4" w:space="0"/>
              <w:right w:val="single" w:color="000000" w:sz="4" w:space="0"/>
            </w:tcBorders>
          </w:tcPr>
          <w:p>
            <w:pPr>
              <w:pStyle w:val="4069"/>
              <w:keepNext w:val="0"/>
              <w:keepLines w:val="0"/>
              <w:suppressLineNumbers w:val="0"/>
              <w:spacing w:beforeAutospacing="0" w:afterAutospacing="0"/>
              <w:ind w:left="25"/>
              <w:rPr>
                <w:rFonts w:ascii="Times New Roman"/>
                <w:color w:val="000000" w:themeColor="text1"/>
                <w:kern w:val="2"/>
                <w:sz w:val="21"/>
                <w14:textFill>
                  <w14:solidFill>
                    <w14:schemeClr w14:val="tx1"/>
                  </w14:solidFill>
                </w14:textFill>
              </w:rPr>
            </w:pPr>
            <w:r>
              <w:rPr>
                <w:rFonts w:ascii="Times New Roman"/>
                <w:color w:val="000000" w:themeColor="text1"/>
                <w:w w:val="100"/>
                <w:kern w:val="2"/>
                <w:sz w:val="21"/>
                <w14:textFill>
                  <w14:solidFill>
                    <w14:schemeClr w14:val="tx1"/>
                  </w14:solidFill>
                </w14:textFill>
              </w:rPr>
              <w:t>/</w:t>
            </w:r>
          </w:p>
        </w:tc>
        <w:tc>
          <w:tcPr>
            <w:tcW w:w="2349" w:type="dxa"/>
            <w:vMerge w:val="restart"/>
            <w:tcBorders>
              <w:top w:val="single" w:color="000000" w:sz="4" w:space="0"/>
              <w:left w:val="single" w:color="000000" w:sz="4" w:space="0"/>
            </w:tcBorders>
          </w:tcPr>
          <w:p>
            <w:pPr>
              <w:pStyle w:val="4069"/>
              <w:keepNext w:val="0"/>
              <w:keepLines w:val="0"/>
              <w:suppressLineNumbers w:val="0"/>
              <w:spacing w:before="22" w:beforeAutospacing="0" w:afterAutospacing="0"/>
              <w:ind w:left="98" w:right="62"/>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《地下水质量标准》</w:t>
            </w:r>
          </w:p>
          <w:p>
            <w:pPr>
              <w:pStyle w:val="4069"/>
              <w:keepNext w:val="0"/>
              <w:keepLines w:val="0"/>
              <w:suppressLineNumbers w:val="0"/>
              <w:spacing w:before="43" w:beforeAutospacing="0" w:afterAutospacing="0"/>
              <w:ind w:left="98" w:right="67"/>
              <w:rPr>
                <w:rFonts w:ascii="Times New Roman" w:eastAsia="Times New Roman"/>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w:t>
            </w:r>
            <w:r>
              <w:rPr>
                <w:rFonts w:ascii="Times New Roman" w:eastAsia="Times New Roman"/>
                <w:color w:val="000000" w:themeColor="text1"/>
                <w:kern w:val="2"/>
                <w:sz w:val="21"/>
                <w14:textFill>
                  <w14:solidFill>
                    <w14:schemeClr w14:val="tx1"/>
                  </w14:solidFill>
                </w14:textFill>
              </w:rPr>
              <w:t>GB/T14848-2017</w:t>
            </w:r>
            <w:r>
              <w:rPr>
                <w:color w:val="000000" w:themeColor="text1"/>
                <w:kern w:val="2"/>
                <w:sz w:val="21"/>
                <w14:textFill>
                  <w14:solidFill>
                    <w14:schemeClr w14:val="tx1"/>
                  </w14:solidFill>
                </w14:textFill>
              </w:rPr>
              <w:t>）</w:t>
            </w:r>
            <w:r>
              <w:rPr>
                <w:rFonts w:ascii="Times New Roman" w:eastAsia="Times New Roman"/>
                <w:color w:val="000000" w:themeColor="text1"/>
                <w:kern w:val="2"/>
                <w:sz w:val="21"/>
                <w14:textFill>
                  <w14:solidFill>
                    <w14:schemeClr w14:val="tx1"/>
                  </w14:solidFill>
                </w14:textFill>
              </w:rPr>
              <w:t>III</w:t>
            </w:r>
          </w:p>
          <w:p>
            <w:pPr>
              <w:pStyle w:val="4069"/>
              <w:keepNext w:val="0"/>
              <w:keepLines w:val="0"/>
              <w:suppressLineNumbers w:val="0"/>
              <w:spacing w:before="43" w:beforeAutospacing="0" w:afterAutospacing="0"/>
              <w:ind w:left="34"/>
              <w:rPr>
                <w:color w:val="000000" w:themeColor="text1"/>
                <w:kern w:val="2"/>
                <w:sz w:val="21"/>
                <w14:textFill>
                  <w14:solidFill>
                    <w14:schemeClr w14:val="tx1"/>
                  </w14:solidFill>
                </w14:textFill>
              </w:rPr>
            </w:pPr>
            <w:r>
              <w:rPr>
                <w:color w:val="000000" w:themeColor="text1"/>
                <w:w w:val="100"/>
                <w:kern w:val="2"/>
                <w:sz w:val="21"/>
                <w14:textFill>
                  <w14:solidFill>
                    <w14:schemeClr w14:val="tx1"/>
                  </w14:solidFill>
                </w14:textFill>
              </w:rPr>
              <w:t>类</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26" w:hRule="atLeast"/>
        </w:trPr>
        <w:tc>
          <w:tcPr>
            <w:tcW w:w="540" w:type="dxa"/>
            <w:vMerge w:val="continue"/>
            <w:tcBorders>
              <w:bottom w:val="single" w:color="000000" w:sz="4" w:space="0"/>
              <w:right w:val="single" w:color="000000" w:sz="4" w:space="0"/>
            </w:tcBorders>
          </w:tcPr>
          <w:p>
            <w:pPr>
              <w:pStyle w:val="4069"/>
              <w:keepNext w:val="0"/>
              <w:keepLines w:val="0"/>
              <w:suppressLineNumbers w:val="0"/>
              <w:spacing w:before="178" w:beforeAutospacing="0" w:afterAutospacing="0" w:line="278" w:lineRule="auto"/>
              <w:ind w:left="258" w:right="132" w:hanging="104"/>
              <w:jc w:val="center"/>
              <w:rPr>
                <w:color w:val="000000" w:themeColor="text1"/>
                <w:kern w:val="2"/>
                <w:sz w:val="21"/>
                <w14:textFill>
                  <w14:solidFill>
                    <w14:schemeClr w14:val="tx1"/>
                  </w14:solidFill>
                </w14:textFill>
              </w:rPr>
            </w:pPr>
          </w:p>
        </w:tc>
        <w:tc>
          <w:tcPr>
            <w:tcW w:w="2850" w:type="dxa"/>
            <w:gridSpan w:val="2"/>
            <w:tcBorders>
              <w:top w:val="single" w:color="auto" w:sz="4" w:space="0"/>
              <w:left w:val="single" w:color="000000" w:sz="4" w:space="0"/>
              <w:bottom w:val="single" w:color="auto" w:sz="4" w:space="0"/>
              <w:right w:val="single" w:color="000000" w:sz="4" w:space="0"/>
            </w:tcBorders>
          </w:tcPr>
          <w:p>
            <w:pPr>
              <w:pStyle w:val="4069"/>
              <w:keepNext w:val="0"/>
              <w:keepLines w:val="0"/>
              <w:suppressLineNumbers w:val="0"/>
              <w:spacing w:before="1" w:beforeAutospacing="0" w:afterAutospacing="0"/>
              <w:ind w:left="449" w:right="421"/>
              <w:rPr>
                <w:rFonts w:hint="default" w:eastAsia="宋体"/>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破山组水井</w:t>
            </w:r>
          </w:p>
        </w:tc>
        <w:tc>
          <w:tcPr>
            <w:tcW w:w="765" w:type="dxa"/>
            <w:tcBorders>
              <w:top w:val="single" w:color="auto" w:sz="4" w:space="0"/>
              <w:left w:val="single" w:color="000000" w:sz="4" w:space="0"/>
              <w:bottom w:val="single" w:color="auto" w:sz="4" w:space="0"/>
              <w:right w:val="single" w:color="000000" w:sz="4" w:space="0"/>
            </w:tcBorders>
          </w:tcPr>
          <w:p>
            <w:pPr>
              <w:pStyle w:val="4069"/>
              <w:keepNext w:val="0"/>
              <w:keepLines w:val="0"/>
              <w:suppressLineNumbers w:val="0"/>
              <w:spacing w:before="1" w:beforeAutospacing="0" w:afterAutospacing="0"/>
              <w:ind w:left="175" w:right="145"/>
              <w:rPr>
                <w:rFonts w:hint="eastAsia" w:eastAsia="宋体"/>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西南</w:t>
            </w:r>
          </w:p>
        </w:tc>
        <w:tc>
          <w:tcPr>
            <w:tcW w:w="940" w:type="dxa"/>
            <w:tcBorders>
              <w:top w:val="single" w:color="auto" w:sz="4" w:space="0"/>
              <w:left w:val="single" w:color="000000" w:sz="4" w:space="0"/>
              <w:bottom w:val="single" w:color="auto" w:sz="4" w:space="0"/>
              <w:right w:val="single" w:color="000000" w:sz="4" w:space="0"/>
            </w:tcBorders>
          </w:tcPr>
          <w:p>
            <w:pPr>
              <w:pStyle w:val="4069"/>
              <w:keepNext w:val="0"/>
              <w:keepLines w:val="0"/>
              <w:suppressLineNumbers w:val="0"/>
              <w:spacing w:beforeAutospacing="0" w:afterAutospacing="0"/>
              <w:ind w:left="106" w:right="76"/>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2400m</w:t>
            </w:r>
          </w:p>
        </w:tc>
        <w:tc>
          <w:tcPr>
            <w:tcW w:w="2051" w:type="dxa"/>
            <w:tcBorders>
              <w:top w:val="single" w:color="auto" w:sz="4" w:space="0"/>
              <w:left w:val="single" w:color="000000" w:sz="4" w:space="0"/>
              <w:bottom w:val="single" w:color="auto" w:sz="4" w:space="0"/>
              <w:right w:val="single" w:color="000000" w:sz="4" w:space="0"/>
            </w:tcBorders>
          </w:tcPr>
          <w:p>
            <w:pPr>
              <w:pStyle w:val="4069"/>
              <w:keepNext w:val="0"/>
              <w:keepLines w:val="0"/>
              <w:suppressLineNumbers w:val="0"/>
              <w:spacing w:beforeAutospacing="0" w:afterAutospacing="0"/>
              <w:ind w:left="25"/>
              <w:rPr>
                <w:rFonts w:ascii="Times New Roman"/>
                <w:color w:val="000000" w:themeColor="text1"/>
                <w:w w:val="100"/>
                <w:kern w:val="2"/>
                <w:sz w:val="21"/>
                <w14:textFill>
                  <w14:solidFill>
                    <w14:schemeClr w14:val="tx1"/>
                  </w14:solidFill>
                </w14:textFill>
              </w:rPr>
            </w:pPr>
            <w:r>
              <w:rPr>
                <w:rFonts w:ascii="Times New Roman"/>
                <w:color w:val="000000" w:themeColor="text1"/>
                <w:w w:val="100"/>
                <w:kern w:val="2"/>
                <w:sz w:val="21"/>
                <w14:textFill>
                  <w14:solidFill>
                    <w14:schemeClr w14:val="tx1"/>
                  </w14:solidFill>
                </w14:textFill>
              </w:rPr>
              <w:t>/</w:t>
            </w:r>
          </w:p>
        </w:tc>
        <w:tc>
          <w:tcPr>
            <w:tcW w:w="2349" w:type="dxa"/>
            <w:vMerge w:val="continue"/>
            <w:tcBorders>
              <w:left w:val="single" w:color="000000" w:sz="4" w:space="0"/>
              <w:bottom w:val="single" w:color="000000" w:sz="4" w:space="0"/>
            </w:tcBorders>
          </w:tcPr>
          <w:p>
            <w:pPr>
              <w:pStyle w:val="4069"/>
              <w:keepNext w:val="0"/>
              <w:keepLines w:val="0"/>
              <w:suppressLineNumbers w:val="0"/>
              <w:spacing w:before="43" w:beforeAutospacing="0" w:afterAutospacing="0"/>
              <w:ind w:left="34"/>
              <w:rPr>
                <w:color w:val="000000" w:themeColor="text1"/>
                <w:w w:val="100"/>
                <w:kern w:val="2"/>
                <w:sz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1" w:hRule="atLeast"/>
        </w:trPr>
        <w:tc>
          <w:tcPr>
            <w:tcW w:w="540" w:type="dxa"/>
            <w:vMerge w:val="continue"/>
            <w:tcBorders>
              <w:bottom w:val="single" w:color="000000" w:sz="4" w:space="0"/>
              <w:right w:val="single" w:color="000000" w:sz="4" w:space="0"/>
            </w:tcBorders>
          </w:tcPr>
          <w:p>
            <w:pPr>
              <w:pStyle w:val="4069"/>
              <w:keepNext w:val="0"/>
              <w:keepLines w:val="0"/>
              <w:suppressLineNumbers w:val="0"/>
              <w:spacing w:before="178" w:beforeAutospacing="0" w:afterAutospacing="0" w:line="278" w:lineRule="auto"/>
              <w:ind w:left="258" w:right="132" w:hanging="104"/>
              <w:jc w:val="center"/>
              <w:rPr>
                <w:color w:val="000000" w:themeColor="text1"/>
                <w:kern w:val="2"/>
                <w:sz w:val="21"/>
                <w14:textFill>
                  <w14:solidFill>
                    <w14:schemeClr w14:val="tx1"/>
                  </w14:solidFill>
                </w14:textFill>
              </w:rPr>
            </w:pPr>
          </w:p>
        </w:tc>
        <w:tc>
          <w:tcPr>
            <w:tcW w:w="2850" w:type="dxa"/>
            <w:gridSpan w:val="2"/>
            <w:tcBorders>
              <w:top w:val="single" w:color="auto"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ind w:left="449" w:right="421"/>
              <w:rPr>
                <w:rFonts w:hint="default" w:eastAsia="宋体"/>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下坝水井</w:t>
            </w:r>
          </w:p>
        </w:tc>
        <w:tc>
          <w:tcPr>
            <w:tcW w:w="765" w:type="dxa"/>
            <w:tcBorders>
              <w:top w:val="single" w:color="auto" w:sz="4" w:space="0"/>
              <w:left w:val="single" w:color="000000" w:sz="4" w:space="0"/>
              <w:bottom w:val="single" w:color="000000" w:sz="4" w:space="0"/>
              <w:right w:val="single" w:color="000000" w:sz="4" w:space="0"/>
            </w:tcBorders>
          </w:tcPr>
          <w:p>
            <w:pPr>
              <w:pStyle w:val="4069"/>
              <w:keepNext w:val="0"/>
              <w:keepLines w:val="0"/>
              <w:suppressLineNumbers w:val="0"/>
              <w:spacing w:before="1" w:beforeAutospacing="0" w:afterAutospacing="0"/>
              <w:ind w:left="175" w:right="145"/>
              <w:rPr>
                <w:rFonts w:hint="eastAsia" w:eastAsia="宋体"/>
                <w:color w:val="000000" w:themeColor="text1"/>
                <w:kern w:val="2"/>
                <w:sz w:val="21"/>
                <w:lang w:val="en-US" w:eastAsia="zh-CN"/>
                <w14:textFill>
                  <w14:solidFill>
                    <w14:schemeClr w14:val="tx1"/>
                  </w14:solidFill>
                </w14:textFill>
              </w:rPr>
            </w:pPr>
            <w:r>
              <w:rPr>
                <w:rFonts w:hint="eastAsia"/>
                <w:color w:val="000000" w:themeColor="text1"/>
                <w:kern w:val="2"/>
                <w:sz w:val="21"/>
                <w:lang w:val="en-US" w:eastAsia="zh-CN"/>
                <w14:textFill>
                  <w14:solidFill>
                    <w14:schemeClr w14:val="tx1"/>
                  </w14:solidFill>
                </w14:textFill>
              </w:rPr>
              <w:t>西</w:t>
            </w:r>
          </w:p>
        </w:tc>
        <w:tc>
          <w:tcPr>
            <w:tcW w:w="940" w:type="dxa"/>
            <w:tcBorders>
              <w:top w:val="single" w:color="auto"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ind w:left="106" w:right="76"/>
              <w:rPr>
                <w:rFonts w:hint="default" w:ascii="Times New Roman" w:eastAsia="宋体"/>
                <w:color w:val="000000" w:themeColor="text1"/>
                <w:kern w:val="2"/>
                <w:sz w:val="21"/>
                <w:lang w:val="en-US" w:eastAsia="zh-CN"/>
                <w14:textFill>
                  <w14:solidFill>
                    <w14:schemeClr w14:val="tx1"/>
                  </w14:solidFill>
                </w14:textFill>
              </w:rPr>
            </w:pPr>
            <w:r>
              <w:rPr>
                <w:rFonts w:hint="eastAsia" w:ascii="Times New Roman"/>
                <w:color w:val="000000" w:themeColor="text1"/>
                <w:kern w:val="2"/>
                <w:sz w:val="21"/>
                <w:lang w:val="en-US" w:eastAsia="zh-CN"/>
                <w14:textFill>
                  <w14:solidFill>
                    <w14:schemeClr w14:val="tx1"/>
                  </w14:solidFill>
                </w14:textFill>
              </w:rPr>
              <w:t>1100m</w:t>
            </w:r>
          </w:p>
        </w:tc>
        <w:tc>
          <w:tcPr>
            <w:tcW w:w="2051" w:type="dxa"/>
            <w:tcBorders>
              <w:top w:val="single" w:color="auto" w:sz="4" w:space="0"/>
              <w:left w:val="single" w:color="000000" w:sz="4" w:space="0"/>
              <w:bottom w:val="single" w:color="000000" w:sz="4" w:space="0"/>
              <w:right w:val="single" w:color="000000" w:sz="4" w:space="0"/>
            </w:tcBorders>
          </w:tcPr>
          <w:p>
            <w:pPr>
              <w:pStyle w:val="4069"/>
              <w:keepNext w:val="0"/>
              <w:keepLines w:val="0"/>
              <w:suppressLineNumbers w:val="0"/>
              <w:spacing w:beforeAutospacing="0" w:afterAutospacing="0"/>
              <w:ind w:left="25"/>
              <w:rPr>
                <w:rFonts w:ascii="Times New Roman"/>
                <w:color w:val="000000" w:themeColor="text1"/>
                <w:w w:val="100"/>
                <w:kern w:val="2"/>
                <w:sz w:val="21"/>
                <w14:textFill>
                  <w14:solidFill>
                    <w14:schemeClr w14:val="tx1"/>
                  </w14:solidFill>
                </w14:textFill>
              </w:rPr>
            </w:pPr>
            <w:r>
              <w:rPr>
                <w:rFonts w:ascii="Times New Roman"/>
                <w:color w:val="000000" w:themeColor="text1"/>
                <w:w w:val="100"/>
                <w:kern w:val="2"/>
                <w:sz w:val="21"/>
                <w14:textFill>
                  <w14:solidFill>
                    <w14:schemeClr w14:val="tx1"/>
                  </w14:solidFill>
                </w14:textFill>
              </w:rPr>
              <w:t>/</w:t>
            </w:r>
          </w:p>
        </w:tc>
        <w:tc>
          <w:tcPr>
            <w:tcW w:w="2349" w:type="dxa"/>
            <w:vMerge w:val="continue"/>
            <w:tcBorders>
              <w:left w:val="single" w:color="000000" w:sz="4" w:space="0"/>
              <w:bottom w:val="single" w:color="000000" w:sz="4" w:space="0"/>
            </w:tcBorders>
          </w:tcPr>
          <w:p>
            <w:pPr>
              <w:pStyle w:val="4069"/>
              <w:keepNext w:val="0"/>
              <w:keepLines w:val="0"/>
              <w:suppressLineNumbers w:val="0"/>
              <w:spacing w:before="43" w:beforeAutospacing="0" w:afterAutospacing="0"/>
              <w:ind w:left="34"/>
              <w:rPr>
                <w:color w:val="000000" w:themeColor="text1"/>
                <w:w w:val="100"/>
                <w:kern w:val="2"/>
                <w:sz w:val="21"/>
                <w14:textFill>
                  <w14:solidFill>
                    <w14:schemeClr w14:val="tx1"/>
                  </w14:solidFill>
                </w14:textFill>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35" w:hRule="atLeast"/>
        </w:trPr>
        <w:tc>
          <w:tcPr>
            <w:tcW w:w="540" w:type="dxa"/>
            <w:tcBorders>
              <w:top w:val="single" w:color="000000" w:sz="4" w:space="0"/>
              <w:right w:val="single" w:color="000000" w:sz="4" w:space="0"/>
            </w:tcBorders>
          </w:tcPr>
          <w:p>
            <w:pPr>
              <w:pStyle w:val="4069"/>
              <w:keepNext w:val="0"/>
              <w:keepLines w:val="0"/>
              <w:suppressLineNumbers w:val="0"/>
              <w:spacing w:before="178" w:beforeAutospacing="0" w:afterAutospacing="0" w:line="278" w:lineRule="auto"/>
              <w:ind w:right="132"/>
              <w:jc w:val="center"/>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生态环境</w:t>
            </w:r>
          </w:p>
        </w:tc>
        <w:tc>
          <w:tcPr>
            <w:tcW w:w="2850" w:type="dxa"/>
            <w:gridSpan w:val="2"/>
            <w:tcBorders>
              <w:top w:val="single" w:color="000000" w:sz="4" w:space="0"/>
              <w:left w:val="single" w:color="000000" w:sz="4" w:space="0"/>
              <w:right w:val="single" w:color="000000" w:sz="4" w:space="0"/>
            </w:tcBorders>
          </w:tcPr>
          <w:p>
            <w:pPr>
              <w:pStyle w:val="4069"/>
              <w:keepNext w:val="0"/>
              <w:keepLines w:val="0"/>
              <w:suppressLineNumbers w:val="0"/>
              <w:spacing w:before="2" w:beforeAutospacing="0" w:afterAutospacing="0"/>
              <w:jc w:val="left"/>
              <w:rPr>
                <w:b/>
                <w:color w:val="000000" w:themeColor="text1"/>
                <w:kern w:val="2"/>
                <w:sz w:val="26"/>
                <w14:textFill>
                  <w14:solidFill>
                    <w14:schemeClr w14:val="tx1"/>
                  </w14:solidFill>
                </w14:textFill>
              </w:rPr>
            </w:pPr>
          </w:p>
          <w:p>
            <w:pPr>
              <w:pStyle w:val="4069"/>
              <w:keepNext w:val="0"/>
              <w:keepLines w:val="0"/>
              <w:suppressLineNumbers w:val="0"/>
              <w:spacing w:beforeAutospacing="0" w:afterAutospacing="0"/>
              <w:ind w:left="449" w:right="419"/>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植被</w:t>
            </w:r>
          </w:p>
        </w:tc>
        <w:tc>
          <w:tcPr>
            <w:tcW w:w="3756" w:type="dxa"/>
            <w:gridSpan w:val="3"/>
            <w:tcBorders>
              <w:top w:val="single" w:color="000000" w:sz="4" w:space="0"/>
              <w:left w:val="single" w:color="000000" w:sz="4" w:space="0"/>
              <w:right w:val="single" w:color="000000" w:sz="4" w:space="0"/>
            </w:tcBorders>
          </w:tcPr>
          <w:p>
            <w:pPr>
              <w:pStyle w:val="4069"/>
              <w:keepNext w:val="0"/>
              <w:keepLines w:val="0"/>
              <w:suppressLineNumbers w:val="0"/>
              <w:spacing w:before="2" w:beforeAutospacing="0" w:afterAutospacing="0"/>
              <w:jc w:val="left"/>
              <w:rPr>
                <w:b/>
                <w:color w:val="000000" w:themeColor="text1"/>
                <w:kern w:val="2"/>
                <w:sz w:val="26"/>
                <w14:textFill>
                  <w14:solidFill>
                    <w14:schemeClr w14:val="tx1"/>
                  </w14:solidFill>
                </w14:textFill>
              </w:rPr>
            </w:pPr>
          </w:p>
          <w:p>
            <w:pPr>
              <w:pStyle w:val="4069"/>
              <w:keepNext w:val="0"/>
              <w:keepLines w:val="0"/>
              <w:suppressLineNumbers w:val="0"/>
              <w:spacing w:beforeAutospacing="0" w:afterAutospacing="0"/>
              <w:ind w:left="1581" w:right="1550"/>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项目周边</w:t>
            </w:r>
          </w:p>
        </w:tc>
        <w:tc>
          <w:tcPr>
            <w:tcW w:w="2349" w:type="dxa"/>
            <w:tcBorders>
              <w:top w:val="single" w:color="000000" w:sz="4" w:space="0"/>
              <w:left w:val="single" w:color="000000" w:sz="4" w:space="0"/>
            </w:tcBorders>
          </w:tcPr>
          <w:p>
            <w:pPr>
              <w:pStyle w:val="4069"/>
              <w:keepNext w:val="0"/>
              <w:keepLines w:val="0"/>
              <w:suppressLineNumbers w:val="0"/>
              <w:spacing w:before="22" w:beforeAutospacing="0" w:afterAutospacing="0"/>
              <w:ind w:left="130"/>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保证区域内的土壤、植</w:t>
            </w:r>
          </w:p>
          <w:p>
            <w:pPr>
              <w:pStyle w:val="4069"/>
              <w:keepNext w:val="0"/>
              <w:keepLines w:val="0"/>
              <w:suppressLineNumbers w:val="0"/>
              <w:spacing w:before="3" w:beforeAutospacing="0" w:afterAutospacing="0" w:line="310" w:lineRule="atLeast"/>
              <w:ind w:left="1076" w:right="94" w:hanging="947"/>
              <w:jc w:val="left"/>
              <w:rPr>
                <w:color w:val="000000" w:themeColor="text1"/>
                <w:kern w:val="2"/>
                <w:sz w:val="21"/>
                <w14:textFill>
                  <w14:solidFill>
                    <w14:schemeClr w14:val="tx1"/>
                  </w14:solidFill>
                </w14:textFill>
              </w:rPr>
            </w:pPr>
            <w:r>
              <w:rPr>
                <w:color w:val="000000" w:themeColor="text1"/>
                <w:kern w:val="2"/>
                <w:sz w:val="21"/>
                <w14:textFill>
                  <w14:solidFill>
                    <w14:schemeClr w14:val="tx1"/>
                  </w14:solidFill>
                </w14:textFill>
              </w:rPr>
              <w:t>被、不发生根本上的改变</w:t>
            </w:r>
          </w:p>
        </w:tc>
      </w:tr>
    </w:tbl>
    <w:p>
      <w:pPr>
        <w:pStyle w:val="1192"/>
        <w:ind w:left="0" w:leftChars="0" w:firstLine="0" w:firstLineChars="0"/>
        <w:rPr>
          <w:rFonts w:hint="eastAsia"/>
          <w:color w:val="000000" w:themeColor="text1"/>
          <w:lang w:eastAsia="zh-CN"/>
          <w14:textFill>
            <w14:solidFill>
              <w14:schemeClr w14:val="tx1"/>
            </w14:solidFill>
          </w14:textFill>
        </w:rPr>
      </w:pPr>
    </w:p>
    <w:p>
      <w:pPr>
        <w:pStyle w:val="1192"/>
        <w:ind w:firstLine="480"/>
        <w:rPr>
          <w:rFonts w:hint="eastAsia"/>
          <w:lang w:eastAsia="zh-CN"/>
        </w:rPr>
      </w:pPr>
    </w:p>
    <w:p>
      <w:pPr>
        <w:pStyle w:val="1192"/>
        <w:ind w:firstLine="480"/>
        <w:rPr>
          <w:rFonts w:hint="eastAsia"/>
          <w:lang w:eastAsia="zh-CN"/>
        </w:rPr>
      </w:pPr>
    </w:p>
    <w:p>
      <w:pPr>
        <w:pStyle w:val="1192"/>
        <w:ind w:firstLine="480"/>
        <w:rPr>
          <w:rFonts w:hint="eastAsia"/>
          <w:lang w:eastAsia="zh-CN"/>
        </w:rPr>
      </w:pPr>
    </w:p>
    <w:p>
      <w:pPr>
        <w:pStyle w:val="1192"/>
        <w:ind w:firstLine="480"/>
        <w:rPr>
          <w:rFonts w:hint="eastAsia"/>
          <w:lang w:eastAsia="zh-CN"/>
        </w:rPr>
      </w:pPr>
    </w:p>
    <w:p>
      <w:pPr>
        <w:pStyle w:val="1192"/>
        <w:ind w:firstLine="48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1"/>
    <w:bookmarkEnd w:id="2"/>
    <w:bookmarkEnd w:id="3"/>
    <w:bookmarkEnd w:id="4"/>
    <w:bookmarkEnd w:id="5"/>
    <w:bookmarkEnd w:id="59"/>
    <w:bookmarkEnd w:id="60"/>
    <w:bookmarkEnd w:id="61"/>
    <w:bookmarkEnd w:id="62"/>
    <w:bookmarkEnd w:id="63"/>
    <w:bookmarkEnd w:id="121"/>
    <w:bookmarkEnd w:id="122"/>
    <w:bookmarkEnd w:id="123"/>
    <w:bookmarkEnd w:id="124"/>
    <w:p>
      <w:pPr>
        <w:pStyle w:val="4"/>
        <w:spacing w:before="312" w:after="312"/>
      </w:pPr>
      <w:bookmarkStart w:id="125" w:name="_Toc22352"/>
      <w:bookmarkStart w:id="126" w:name="_Toc460250148"/>
      <w:bookmarkStart w:id="127" w:name="_Toc248308506"/>
      <w:bookmarkStart w:id="128" w:name="_Toc320142929"/>
      <w:r>
        <w:rPr>
          <w:rFonts w:hint="eastAsia"/>
        </w:rPr>
        <w:t>建设项目概况及工程分析</w:t>
      </w:r>
      <w:bookmarkEnd w:id="125"/>
    </w:p>
    <w:p>
      <w:pPr>
        <w:pStyle w:val="5"/>
        <w:spacing w:before="156" w:after="156"/>
      </w:pPr>
      <w:bookmarkStart w:id="129" w:name="_Toc8977"/>
      <w:r>
        <w:rPr>
          <w:rFonts w:hint="eastAsia"/>
        </w:rPr>
        <w:t>建设项目工程概况</w:t>
      </w:r>
      <w:bookmarkEnd w:id="129"/>
    </w:p>
    <w:p>
      <w:pPr>
        <w:pStyle w:val="1643"/>
        <w:spacing w:line="360" w:lineRule="auto"/>
        <w:ind w:left="420"/>
        <w:rPr>
          <w:rFonts w:ascii="Times New Roman" w:hAnsi="Times New Roman" w:eastAsia="宋体"/>
        </w:rPr>
      </w:pPr>
      <w:r>
        <w:rPr>
          <w:rFonts w:hint="eastAsia" w:ascii="Times New Roman" w:hAnsi="Times New Roman" w:eastAsia="宋体"/>
          <w:b/>
        </w:rPr>
        <w:t>项目名称：</w:t>
      </w:r>
      <w:r>
        <w:rPr>
          <w:rFonts w:hint="eastAsia"/>
          <w:lang w:val="en-US" w:eastAsia="zh-CN"/>
        </w:rPr>
        <w:t>黔西南州义龙新区“中国万屯”肉牛屠宰深加工项目</w:t>
      </w:r>
    </w:p>
    <w:p>
      <w:pPr>
        <w:pStyle w:val="1841"/>
        <w:spacing w:line="360" w:lineRule="auto"/>
        <w:ind w:firstLine="470"/>
        <w:rPr>
          <w:rFonts w:hint="eastAsia"/>
          <w:b w:val="0"/>
          <w:bCs/>
        </w:rPr>
      </w:pPr>
      <w:r>
        <w:rPr>
          <w:rFonts w:hint="eastAsia"/>
          <w:b/>
        </w:rPr>
        <w:t>建设单位：</w:t>
      </w:r>
      <w:r>
        <w:rPr>
          <w:rFonts w:hint="eastAsia"/>
          <w:b w:val="0"/>
          <w:bCs/>
          <w:lang w:val="en-US" w:eastAsia="zh-CN"/>
        </w:rPr>
        <w:t>贵州兴牛肉类食品</w:t>
      </w:r>
      <w:r>
        <w:rPr>
          <w:rFonts w:hint="eastAsia"/>
          <w:b w:val="0"/>
          <w:bCs/>
        </w:rPr>
        <w:t>有限公司</w:t>
      </w:r>
    </w:p>
    <w:p>
      <w:pPr>
        <w:pStyle w:val="1841"/>
        <w:spacing w:line="360" w:lineRule="auto"/>
        <w:ind w:firstLine="470"/>
        <w:rPr>
          <w:rFonts w:hint="eastAsia" w:eastAsia="宋体"/>
          <w:b w:val="0"/>
          <w:bCs/>
          <w:lang w:eastAsia="zh-CN"/>
        </w:rPr>
      </w:pPr>
      <w:r>
        <w:rPr>
          <w:rFonts w:hint="eastAsia"/>
          <w:b/>
          <w:bCs w:val="0"/>
          <w:lang w:eastAsia="zh-CN"/>
        </w:rPr>
        <w:t>建设性质：</w:t>
      </w:r>
      <w:r>
        <w:rPr>
          <w:rFonts w:hint="eastAsia"/>
          <w:b w:val="0"/>
          <w:bCs/>
          <w:lang w:eastAsia="zh-CN"/>
        </w:rPr>
        <w:t>新建</w:t>
      </w:r>
    </w:p>
    <w:p>
      <w:pPr>
        <w:pStyle w:val="1841"/>
        <w:spacing w:line="360" w:lineRule="auto"/>
        <w:ind w:firstLine="470"/>
        <w:rPr>
          <w:rFonts w:hint="eastAsia" w:eastAsia="宋体"/>
          <w:color w:val="0000FF"/>
          <w:lang w:eastAsia="zh-CN"/>
        </w:rPr>
      </w:pPr>
      <w:r>
        <w:rPr>
          <w:rFonts w:hint="eastAsia"/>
          <w:b/>
        </w:rPr>
        <w:t>建设地址：</w:t>
      </w:r>
      <w:r>
        <w:rPr>
          <w:rFonts w:hint="eastAsia"/>
          <w:b w:val="0"/>
          <w:bCs/>
          <w:lang w:val="en-US" w:eastAsia="zh-CN"/>
        </w:rPr>
        <w:t>贵州省义龙新区万屯镇下坝村。</w:t>
      </w:r>
      <w:r>
        <w:rPr>
          <w:rFonts w:hint="eastAsia"/>
          <w:bCs/>
        </w:rPr>
        <w:t>项目地理位置见</w:t>
      </w:r>
      <w:r>
        <w:rPr>
          <w:rFonts w:hint="eastAsia"/>
          <w:bCs/>
          <w:color w:val="000000" w:themeColor="text1"/>
          <w:highlight w:val="none"/>
          <w:lang w:eastAsia="zh-CN"/>
          <w14:textFill>
            <w14:solidFill>
              <w14:schemeClr w14:val="tx1"/>
            </w14:solidFill>
          </w14:textFill>
        </w:rPr>
        <w:t>附图</w:t>
      </w:r>
      <w:r>
        <w:rPr>
          <w:bCs/>
          <w:color w:val="000000" w:themeColor="text1"/>
          <w:highlight w:val="none"/>
          <w14:textFill>
            <w14:solidFill>
              <w14:schemeClr w14:val="tx1"/>
            </w14:solidFill>
          </w14:textFill>
        </w:rPr>
        <w:t>1</w:t>
      </w:r>
      <w:r>
        <w:rPr>
          <w:rFonts w:hint="eastAsia"/>
          <w:bCs/>
          <w:color w:val="000000" w:themeColor="text1"/>
          <w:highlight w:val="none"/>
          <w:lang w:eastAsia="zh-CN"/>
          <w14:textFill>
            <w14:solidFill>
              <w14:schemeClr w14:val="tx1"/>
            </w14:solidFill>
          </w14:textFill>
        </w:rPr>
        <w:t>。</w:t>
      </w:r>
    </w:p>
    <w:p>
      <w:pPr>
        <w:autoSpaceDE w:val="0"/>
        <w:autoSpaceDN w:val="0"/>
        <w:adjustRightInd w:val="0"/>
        <w:spacing w:line="360" w:lineRule="auto"/>
        <w:ind w:firstLine="482" w:firstLineChars="200"/>
        <w:jc w:val="left"/>
        <w:rPr>
          <w:rFonts w:hint="eastAsia" w:eastAsia="宋体"/>
          <w:sz w:val="24"/>
          <w:lang w:eastAsia="zh-CN"/>
        </w:rPr>
      </w:pPr>
      <w:r>
        <w:rPr>
          <w:rFonts w:hint="eastAsia"/>
          <w:b/>
          <w:sz w:val="24"/>
        </w:rPr>
        <w:t>投资总额：</w:t>
      </w:r>
      <w:r>
        <w:rPr>
          <w:rFonts w:hint="eastAsia"/>
          <w:b w:val="0"/>
          <w:bCs/>
          <w:sz w:val="24"/>
          <w:lang w:val="en-US" w:eastAsia="zh-CN"/>
        </w:rPr>
        <w:t>25004.50</w:t>
      </w:r>
      <w:r>
        <w:rPr>
          <w:rFonts w:hint="eastAsia"/>
          <w:b w:val="0"/>
          <w:bCs/>
          <w:sz w:val="24"/>
        </w:rPr>
        <w:t>万元</w:t>
      </w:r>
      <w:r>
        <w:rPr>
          <w:rFonts w:hint="eastAsia"/>
          <w:kern w:val="0"/>
          <w:sz w:val="24"/>
          <w:lang w:eastAsia="zh-CN"/>
        </w:rPr>
        <w:t>。</w:t>
      </w:r>
    </w:p>
    <w:p>
      <w:pPr>
        <w:adjustRightInd w:val="0"/>
        <w:snapToGrid w:val="0"/>
        <w:spacing w:line="360" w:lineRule="auto"/>
        <w:ind w:firstLine="482" w:firstLineChars="200"/>
        <w:rPr>
          <w:rFonts w:hint="eastAsia" w:eastAsia="宋体"/>
          <w:color w:val="FF0000"/>
          <w:sz w:val="24"/>
          <w:highlight w:val="none"/>
          <w:lang w:eastAsia="zh-CN"/>
        </w:rPr>
      </w:pPr>
      <w:r>
        <w:rPr>
          <w:rFonts w:hint="eastAsia"/>
          <w:b/>
          <w:sz w:val="24"/>
        </w:rPr>
        <w:t>占地面积：</w:t>
      </w:r>
      <w:r>
        <w:rPr>
          <w:rFonts w:hint="eastAsia"/>
          <w:b w:val="0"/>
          <w:bCs/>
          <w:sz w:val="24"/>
          <w:highlight w:val="none"/>
          <w:lang w:eastAsia="zh-CN"/>
        </w:rPr>
        <w:t>屠宰工程</w:t>
      </w:r>
      <w:r>
        <w:rPr>
          <w:rFonts w:hint="eastAsia"/>
          <w:sz w:val="24"/>
          <w:highlight w:val="none"/>
        </w:rPr>
        <w:t>总用地面积</w:t>
      </w:r>
      <w:r>
        <w:rPr>
          <w:rFonts w:hint="eastAsia"/>
          <w:sz w:val="24"/>
          <w:highlight w:val="none"/>
          <w:lang w:val="en-US" w:eastAsia="zh-CN"/>
        </w:rPr>
        <w:t>19393.45</w:t>
      </w:r>
      <w:r>
        <w:rPr>
          <w:sz w:val="24"/>
          <w:highlight w:val="none"/>
        </w:rPr>
        <w:t>m</w:t>
      </w:r>
      <w:r>
        <w:rPr>
          <w:sz w:val="24"/>
          <w:highlight w:val="none"/>
          <w:vertAlign w:val="superscript"/>
        </w:rPr>
        <w:t>2</w:t>
      </w:r>
      <w:r>
        <w:rPr>
          <w:rFonts w:hint="eastAsia"/>
          <w:sz w:val="24"/>
          <w:highlight w:val="none"/>
        </w:rPr>
        <w:t>（</w:t>
      </w:r>
      <w:r>
        <w:rPr>
          <w:rFonts w:hint="eastAsia"/>
          <w:sz w:val="24"/>
          <w:highlight w:val="none"/>
          <w:lang w:val="en-US" w:eastAsia="zh-CN"/>
        </w:rPr>
        <w:t>29.09</w:t>
      </w:r>
      <w:r>
        <w:rPr>
          <w:rFonts w:hint="eastAsia"/>
          <w:sz w:val="24"/>
          <w:highlight w:val="none"/>
        </w:rPr>
        <w:t>亩）</w:t>
      </w:r>
    </w:p>
    <w:p>
      <w:pPr>
        <w:pStyle w:val="1659"/>
        <w:ind w:firstLine="482"/>
        <w:rPr>
          <w:rFonts w:hint="default" w:eastAsia="宋体"/>
          <w:color w:val="FF0000"/>
          <w:szCs w:val="24"/>
          <w:lang w:val="en-US" w:eastAsia="zh-CN"/>
        </w:rPr>
      </w:pPr>
      <w:r>
        <w:rPr>
          <w:rFonts w:hint="eastAsia"/>
          <w:b/>
          <w:szCs w:val="24"/>
          <w:highlight w:val="none"/>
        </w:rPr>
        <w:t>建设内容</w:t>
      </w:r>
      <w:r>
        <w:rPr>
          <w:rFonts w:hint="eastAsia"/>
          <w:b/>
          <w:szCs w:val="24"/>
          <w:highlight w:val="none"/>
          <w:lang w:eastAsia="zh-CN"/>
        </w:rPr>
        <w:t>及规模</w:t>
      </w:r>
      <w:r>
        <w:rPr>
          <w:rFonts w:hint="eastAsia"/>
          <w:b/>
          <w:szCs w:val="24"/>
          <w:highlight w:val="none"/>
        </w:rPr>
        <w:t>：</w:t>
      </w:r>
      <w:r>
        <w:rPr>
          <w:rFonts w:hint="eastAsia"/>
          <w:color w:val="auto"/>
          <w:szCs w:val="24"/>
          <w:highlight w:val="none"/>
        </w:rPr>
        <w:t>项目</w:t>
      </w:r>
      <w:r>
        <w:rPr>
          <w:rFonts w:hint="eastAsia"/>
          <w:color w:val="auto"/>
          <w:szCs w:val="24"/>
          <w:highlight w:val="none"/>
          <w:lang w:eastAsia="zh-CN"/>
        </w:rPr>
        <w:t>建设</w:t>
      </w:r>
      <w:r>
        <w:rPr>
          <w:rFonts w:hint="eastAsia"/>
          <w:color w:val="auto"/>
          <w:szCs w:val="24"/>
          <w:highlight w:val="none"/>
          <w:lang w:val="en-US" w:eastAsia="zh-CN"/>
        </w:rPr>
        <w:t>屠宰中心7962.14㎡，其中：肉牛待宰圈630㎡</w:t>
      </w:r>
      <w:r>
        <w:rPr>
          <w:rFonts w:hint="eastAsia"/>
          <w:color w:val="auto"/>
          <w:szCs w:val="24"/>
          <w:highlight w:val="none"/>
          <w:lang w:eastAsia="zh-CN"/>
        </w:rPr>
        <w:t>、</w:t>
      </w:r>
      <w:r>
        <w:rPr>
          <w:rFonts w:hint="eastAsia"/>
          <w:color w:val="auto"/>
          <w:szCs w:val="24"/>
          <w:highlight w:val="none"/>
          <w:lang w:val="en-US" w:eastAsia="zh-CN"/>
        </w:rPr>
        <w:t>屠宰车间5986㎡</w:t>
      </w:r>
      <w:r>
        <w:rPr>
          <w:rFonts w:hint="eastAsia"/>
          <w:color w:val="auto"/>
          <w:szCs w:val="24"/>
          <w:highlight w:val="none"/>
          <w:lang w:eastAsia="zh-CN"/>
        </w:rPr>
        <w:t>、</w:t>
      </w:r>
      <w:r>
        <w:rPr>
          <w:rFonts w:hint="eastAsia"/>
          <w:color w:val="auto"/>
          <w:szCs w:val="24"/>
          <w:highlight w:val="none"/>
          <w:lang w:val="en-US" w:eastAsia="zh-CN"/>
        </w:rPr>
        <w:t>屠宰配套用房559.14㎡、污水处理675㎡、大门112㎡。项目建成后形成年屠宰牛3万头的生产能力。</w:t>
      </w:r>
    </w:p>
    <w:p>
      <w:pPr>
        <w:pStyle w:val="5"/>
        <w:spacing w:before="156" w:after="156"/>
        <w:rPr>
          <w:rFonts w:hint="eastAsia"/>
        </w:rPr>
      </w:pPr>
      <w:bookmarkStart w:id="130" w:name="_Toc21652"/>
      <w:r>
        <w:rPr>
          <w:rFonts w:hint="eastAsia"/>
        </w:rPr>
        <w:t>项目建设内容</w:t>
      </w:r>
      <w:bookmarkEnd w:id="130"/>
    </w:p>
    <w:p>
      <w:pPr>
        <w:spacing w:before="156" w:beforeLines="50"/>
        <w:jc w:val="center"/>
        <w:rPr>
          <w:b/>
          <w:sz w:val="24"/>
        </w:rPr>
      </w:pPr>
      <w:r>
        <w:rPr>
          <w:rFonts w:hint="eastAsia"/>
          <w:b/>
          <w:sz w:val="24"/>
        </w:rPr>
        <w:t>表</w:t>
      </w:r>
      <w:r>
        <w:rPr>
          <w:b/>
          <w:sz w:val="24"/>
        </w:rPr>
        <w:t>3.</w:t>
      </w:r>
      <w:r>
        <w:rPr>
          <w:rFonts w:hint="eastAsia"/>
          <w:b/>
          <w:sz w:val="24"/>
          <w:lang w:val="en-US" w:eastAsia="zh-CN"/>
        </w:rPr>
        <w:t>2</w:t>
      </w:r>
      <w:r>
        <w:rPr>
          <w:b/>
          <w:sz w:val="24"/>
        </w:rPr>
        <w:t xml:space="preserve">-1 </w:t>
      </w:r>
      <w:r>
        <w:rPr>
          <w:rFonts w:hint="eastAsia"/>
          <w:b/>
          <w:sz w:val="24"/>
          <w:lang w:val="en-US" w:eastAsia="zh-CN"/>
        </w:rPr>
        <w:t xml:space="preserve">   </w:t>
      </w:r>
      <w:r>
        <w:rPr>
          <w:rFonts w:hint="eastAsia"/>
          <w:b/>
          <w:sz w:val="24"/>
        </w:rPr>
        <w:t>项目组成表</w:t>
      </w:r>
    </w:p>
    <w:tbl>
      <w:tblPr>
        <w:tblStyle w:val="88"/>
        <w:tblW w:w="813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4"/>
        <w:gridCol w:w="914"/>
        <w:gridCol w:w="66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04" w:type="dxa"/>
            <w:tcBorders>
              <w:tl2br w:val="nil"/>
              <w:tr2bl w:val="nil"/>
            </w:tcBorders>
            <w:vAlign w:val="center"/>
          </w:tcPr>
          <w:p>
            <w:pPr>
              <w:adjustRightInd w:val="0"/>
              <w:spacing w:line="276" w:lineRule="auto"/>
              <w:ind w:left="-105" w:leftChars="-50" w:right="-105" w:rightChars="-50"/>
              <w:jc w:val="center"/>
              <w:textAlignment w:val="baseline"/>
              <w:rPr>
                <w:rFonts w:hint="eastAsia" w:ascii="Times New Roman" w:hAnsi="Times New Roman" w:eastAsia="宋体" w:cs="Times New Roman"/>
                <w:color w:val="000000"/>
                <w:szCs w:val="21"/>
                <w:lang w:eastAsia="zh-CN"/>
              </w:rPr>
            </w:pPr>
            <w:r>
              <w:rPr>
                <w:rFonts w:hint="eastAsia" w:cs="Times New Roman"/>
                <w:color w:val="000000"/>
                <w:szCs w:val="21"/>
                <w:lang w:eastAsia="zh-CN"/>
              </w:rPr>
              <w:t>项目</w:t>
            </w:r>
          </w:p>
        </w:tc>
        <w:tc>
          <w:tcPr>
            <w:tcW w:w="914" w:type="dxa"/>
            <w:tcBorders>
              <w:tl2br w:val="nil"/>
              <w:tr2bl w:val="nil"/>
            </w:tcBorders>
            <w:vAlign w:val="center"/>
          </w:tcPr>
          <w:p>
            <w:pPr>
              <w:adjustRightInd w:val="0"/>
              <w:spacing w:line="276" w:lineRule="auto"/>
              <w:ind w:left="-105" w:leftChars="-50" w:right="-105" w:rightChars="-50"/>
              <w:jc w:val="center"/>
              <w:textAlignment w:val="baseline"/>
              <w:rPr>
                <w:rFonts w:hint="eastAsia" w:ascii="Times New Roman" w:hAnsi="Times New Roman" w:eastAsia="宋体" w:cs="Times New Roman"/>
                <w:color w:val="000000"/>
                <w:szCs w:val="21"/>
                <w:lang w:eastAsia="zh-CN"/>
              </w:rPr>
            </w:pPr>
            <w:r>
              <w:rPr>
                <w:rFonts w:hint="eastAsia" w:cs="Times New Roman"/>
                <w:color w:val="000000"/>
                <w:szCs w:val="21"/>
                <w:lang w:eastAsia="zh-CN"/>
              </w:rPr>
              <w:t>具体名称</w:t>
            </w:r>
          </w:p>
        </w:tc>
        <w:tc>
          <w:tcPr>
            <w:tcW w:w="6615" w:type="dxa"/>
            <w:tcBorders>
              <w:tl2br w:val="nil"/>
              <w:tr2bl w:val="nil"/>
            </w:tcBorders>
            <w:vAlign w:val="center"/>
          </w:tcPr>
          <w:p>
            <w:pPr>
              <w:adjustRightInd w:val="0"/>
              <w:spacing w:line="276" w:lineRule="auto"/>
              <w:ind w:right="-105" w:rightChars="-5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restart"/>
            <w:tcBorders>
              <w:tl2br w:val="nil"/>
              <w:tr2bl w:val="nil"/>
            </w:tcBorders>
            <w:vAlign w:val="center"/>
          </w:tcPr>
          <w:p>
            <w:pPr>
              <w:adjustRightInd w:val="0"/>
              <w:ind w:left="-105" w:leftChars="-50" w:right="-105" w:rightChars="-50"/>
              <w:jc w:val="center"/>
              <w:textAlignment w:val="baseline"/>
              <w:rPr>
                <w:rFonts w:hint="default" w:ascii="Times New Roman" w:hAnsi="Times New Roman" w:cs="Times New Roman"/>
                <w:color w:val="000000"/>
                <w:szCs w:val="21"/>
              </w:rPr>
            </w:pPr>
            <w:r>
              <w:rPr>
                <w:rFonts w:hint="default" w:ascii="Times New Roman" w:hAnsi="Times New Roman" w:cs="Times New Roman"/>
                <w:color w:val="000000"/>
                <w:szCs w:val="21"/>
              </w:rPr>
              <w:t>主体工程</w:t>
            </w:r>
          </w:p>
        </w:tc>
        <w:tc>
          <w:tcPr>
            <w:tcW w:w="914" w:type="dxa"/>
            <w:tcBorders>
              <w:tl2br w:val="nil"/>
              <w:tr2bl w:val="nil"/>
            </w:tcBorders>
            <w:vAlign w:val="center"/>
          </w:tcPr>
          <w:p>
            <w:pPr>
              <w:jc w:val="center"/>
              <w:rPr>
                <w:rFonts w:hint="eastAsia" w:ascii="Times New Roman" w:hAnsi="Times New Roman" w:eastAsia="宋体" w:cs="Times New Roman"/>
                <w:color w:val="000000"/>
                <w:szCs w:val="21"/>
                <w:lang w:eastAsia="zh-CN"/>
              </w:rPr>
            </w:pPr>
            <w:r>
              <w:rPr>
                <w:rFonts w:hint="eastAsia" w:cs="Times New Roman"/>
                <w:color w:val="000000"/>
                <w:szCs w:val="21"/>
                <w:lang w:eastAsia="zh-CN"/>
              </w:rPr>
              <w:t>屠宰中心</w:t>
            </w:r>
          </w:p>
        </w:tc>
        <w:tc>
          <w:tcPr>
            <w:tcW w:w="6615" w:type="dxa"/>
            <w:tcBorders>
              <w:tl2br w:val="nil"/>
              <w:tr2bl w:val="nil"/>
            </w:tcBorders>
            <w:vAlign w:val="center"/>
          </w:tcPr>
          <w:p>
            <w:pPr>
              <w:adjustRightInd w:val="0"/>
              <w:textAlignment w:val="baseline"/>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屠宰中心</w:t>
            </w:r>
            <w:r>
              <w:rPr>
                <w:rFonts w:hint="eastAsia" w:cs="Times New Roman"/>
                <w:color w:val="auto"/>
                <w:szCs w:val="21"/>
                <w:lang w:val="en-US" w:eastAsia="zh-CN"/>
              </w:rPr>
              <w:t>7962.14</w:t>
            </w:r>
            <w:r>
              <w:rPr>
                <w:rFonts w:hint="default" w:ascii="Times New Roman" w:hAnsi="Times New Roman" w:cs="Times New Roman"/>
                <w:color w:val="auto"/>
                <w:szCs w:val="21"/>
                <w:lang w:val="en-US" w:eastAsia="zh-CN"/>
              </w:rPr>
              <w:t>㎡，其中：</w:t>
            </w:r>
            <w:r>
              <w:rPr>
                <w:rFonts w:hint="eastAsia" w:cs="Times New Roman"/>
                <w:color w:val="auto"/>
                <w:szCs w:val="21"/>
                <w:lang w:val="en-US" w:eastAsia="zh-CN"/>
              </w:rPr>
              <w:t>肉牛待宰圈630</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屠宰车间</w:t>
            </w:r>
            <w:r>
              <w:rPr>
                <w:rFonts w:hint="eastAsia" w:cs="Times New Roman"/>
                <w:color w:val="auto"/>
                <w:szCs w:val="21"/>
                <w:lang w:val="en-US" w:eastAsia="zh-CN"/>
              </w:rPr>
              <w:t>5986</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剥皮车间250㎡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内脏处理车间250㎡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排酸车间800㎡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分割车间1400㎡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冷冻库600㎡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冷藏库400㎡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仓储库房12</w:t>
            </w:r>
            <w:r>
              <w:rPr>
                <w:rFonts w:hint="eastAsia" w:cs="Times New Roman"/>
                <w:color w:val="auto"/>
                <w:szCs w:val="21"/>
                <w:lang w:val="en-US" w:eastAsia="zh-CN"/>
              </w:rPr>
              <w:t>86</w:t>
            </w:r>
            <w:r>
              <w:rPr>
                <w:rFonts w:hint="default" w:ascii="Times New Roman" w:hAnsi="Times New Roman" w:cs="Times New Roman"/>
                <w:color w:val="auto"/>
                <w:szCs w:val="21"/>
                <w:lang w:val="en-US" w:eastAsia="zh-CN"/>
              </w:rPr>
              <w:t>㎡</w:t>
            </w:r>
            <w:r>
              <w:rPr>
                <w:rFonts w:hint="eastAsia" w:cs="Times New Roman"/>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default" w:ascii="Times New Roman" w:hAnsi="Times New Roman" w:cs="Times New Roman"/>
                <w:color w:val="000000"/>
                <w:szCs w:val="21"/>
              </w:rPr>
            </w:pP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运输方案</w:t>
            </w:r>
          </w:p>
        </w:tc>
        <w:tc>
          <w:tcPr>
            <w:tcW w:w="6615" w:type="dxa"/>
            <w:tcBorders>
              <w:tl2br w:val="nil"/>
              <w:tr2bl w:val="nil"/>
            </w:tcBorders>
            <w:vAlign w:val="center"/>
          </w:tcPr>
          <w:p>
            <w:pPr>
              <w:adjustRightInd w:val="0"/>
              <w:textAlignment w:val="baseline"/>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原料和产品均采用汽车运输。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default" w:ascii="Times New Roman" w:hAnsi="Times New Roman" w:cs="Times New Roman"/>
                <w:color w:val="000000"/>
                <w:szCs w:val="21"/>
              </w:rPr>
            </w:pP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污水处理站</w:t>
            </w:r>
          </w:p>
        </w:tc>
        <w:tc>
          <w:tcPr>
            <w:tcW w:w="6615" w:type="dxa"/>
            <w:tcBorders>
              <w:tl2br w:val="nil"/>
              <w:tr2bl w:val="nil"/>
            </w:tcBorders>
            <w:vAlign w:val="center"/>
          </w:tcPr>
          <w:p>
            <w:pPr>
              <w:adjustRightInd w:val="0"/>
              <w:textAlignment w:val="baseline"/>
              <w:rPr>
                <w:rFonts w:hint="default" w:ascii="Times New Roman" w:hAnsi="Times New Roman" w:cs="Times New Roman"/>
                <w:color w:val="auto"/>
                <w:szCs w:val="21"/>
                <w:lang w:val="en-US" w:eastAsia="zh-CN"/>
              </w:rPr>
            </w:pPr>
            <w:r>
              <w:rPr>
                <w:rFonts w:hint="eastAsia" w:cs="Times New Roman"/>
                <w:color w:val="auto"/>
                <w:szCs w:val="21"/>
                <w:lang w:val="en-US" w:eastAsia="zh-CN"/>
              </w:rPr>
              <w:t>自建污水处理站，处理规模为</w:t>
            </w:r>
            <w:r>
              <w:rPr>
                <w:rFonts w:hint="eastAsia" w:cs="Times New Roman"/>
                <w:color w:val="auto"/>
                <w:szCs w:val="21"/>
                <w:highlight w:val="none"/>
                <w:lang w:val="en-US" w:eastAsia="zh-CN"/>
              </w:rPr>
              <w:t>55</w:t>
            </w:r>
            <w:r>
              <w:rPr>
                <w:rFonts w:ascii="Times New Roman" w:hAnsi="Times New Roman" w:eastAsia="Times New Roman" w:cs="Times New Roman"/>
                <w:sz w:val="21"/>
                <w:szCs w:val="21"/>
                <w:highlight w:val="none"/>
              </w:rPr>
              <w:t>m</w:t>
            </w:r>
            <w:r>
              <w:rPr>
                <w:rFonts w:ascii="Times New Roman" w:hAnsi="Times New Roman" w:eastAsia="Times New Roman" w:cs="Times New Roman"/>
                <w:position w:val="7"/>
                <w:sz w:val="13"/>
                <w:szCs w:val="13"/>
                <w:highlight w:val="none"/>
              </w:rPr>
              <w:t>3</w:t>
            </w:r>
            <w:r>
              <w:rPr>
                <w:rFonts w:ascii="Times New Roman" w:hAnsi="Times New Roman" w:eastAsia="Times New Roman" w:cs="Times New Roman"/>
                <w:sz w:val="21"/>
                <w:szCs w:val="21"/>
                <w:highlight w:val="none"/>
              </w:rPr>
              <w:t>/d</w:t>
            </w:r>
            <w:r>
              <w:rPr>
                <w:rFonts w:ascii="宋体" w:hAnsi="宋体" w:eastAsia="宋体" w:cs="宋体"/>
                <w:sz w:val="21"/>
                <w:szCs w:val="21"/>
                <w:highlight w:val="none"/>
              </w:rPr>
              <w:t>，</w:t>
            </w:r>
            <w:r>
              <w:rPr>
                <w:rFonts w:ascii="宋体" w:hAnsi="宋体" w:eastAsia="宋体" w:cs="宋体"/>
                <w:sz w:val="21"/>
                <w:szCs w:val="21"/>
              </w:rPr>
              <w:t>位于项目</w:t>
            </w:r>
            <w:r>
              <w:rPr>
                <w:rFonts w:hint="eastAsia" w:ascii="宋体" w:hAnsi="宋体" w:eastAsia="宋体" w:cs="宋体"/>
                <w:sz w:val="21"/>
                <w:szCs w:val="21"/>
                <w:lang w:eastAsia="zh-CN"/>
              </w:rPr>
              <w:t>西南</w:t>
            </w:r>
            <w:r>
              <w:rPr>
                <w:rFonts w:ascii="宋体" w:hAnsi="宋体" w:eastAsia="宋体" w:cs="宋体"/>
                <w:sz w:val="21"/>
                <w:szCs w:val="21"/>
              </w:rPr>
              <w:t>侧，每天</w:t>
            </w:r>
            <w:r>
              <w:rPr>
                <w:rFonts w:ascii="宋体" w:hAnsi="宋体" w:eastAsia="宋体" w:cs="宋体"/>
                <w:spacing w:val="-73"/>
                <w:sz w:val="21"/>
                <w:szCs w:val="21"/>
              </w:rPr>
              <w:t xml:space="preserve"> </w:t>
            </w:r>
            <w:r>
              <w:rPr>
                <w:rFonts w:ascii="Times New Roman" w:hAnsi="Times New Roman" w:eastAsia="Times New Roman" w:cs="Times New Roman"/>
                <w:sz w:val="21"/>
                <w:szCs w:val="21"/>
              </w:rPr>
              <w:t>24h</w:t>
            </w:r>
            <w:r>
              <w:rPr>
                <w:rFonts w:ascii="Times New Roman" w:hAnsi="Times New Roman" w:eastAsia="Times New Roman" w:cs="Times New Roman"/>
                <w:spacing w:val="-19"/>
                <w:sz w:val="21"/>
                <w:szCs w:val="21"/>
              </w:rPr>
              <w:t xml:space="preserve"> </w:t>
            </w:r>
            <w:r>
              <w:rPr>
                <w:rFonts w:ascii="宋体" w:hAnsi="宋体" w:eastAsia="宋体" w:cs="宋体"/>
                <w:sz w:val="21"/>
                <w:szCs w:val="21"/>
              </w:rPr>
              <w:t>运行。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4" w:type="dxa"/>
            <w:vMerge w:val="restart"/>
            <w:tcBorders>
              <w:tl2br w:val="nil"/>
              <w:tr2bl w:val="nil"/>
            </w:tcBorders>
            <w:vAlign w:val="center"/>
          </w:tcPr>
          <w:p>
            <w:pPr>
              <w:adjustRightInd w:val="0"/>
              <w:ind w:left="-105" w:leftChars="-50" w:right="-105" w:rightChars="-50"/>
              <w:jc w:val="center"/>
              <w:textAlignment w:val="baseline"/>
              <w:rPr>
                <w:rFonts w:hint="eastAsia" w:ascii="Times New Roman" w:hAnsi="Times New Roman" w:eastAsia="宋体" w:cs="Times New Roman"/>
                <w:color w:val="000000"/>
                <w:szCs w:val="21"/>
                <w:lang w:eastAsia="zh-CN"/>
              </w:rPr>
            </w:pPr>
            <w:r>
              <w:rPr>
                <w:rFonts w:hint="eastAsia" w:cs="Times New Roman"/>
                <w:color w:val="000000"/>
                <w:szCs w:val="21"/>
                <w:lang w:eastAsia="zh-CN"/>
              </w:rPr>
              <w:t>公用工程</w:t>
            </w: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给水</w:t>
            </w:r>
          </w:p>
        </w:tc>
        <w:tc>
          <w:tcPr>
            <w:tcW w:w="6615" w:type="dxa"/>
            <w:tcBorders>
              <w:tl2br w:val="nil"/>
              <w:tr2bl w:val="nil"/>
            </w:tcBorders>
            <w:vAlign w:val="center"/>
          </w:tcPr>
          <w:p>
            <w:pPr>
              <w:adjustRightInd w:val="0"/>
              <w:textAlignment w:val="baseline"/>
              <w:rPr>
                <w:rFonts w:hint="eastAsia" w:cs="Times New Roman"/>
                <w:color w:val="auto"/>
                <w:szCs w:val="21"/>
                <w:lang w:val="en-US" w:eastAsia="zh-CN"/>
              </w:rPr>
            </w:pPr>
            <w:r>
              <w:rPr>
                <w:rFonts w:hint="eastAsia" w:cs="Times New Roman"/>
                <w:color w:val="auto"/>
                <w:szCs w:val="21"/>
                <w:lang w:val="en-US" w:eastAsia="zh-CN"/>
              </w:rPr>
              <w:t>项目供水水源由市政给水管网供给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eastAsia" w:cs="Times New Roman"/>
                <w:color w:val="000000"/>
                <w:szCs w:val="21"/>
                <w:lang w:eastAsia="zh-CN"/>
              </w:rPr>
            </w:pP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排水</w:t>
            </w:r>
          </w:p>
        </w:tc>
        <w:tc>
          <w:tcPr>
            <w:tcW w:w="6615" w:type="dxa"/>
            <w:tcBorders>
              <w:tl2br w:val="nil"/>
              <w:tr2bl w:val="nil"/>
            </w:tcBorders>
            <w:vAlign w:val="center"/>
          </w:tcPr>
          <w:p>
            <w:pPr>
              <w:adjustRightInd w:val="0"/>
              <w:textAlignment w:val="baseline"/>
              <w:rPr>
                <w:rFonts w:hint="eastAsia" w:cs="Times New Roman"/>
                <w:color w:val="auto"/>
                <w:szCs w:val="21"/>
                <w:lang w:val="en-US" w:eastAsia="zh-CN"/>
              </w:rPr>
            </w:pPr>
            <w:r>
              <w:rPr>
                <w:rFonts w:hint="eastAsia" w:cs="Times New Roman"/>
                <w:color w:val="auto"/>
                <w:szCs w:val="21"/>
                <w:lang w:val="en-US" w:eastAsia="zh-CN"/>
              </w:rPr>
              <w:t>实施雨污分流制，屋面及路面雨水有组织排至室外雨水管。厂内全部废水经管网送至自建污水处理站处理，处理达到《肉类加工工业水污染物 排放标准》（GB13457-92）一级标准后排入万屯镇污水处理厂，最终汇入马岭河。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eastAsia" w:cs="Times New Roman"/>
                <w:color w:val="000000"/>
                <w:szCs w:val="21"/>
                <w:lang w:eastAsia="zh-CN"/>
              </w:rPr>
            </w:pP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供热</w:t>
            </w:r>
          </w:p>
        </w:tc>
        <w:tc>
          <w:tcPr>
            <w:tcW w:w="6615" w:type="dxa"/>
            <w:tcBorders>
              <w:tl2br w:val="nil"/>
              <w:tr2bl w:val="nil"/>
            </w:tcBorders>
            <w:vAlign w:val="center"/>
          </w:tcPr>
          <w:p>
            <w:pPr>
              <w:adjustRightInd w:val="0"/>
              <w:textAlignment w:val="baseline"/>
              <w:rPr>
                <w:rFonts w:hint="default" w:cs="Times New Roman"/>
                <w:color w:val="auto"/>
                <w:szCs w:val="21"/>
                <w:lang w:val="en-US" w:eastAsia="zh-CN"/>
              </w:rPr>
            </w:pPr>
            <w:r>
              <w:rPr>
                <w:rFonts w:hint="eastAsia" w:cs="Times New Roman"/>
                <w:color w:val="auto"/>
                <w:szCs w:val="21"/>
                <w:lang w:val="en-US" w:eastAsia="zh-CN"/>
              </w:rPr>
              <w:t>厂区热水及蒸汽采用1台2t/h燃气锅炉供给。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eastAsia" w:cs="Times New Roman"/>
                <w:color w:val="000000"/>
                <w:szCs w:val="21"/>
                <w:lang w:eastAsia="zh-CN"/>
              </w:rPr>
            </w:pP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制冷</w:t>
            </w:r>
          </w:p>
        </w:tc>
        <w:tc>
          <w:tcPr>
            <w:tcW w:w="6615" w:type="dxa"/>
            <w:tcBorders>
              <w:tl2br w:val="nil"/>
              <w:tr2bl w:val="nil"/>
            </w:tcBorders>
            <w:vAlign w:val="center"/>
          </w:tcPr>
          <w:p>
            <w:pPr>
              <w:adjustRightInd w:val="0"/>
              <w:textAlignment w:val="baseline"/>
              <w:rPr>
                <w:rFonts w:hint="eastAsia" w:cs="Times New Roman"/>
                <w:color w:val="auto"/>
                <w:szCs w:val="21"/>
                <w:lang w:val="en-US" w:eastAsia="zh-CN"/>
              </w:rPr>
            </w:pPr>
            <w:r>
              <w:rPr>
                <w:rFonts w:hint="eastAsia" w:cs="Times New Roman"/>
                <w:color w:val="auto"/>
                <w:szCs w:val="21"/>
                <w:lang w:val="en-US" w:eastAsia="zh-CN"/>
              </w:rPr>
              <w:t>冷库由结冻间、低温冷藏间、高温冷藏间、机房、贮藏、值班间和汽车月台等组成。用氨作制冷剂，采用蒸汽压缩重力供液循环系统，结冻、冷 藏采用一个蒸发温度，并合用一个氨液分离器，以气、液调节控制阀控制库温度。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eastAsia" w:cs="Times New Roman"/>
                <w:color w:val="000000"/>
                <w:szCs w:val="21"/>
                <w:lang w:eastAsia="zh-CN"/>
              </w:rPr>
            </w:pPr>
          </w:p>
        </w:tc>
        <w:tc>
          <w:tcPr>
            <w:tcW w:w="914" w:type="dxa"/>
            <w:tcBorders>
              <w:tl2br w:val="nil"/>
              <w:tr2bl w:val="nil"/>
            </w:tcBorders>
            <w:vAlign w:val="center"/>
          </w:tcPr>
          <w:p>
            <w:pPr>
              <w:jc w:val="center"/>
              <w:rPr>
                <w:rFonts w:hint="eastAsia" w:cs="Times New Roman"/>
                <w:color w:val="000000"/>
                <w:szCs w:val="21"/>
                <w:lang w:eastAsia="zh-CN"/>
              </w:rPr>
            </w:pPr>
            <w:r>
              <w:rPr>
                <w:rFonts w:hint="eastAsia" w:cs="Times New Roman"/>
                <w:color w:val="000000"/>
                <w:szCs w:val="21"/>
                <w:lang w:eastAsia="zh-CN"/>
              </w:rPr>
              <w:t>供电</w:t>
            </w:r>
          </w:p>
        </w:tc>
        <w:tc>
          <w:tcPr>
            <w:tcW w:w="6615" w:type="dxa"/>
            <w:tcBorders>
              <w:tl2br w:val="nil"/>
              <w:tr2bl w:val="nil"/>
            </w:tcBorders>
            <w:vAlign w:val="center"/>
          </w:tcPr>
          <w:p>
            <w:pPr>
              <w:adjustRightInd w:val="0"/>
              <w:textAlignment w:val="baseline"/>
              <w:rPr>
                <w:rFonts w:hint="eastAsia" w:cs="Times New Roman"/>
                <w:color w:val="auto"/>
                <w:szCs w:val="21"/>
                <w:lang w:val="en-US" w:eastAsia="zh-CN"/>
              </w:rPr>
            </w:pPr>
            <w:r>
              <w:rPr>
                <w:rFonts w:hint="eastAsia" w:cs="Times New Roman"/>
                <w:color w:val="auto"/>
                <w:szCs w:val="21"/>
                <w:lang w:val="en-US" w:eastAsia="zh-CN"/>
              </w:rPr>
              <w:t>本项目的用电由附近变电所10KV进入厂区中心开闭所，项目供电电源依托新建配电房。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04" w:type="dxa"/>
            <w:vMerge w:val="restart"/>
            <w:tcBorders>
              <w:tl2br w:val="nil"/>
              <w:tr2bl w:val="nil"/>
            </w:tcBorders>
            <w:vAlign w:val="center"/>
          </w:tcPr>
          <w:p>
            <w:pPr>
              <w:adjustRightInd w:val="0"/>
              <w:ind w:left="-105" w:leftChars="-50" w:right="-105" w:rightChars="-50"/>
              <w:jc w:val="center"/>
              <w:textAlignment w:val="baseline"/>
              <w:rPr>
                <w:rFonts w:hint="eastAsia" w:ascii="Times New Roman" w:hAnsi="Times New Roman" w:eastAsia="宋体" w:cs="Times New Roman"/>
                <w:color w:val="000000"/>
                <w:szCs w:val="21"/>
                <w:lang w:eastAsia="zh-CN"/>
              </w:rPr>
            </w:pPr>
            <w:r>
              <w:rPr>
                <w:rFonts w:hint="eastAsia" w:cs="Times New Roman"/>
                <w:color w:val="000000"/>
                <w:szCs w:val="21"/>
                <w:lang w:eastAsia="zh-CN"/>
              </w:rPr>
              <w:t>环保工程</w:t>
            </w:r>
          </w:p>
        </w:tc>
        <w:tc>
          <w:tcPr>
            <w:tcW w:w="914" w:type="dxa"/>
            <w:tcBorders>
              <w:tl2br w:val="nil"/>
              <w:tr2bl w:val="nil"/>
            </w:tcBorders>
            <w:vAlign w:val="center"/>
          </w:tcPr>
          <w:p>
            <w:pPr>
              <w:jc w:val="center"/>
              <w:rPr>
                <w:rFonts w:hint="default" w:ascii="Times New Roman" w:hAnsi="Times New Roman" w:cs="Times New Roman"/>
                <w:color w:val="000000"/>
                <w:szCs w:val="21"/>
                <w:highlight w:val="yellow"/>
              </w:rPr>
            </w:pPr>
            <w:r>
              <w:rPr>
                <w:rFonts w:hint="default" w:eastAsia="宋体" w:cs="Times New Roman"/>
                <w:color w:val="auto"/>
                <w:szCs w:val="21"/>
                <w:lang w:val="en-US" w:eastAsia="zh-CN"/>
              </w:rPr>
              <w:t>废水</w:t>
            </w:r>
          </w:p>
        </w:tc>
        <w:tc>
          <w:tcPr>
            <w:tcW w:w="6615" w:type="dxa"/>
            <w:tcBorders>
              <w:tl2br w:val="nil"/>
              <w:tr2bl w:val="nil"/>
            </w:tcBorders>
            <w:vAlign w:val="center"/>
          </w:tcPr>
          <w:p>
            <w:pPr>
              <w:rPr>
                <w:rFonts w:hint="default" w:ascii="Times New Roman" w:hAnsi="Times New Roman" w:cs="Times New Roman"/>
                <w:color w:val="FF0000"/>
                <w:szCs w:val="21"/>
                <w:highlight w:val="yellow"/>
              </w:rPr>
            </w:pPr>
            <w:r>
              <w:rPr>
                <w:rFonts w:hint="eastAsia" w:cs="Times New Roman"/>
                <w:color w:val="auto"/>
                <w:szCs w:val="21"/>
                <w:lang w:val="en-US" w:eastAsia="zh-CN"/>
              </w:rPr>
              <w:t>厂内全部废水经管网送至自建污水处理站处理，处理达到《肉类加工工业水污染物 排放标准》（GB13457-92）一级标准后排入万屯镇污水处理厂，最终汇入马岭河。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eastAsia" w:cs="Times New Roman"/>
                <w:color w:val="000000"/>
                <w:szCs w:val="21"/>
                <w:lang w:eastAsia="zh-CN"/>
              </w:rPr>
            </w:pPr>
          </w:p>
        </w:tc>
        <w:tc>
          <w:tcPr>
            <w:tcW w:w="914" w:type="dxa"/>
            <w:tcBorders>
              <w:tl2br w:val="nil"/>
              <w:tr2bl w:val="nil"/>
            </w:tcBorders>
            <w:vAlign w:val="center"/>
          </w:tcPr>
          <w:p>
            <w:pPr>
              <w:jc w:val="center"/>
              <w:rPr>
                <w:rFonts w:hint="default" w:eastAsia="宋体" w:cs="Times New Roman"/>
                <w:color w:val="auto"/>
                <w:szCs w:val="21"/>
                <w:lang w:val="en-US" w:eastAsia="zh-CN"/>
              </w:rPr>
            </w:pPr>
            <w:r>
              <w:rPr>
                <w:rFonts w:hint="eastAsia" w:eastAsia="宋体" w:cs="Times New Roman"/>
                <w:color w:val="auto"/>
                <w:szCs w:val="21"/>
                <w:lang w:val="en-US" w:eastAsia="zh-CN"/>
              </w:rPr>
              <w:t>废气</w:t>
            </w:r>
          </w:p>
        </w:tc>
        <w:tc>
          <w:tcPr>
            <w:tcW w:w="6615" w:type="dxa"/>
            <w:tcBorders>
              <w:tl2br w:val="nil"/>
              <w:tr2bl w:val="nil"/>
            </w:tcBorders>
            <w:vAlign w:val="center"/>
          </w:tcPr>
          <w:p>
            <w:pPr>
              <w:rPr>
                <w:rFonts w:hint="eastAsia"/>
                <w:sz w:val="21"/>
                <w:szCs w:val="21"/>
                <w:lang w:val="en-US" w:eastAsia="zh-CN"/>
              </w:rPr>
            </w:pPr>
            <w:r>
              <w:rPr>
                <w:rFonts w:hint="eastAsia"/>
                <w:sz w:val="21"/>
                <w:szCs w:val="21"/>
                <w:lang w:val="en-US" w:eastAsia="zh-CN"/>
              </w:rPr>
              <w:t>1、食堂配备油烟净化器，油烟去除效率在60%以上；</w:t>
            </w:r>
          </w:p>
          <w:p>
            <w:pPr>
              <w:pStyle w:val="2"/>
              <w:ind w:left="0" w:leftChars="0" w:firstLine="0" w:firstLineChars="0"/>
              <w:rPr>
                <w:rFonts w:hint="default"/>
                <w:lang w:val="en-US" w:eastAsia="zh-CN"/>
              </w:rPr>
            </w:pPr>
            <w:r>
              <w:rPr>
                <w:rFonts w:hint="eastAsia"/>
                <w:sz w:val="21"/>
                <w:szCs w:val="21"/>
                <w:lang w:val="en-US" w:eastAsia="zh-CN"/>
              </w:rPr>
              <w:t>2、车间恶臭采用集气罩微负压收集后，通过引风机吸入活性炭净化处理后由15m高排气筒外排。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default" w:ascii="Times New Roman" w:hAnsi="Times New Roman" w:cs="Times New Roman"/>
                <w:color w:val="000000"/>
                <w:szCs w:val="21"/>
              </w:rPr>
            </w:pPr>
          </w:p>
        </w:tc>
        <w:tc>
          <w:tcPr>
            <w:tcW w:w="914" w:type="dxa"/>
            <w:tcBorders>
              <w:tl2br w:val="nil"/>
              <w:tr2bl w:val="nil"/>
            </w:tcBorders>
            <w:vAlign w:val="center"/>
          </w:tcPr>
          <w:p>
            <w:pPr>
              <w:jc w:val="center"/>
              <w:rPr>
                <w:rFonts w:hint="default" w:ascii="Times New Roman" w:hAnsi="Times New Roman" w:cs="Times New Roman"/>
                <w:color w:val="000000"/>
                <w:szCs w:val="21"/>
                <w:highlight w:val="yellow"/>
              </w:rPr>
            </w:pPr>
            <w:r>
              <w:rPr>
                <w:rFonts w:hint="default" w:ascii="Times New Roman" w:hAnsi="Times New Roman" w:cs="Times New Roman"/>
                <w:color w:val="000000"/>
                <w:szCs w:val="21"/>
                <w:highlight w:val="none"/>
              </w:rPr>
              <w:t>噪声</w:t>
            </w:r>
          </w:p>
        </w:tc>
        <w:tc>
          <w:tcPr>
            <w:tcW w:w="6615" w:type="dxa"/>
            <w:tcBorders>
              <w:tl2br w:val="nil"/>
              <w:tr2bl w:val="nil"/>
            </w:tcBorders>
            <w:vAlign w:val="center"/>
          </w:tcPr>
          <w:p>
            <w:pPr>
              <w:adjustRightInd w:val="0"/>
              <w:ind w:right="-105" w:rightChars="-50"/>
              <w:textAlignment w:val="baseline"/>
              <w:rPr>
                <w:rFonts w:hint="default" w:ascii="Times New Roman" w:hAnsi="Times New Roman" w:cs="Times New Roman"/>
                <w:color w:val="000000"/>
                <w:szCs w:val="21"/>
                <w:highlight w:val="yellow"/>
              </w:rPr>
            </w:pPr>
            <w:r>
              <w:rPr>
                <w:rFonts w:ascii="宋体" w:hAnsi="宋体" w:eastAsia="宋体" w:cs="宋体"/>
                <w:sz w:val="21"/>
                <w:szCs w:val="21"/>
              </w:rPr>
              <w:t>选用低噪声设备，基础减振、加装消声器，厂区加强绿化。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604" w:type="dxa"/>
            <w:vMerge w:val="continue"/>
            <w:tcBorders>
              <w:tl2br w:val="nil"/>
              <w:tr2bl w:val="nil"/>
            </w:tcBorders>
            <w:vAlign w:val="center"/>
          </w:tcPr>
          <w:p>
            <w:pPr>
              <w:adjustRightInd w:val="0"/>
              <w:ind w:left="-105" w:leftChars="-50" w:right="-105" w:rightChars="-50"/>
              <w:jc w:val="center"/>
              <w:textAlignment w:val="baseline"/>
              <w:rPr>
                <w:rFonts w:hint="default" w:ascii="Times New Roman" w:hAnsi="Times New Roman" w:cs="Times New Roman"/>
                <w:color w:val="000000"/>
                <w:szCs w:val="21"/>
              </w:rPr>
            </w:pPr>
          </w:p>
        </w:tc>
        <w:tc>
          <w:tcPr>
            <w:tcW w:w="914" w:type="dxa"/>
            <w:tcBorders>
              <w:tl2br w:val="nil"/>
              <w:tr2bl w:val="nil"/>
            </w:tcBorders>
            <w:vAlign w:val="center"/>
          </w:tcPr>
          <w:p>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固废</w:t>
            </w:r>
          </w:p>
        </w:tc>
        <w:tc>
          <w:tcPr>
            <w:tcW w:w="6615" w:type="dxa"/>
            <w:tcBorders>
              <w:tl2br w:val="nil"/>
              <w:tr2bl w:val="nil"/>
            </w:tcBorders>
            <w:vAlign w:val="center"/>
          </w:tcPr>
          <w:p>
            <w:pPr>
              <w:rPr>
                <w:rFonts w:hint="eastAsia"/>
                <w:sz w:val="21"/>
                <w:szCs w:val="21"/>
                <w:lang w:val="en-US" w:eastAsia="zh-CN"/>
              </w:rPr>
            </w:pPr>
            <w:r>
              <w:rPr>
                <w:rFonts w:hint="eastAsia"/>
                <w:sz w:val="21"/>
                <w:szCs w:val="21"/>
                <w:lang w:val="en-US" w:eastAsia="zh-CN"/>
              </w:rPr>
              <w:t>1、暂存间：屠宰过程中产生的固体废物。</w:t>
            </w:r>
          </w:p>
          <w:p>
            <w:pPr>
              <w:pStyle w:val="2"/>
              <w:ind w:left="0" w:leftChars="0" w:firstLine="0" w:firstLineChars="0"/>
              <w:rPr>
                <w:rFonts w:hint="eastAsia"/>
                <w:sz w:val="21"/>
                <w:szCs w:val="21"/>
                <w:lang w:val="en-US" w:eastAsia="zh-CN"/>
              </w:rPr>
            </w:pPr>
            <w:r>
              <w:rPr>
                <w:rFonts w:hint="eastAsia"/>
                <w:sz w:val="21"/>
                <w:szCs w:val="21"/>
                <w:lang w:val="en-US" w:eastAsia="zh-CN"/>
              </w:rPr>
              <w:t>2、危险废物暂存间：设备检修废机油等危废。</w:t>
            </w:r>
          </w:p>
          <w:p>
            <w:pPr>
              <w:pStyle w:val="2"/>
              <w:ind w:left="0" w:leftChars="0" w:firstLine="0" w:firstLineChars="0"/>
              <w:rPr>
                <w:rFonts w:hint="eastAsia"/>
                <w:sz w:val="21"/>
                <w:szCs w:val="21"/>
                <w:lang w:val="en-US" w:eastAsia="zh-CN"/>
              </w:rPr>
            </w:pPr>
            <w:r>
              <w:rPr>
                <w:rFonts w:hint="eastAsia"/>
                <w:sz w:val="21"/>
                <w:szCs w:val="21"/>
                <w:lang w:val="en-US" w:eastAsia="zh-CN"/>
              </w:rPr>
              <w:t>3、无害化处理间油脂暂存间：病变牲畜及病变部位、不可食肉渣经处理后差生的废物。</w:t>
            </w:r>
          </w:p>
          <w:p>
            <w:pPr>
              <w:pStyle w:val="2"/>
              <w:ind w:left="0" w:leftChars="0" w:firstLine="0" w:firstLineChars="0"/>
              <w:rPr>
                <w:rFonts w:hint="default"/>
                <w:sz w:val="21"/>
                <w:szCs w:val="21"/>
                <w:lang w:val="en-US" w:eastAsia="zh-CN"/>
              </w:rPr>
            </w:pPr>
            <w:r>
              <w:rPr>
                <w:rFonts w:hint="eastAsia"/>
                <w:sz w:val="21"/>
                <w:szCs w:val="21"/>
                <w:lang w:val="en-US" w:eastAsia="zh-CN"/>
              </w:rPr>
              <w:t>4、员工生活：生活垃圾统一收集，由园区环卫部门统一清运。</w:t>
            </w:r>
          </w:p>
        </w:tc>
      </w:tr>
    </w:tbl>
    <w:p>
      <w:pPr>
        <w:pStyle w:val="6"/>
      </w:pPr>
      <w:bookmarkStart w:id="131" w:name="_Toc1255"/>
      <w:r>
        <w:rPr>
          <w:rFonts w:hint="eastAsia"/>
          <w:lang w:eastAsia="zh-CN"/>
        </w:rPr>
        <w:t>产品方案</w:t>
      </w:r>
      <w:bookmarkEnd w:id="131"/>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2</w:t>
      </w:r>
      <w:r>
        <w:rPr>
          <w:b/>
          <w:sz w:val="24"/>
        </w:rPr>
        <w:t xml:space="preserve"> </w:t>
      </w:r>
      <w:r>
        <w:rPr>
          <w:rFonts w:hint="eastAsia"/>
          <w:b/>
          <w:sz w:val="24"/>
          <w:lang w:val="en-US" w:eastAsia="zh-CN"/>
        </w:rPr>
        <w:t xml:space="preserve">   </w:t>
      </w:r>
      <w:r>
        <w:rPr>
          <w:rFonts w:hint="eastAsia"/>
          <w:b/>
          <w:sz w:val="24"/>
          <w:lang w:eastAsia="zh-CN"/>
        </w:rPr>
        <w:t>产品方案</w:t>
      </w:r>
    </w:p>
    <w:tbl>
      <w:tblPr>
        <w:tblStyle w:val="89"/>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162"/>
        <w:gridCol w:w="826"/>
        <w:gridCol w:w="1155"/>
        <w:gridCol w:w="3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序号</w:t>
            </w: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eastAsia="zh-CN"/>
              </w:rPr>
              <w:t>产品名称</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eastAsia="zh-CN"/>
              </w:rPr>
              <w:t>数量</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eastAsia="zh-CN"/>
              </w:rPr>
              <w:t>单位</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1</w:t>
            </w: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牛肉</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default"/>
                <w:sz w:val="21"/>
                <w:szCs w:val="21"/>
                <w:vertAlign w:val="baseline"/>
                <w:lang w:val="en-US" w:eastAsia="zh-CN"/>
              </w:rPr>
              <w:t>6750</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吨</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500kg/头、年屠宰3万头、净肉率45%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其中</w:t>
            </w: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高档牛肉</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val="en-US" w:eastAsia="zh-CN"/>
              </w:rPr>
              <w:t>337.5</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吨</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牛柳、西冷、眼肉等，占出肉量的</w:t>
            </w:r>
            <w:r>
              <w:rPr>
                <w:rFonts w:hint="default"/>
                <w:sz w:val="21"/>
                <w:szCs w:val="21"/>
                <w:vertAlign w:val="baseli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优质牛肉</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default"/>
                <w:sz w:val="21"/>
                <w:szCs w:val="21"/>
                <w:vertAlign w:val="baseline"/>
                <w:lang w:val="en-US" w:eastAsia="zh-CN"/>
              </w:rPr>
              <w:t>2362.5</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吨</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臀肉、膝圆、米龙、黄瓜条、牛前柳、腱子肉等，占出肉量的35%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val="en-US" w:eastAsia="zh-CN"/>
              </w:rPr>
              <w:t>普通牛肉</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default"/>
                <w:sz w:val="21"/>
                <w:szCs w:val="21"/>
                <w:vertAlign w:val="baseline"/>
                <w:lang w:val="en-US" w:eastAsia="zh-CN"/>
              </w:rPr>
              <w:t>4050</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吨</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牛腩、牛胸等躯干肉，占出肉量的60%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2</w:t>
            </w: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eastAsia"/>
                <w:sz w:val="21"/>
                <w:szCs w:val="21"/>
                <w:vertAlign w:val="baseline"/>
                <w:lang w:val="en-US" w:eastAsia="zh-CN"/>
              </w:rPr>
              <w:t>牛下水</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eastAsia="zh-CN"/>
              </w:rPr>
            </w:pPr>
            <w:r>
              <w:rPr>
                <w:rFonts w:hint="default"/>
                <w:sz w:val="21"/>
                <w:szCs w:val="21"/>
                <w:vertAlign w:val="baseline"/>
                <w:lang w:val="en-US" w:eastAsia="zh-CN"/>
              </w:rPr>
              <w:t>750</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吨</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占活重的5</w:t>
            </w:r>
            <w:r>
              <w:rPr>
                <w:rFonts w:hint="default"/>
                <w:sz w:val="21"/>
                <w:szCs w:val="21"/>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3</w:t>
            </w:r>
          </w:p>
        </w:tc>
        <w:tc>
          <w:tcPr>
            <w:tcW w:w="21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牛副产品</w:t>
            </w:r>
          </w:p>
        </w:tc>
        <w:tc>
          <w:tcPr>
            <w:tcW w:w="8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default"/>
                <w:sz w:val="21"/>
                <w:szCs w:val="21"/>
                <w:vertAlign w:val="baseline"/>
                <w:lang w:val="en-US" w:eastAsia="zh-CN"/>
              </w:rPr>
              <w:t>30000</w:t>
            </w:r>
          </w:p>
        </w:tc>
        <w:tc>
          <w:tcPr>
            <w:tcW w:w="11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套</w:t>
            </w:r>
          </w:p>
        </w:tc>
        <w:tc>
          <w:tcPr>
            <w:tcW w:w="37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eastAsia"/>
                <w:sz w:val="21"/>
                <w:szCs w:val="21"/>
                <w:vertAlign w:val="baseline"/>
                <w:lang w:val="en-US" w:eastAsia="zh-CN"/>
              </w:rPr>
            </w:pPr>
            <w:r>
              <w:rPr>
                <w:rFonts w:hint="eastAsia"/>
                <w:sz w:val="21"/>
                <w:szCs w:val="21"/>
                <w:vertAlign w:val="baseline"/>
                <w:lang w:val="en-US" w:eastAsia="zh-CN"/>
              </w:rPr>
              <w:t>含头、皮、骨、蹄等</w:t>
            </w:r>
          </w:p>
        </w:tc>
      </w:tr>
    </w:tbl>
    <w:p>
      <w:pPr>
        <w:pStyle w:val="6"/>
      </w:pPr>
      <w:bookmarkStart w:id="132" w:name="_Toc23500"/>
      <w:bookmarkStart w:id="133" w:name="_Toc59901608"/>
      <w:bookmarkStart w:id="134" w:name="_Toc72132981"/>
      <w:r>
        <w:rPr>
          <w:rFonts w:hint="eastAsia"/>
          <w:color w:val="auto"/>
        </w:rPr>
        <w:t>项目建设周期</w:t>
      </w:r>
      <w:bookmarkEnd w:id="132"/>
    </w:p>
    <w:p>
      <w:pPr>
        <w:autoSpaceDE w:val="0"/>
        <w:autoSpaceDN w:val="0"/>
        <w:adjustRightInd w:val="0"/>
        <w:spacing w:line="360" w:lineRule="auto"/>
        <w:ind w:firstLine="480" w:firstLineChars="200"/>
        <w:jc w:val="left"/>
        <w:rPr>
          <w:color w:val="auto"/>
          <w:kern w:val="0"/>
          <w:sz w:val="24"/>
        </w:rPr>
      </w:pPr>
      <w:r>
        <w:rPr>
          <w:rFonts w:hint="eastAsia"/>
          <w:color w:val="auto"/>
          <w:kern w:val="0"/>
          <w:sz w:val="24"/>
        </w:rPr>
        <w:t>本项目</w:t>
      </w:r>
      <w:r>
        <w:rPr>
          <w:rFonts w:hint="eastAsia"/>
          <w:color w:val="auto"/>
          <w:kern w:val="0"/>
          <w:sz w:val="24"/>
          <w:lang w:eastAsia="zh-CN"/>
        </w:rPr>
        <w:t>计划</w:t>
      </w:r>
      <w:r>
        <w:rPr>
          <w:rFonts w:hint="eastAsia"/>
          <w:color w:val="auto"/>
          <w:kern w:val="0"/>
          <w:sz w:val="24"/>
        </w:rPr>
        <w:t>建设期为1年，自201</w:t>
      </w:r>
      <w:r>
        <w:rPr>
          <w:rFonts w:hint="eastAsia"/>
          <w:color w:val="auto"/>
          <w:kern w:val="0"/>
          <w:sz w:val="24"/>
          <w:lang w:val="en-US" w:eastAsia="zh-CN"/>
        </w:rPr>
        <w:t>9</w:t>
      </w:r>
      <w:r>
        <w:rPr>
          <w:rFonts w:hint="eastAsia"/>
          <w:color w:val="auto"/>
          <w:kern w:val="0"/>
          <w:sz w:val="24"/>
        </w:rPr>
        <w:t>年</w:t>
      </w:r>
      <w:r>
        <w:rPr>
          <w:rFonts w:hint="eastAsia"/>
          <w:color w:val="auto"/>
          <w:kern w:val="0"/>
          <w:sz w:val="24"/>
          <w:lang w:val="en-US" w:eastAsia="zh-CN"/>
        </w:rPr>
        <w:t>12</w:t>
      </w:r>
      <w:r>
        <w:rPr>
          <w:rFonts w:hint="eastAsia"/>
          <w:color w:val="auto"/>
          <w:kern w:val="0"/>
          <w:sz w:val="24"/>
        </w:rPr>
        <w:t>月至20</w:t>
      </w:r>
      <w:r>
        <w:rPr>
          <w:rFonts w:hint="eastAsia"/>
          <w:color w:val="auto"/>
          <w:kern w:val="0"/>
          <w:sz w:val="24"/>
          <w:lang w:val="en-US" w:eastAsia="zh-CN"/>
        </w:rPr>
        <w:t>20</w:t>
      </w:r>
      <w:r>
        <w:rPr>
          <w:rFonts w:hint="eastAsia"/>
          <w:color w:val="auto"/>
          <w:kern w:val="0"/>
          <w:sz w:val="24"/>
        </w:rPr>
        <w:t>年</w:t>
      </w:r>
      <w:r>
        <w:rPr>
          <w:rFonts w:hint="eastAsia"/>
          <w:color w:val="auto"/>
          <w:kern w:val="0"/>
          <w:sz w:val="24"/>
          <w:lang w:val="en-US" w:eastAsia="zh-CN"/>
        </w:rPr>
        <w:t>11</w:t>
      </w:r>
      <w:r>
        <w:rPr>
          <w:rFonts w:hint="eastAsia"/>
          <w:color w:val="auto"/>
          <w:kern w:val="0"/>
          <w:sz w:val="24"/>
        </w:rPr>
        <w:t>月。</w:t>
      </w:r>
    </w:p>
    <w:p>
      <w:pPr>
        <w:autoSpaceDE w:val="0"/>
        <w:autoSpaceDN w:val="0"/>
        <w:adjustRightInd w:val="0"/>
        <w:spacing w:line="360" w:lineRule="auto"/>
        <w:ind w:firstLine="480" w:firstLineChars="200"/>
        <w:jc w:val="left"/>
        <w:rPr>
          <w:rFonts w:hint="eastAsia"/>
          <w:color w:val="auto"/>
          <w:kern w:val="0"/>
          <w:sz w:val="24"/>
          <w:lang w:eastAsia="zh-CN"/>
        </w:rPr>
      </w:pPr>
      <w:r>
        <w:rPr>
          <w:rFonts w:hint="eastAsia"/>
          <w:color w:val="auto"/>
          <w:kern w:val="0"/>
          <w:sz w:val="24"/>
        </w:rPr>
        <w:t>项目建设计划将根据实际情况适时调整</w:t>
      </w:r>
      <w:r>
        <w:rPr>
          <w:rFonts w:hint="eastAsia"/>
          <w:color w:val="auto"/>
          <w:kern w:val="0"/>
          <w:sz w:val="24"/>
          <w:lang w:eastAsia="zh-CN"/>
        </w:rPr>
        <w:t>。</w:t>
      </w:r>
    </w:p>
    <w:p>
      <w:pPr>
        <w:pStyle w:val="6"/>
      </w:pPr>
      <w:bookmarkStart w:id="135" w:name="_Toc15409"/>
      <w:r>
        <w:rPr>
          <w:rFonts w:hint="eastAsia"/>
          <w:color w:val="auto"/>
          <w:lang w:eastAsia="zh-CN"/>
        </w:rPr>
        <w:t>劳动定员及工作制度</w:t>
      </w:r>
      <w:bookmarkEnd w:id="135"/>
    </w:p>
    <w:p>
      <w:pPr>
        <w:pStyle w:val="2"/>
        <w:rPr>
          <w:rFonts w:hint="default"/>
          <w:color w:val="auto"/>
          <w:kern w:val="0"/>
          <w:sz w:val="24"/>
          <w:lang w:val="en-US" w:eastAsia="zh-CN"/>
        </w:rPr>
      </w:pPr>
      <w:r>
        <w:rPr>
          <w:rFonts w:hint="eastAsia"/>
          <w:color w:val="auto"/>
          <w:kern w:val="0"/>
          <w:sz w:val="24"/>
          <w:lang w:eastAsia="zh-CN"/>
        </w:rPr>
        <w:t>屠宰中心定员</w:t>
      </w:r>
      <w:r>
        <w:rPr>
          <w:rFonts w:hint="eastAsia"/>
          <w:color w:val="auto"/>
          <w:kern w:val="0"/>
          <w:sz w:val="24"/>
          <w:lang w:val="en-US" w:eastAsia="zh-CN"/>
        </w:rPr>
        <w:t>87人，全年工作日为360日，每天8小时，厂内食宿。</w:t>
      </w:r>
    </w:p>
    <w:p>
      <w:pPr>
        <w:pStyle w:val="6"/>
      </w:pPr>
      <w:bookmarkStart w:id="136" w:name="_Toc21948"/>
      <w:r>
        <w:rPr>
          <w:rFonts w:hint="eastAsia"/>
          <w:color w:val="auto"/>
          <w:lang w:eastAsia="zh-CN"/>
        </w:rPr>
        <w:t>原辅材料、能源用量</w:t>
      </w:r>
      <w:bookmarkEnd w:id="136"/>
    </w:p>
    <w:p>
      <w:pPr>
        <w:pStyle w:val="2"/>
        <w:rPr>
          <w:rFonts w:hint="eastAsia" w:eastAsia="宋体"/>
          <w:color w:val="auto"/>
          <w:kern w:val="0"/>
          <w:sz w:val="24"/>
          <w:lang w:val="en-US" w:eastAsia="zh-CN"/>
        </w:rPr>
      </w:pPr>
      <w:r>
        <w:rPr>
          <w:rFonts w:hint="eastAsia" w:eastAsia="宋体"/>
          <w:color w:val="auto"/>
          <w:kern w:val="0"/>
          <w:sz w:val="24"/>
          <w:lang w:val="en-US" w:eastAsia="zh-CN"/>
        </w:rPr>
        <w:t>屠宰车间采用现代化自动屠宰流水线设计，根据建设规模，统计本项目主要原材料消耗、辅助材料消耗见表3.2-3。</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3</w:t>
      </w:r>
      <w:r>
        <w:rPr>
          <w:b/>
          <w:sz w:val="24"/>
        </w:rPr>
        <w:t xml:space="preserve"> </w:t>
      </w:r>
      <w:r>
        <w:rPr>
          <w:rFonts w:hint="eastAsia"/>
          <w:b/>
          <w:sz w:val="24"/>
          <w:lang w:val="en-US" w:eastAsia="zh-CN"/>
        </w:rPr>
        <w:t xml:space="preserve">  原辅材料、能源消耗量汇总</w:t>
      </w:r>
    </w:p>
    <w:tbl>
      <w:tblPr>
        <w:tblStyle w:val="88"/>
        <w:tblW w:w="8323" w:type="dxa"/>
        <w:tblInd w:w="101" w:type="dxa"/>
        <w:tblLayout w:type="fixed"/>
        <w:tblCellMar>
          <w:top w:w="0" w:type="dxa"/>
          <w:left w:w="0" w:type="dxa"/>
          <w:bottom w:w="0" w:type="dxa"/>
          <w:right w:w="0" w:type="dxa"/>
        </w:tblCellMar>
      </w:tblPr>
      <w:tblGrid>
        <w:gridCol w:w="983"/>
        <w:gridCol w:w="1647"/>
        <w:gridCol w:w="2128"/>
        <w:gridCol w:w="3565"/>
      </w:tblGrid>
      <w:tr>
        <w:tblPrEx>
          <w:tblCellMar>
            <w:top w:w="0" w:type="dxa"/>
            <w:left w:w="0" w:type="dxa"/>
            <w:bottom w:w="0" w:type="dxa"/>
            <w:right w:w="0" w:type="dxa"/>
          </w:tblCellMar>
        </w:tblPrEx>
        <w:trPr>
          <w:trHeight w:val="322" w:hRule="exact"/>
        </w:trPr>
        <w:tc>
          <w:tcPr>
            <w:tcW w:w="983" w:type="dxa"/>
            <w:tcBorders>
              <w:top w:val="single" w:color="000000" w:sz="4" w:space="0"/>
              <w:left w:val="single" w:color="000000" w:sz="4" w:space="0"/>
              <w:bottom w:val="single" w:color="000000" w:sz="4" w:space="0"/>
              <w:right w:val="single" w:color="000000" w:sz="4" w:space="0"/>
            </w:tcBorders>
          </w:tcPr>
          <w:p>
            <w:pPr>
              <w:pStyle w:val="4069"/>
              <w:spacing w:line="262" w:lineRule="exact"/>
              <w:ind w:left="275" w:right="0"/>
              <w:jc w:val="left"/>
              <w:rPr>
                <w:rFonts w:ascii="宋体" w:hAnsi="宋体" w:eastAsia="宋体" w:cs="宋体"/>
                <w:sz w:val="21"/>
                <w:szCs w:val="21"/>
              </w:rPr>
            </w:pPr>
            <w:r>
              <w:rPr>
                <w:rFonts w:ascii="宋体" w:hAnsi="宋体" w:eastAsia="宋体" w:cs="宋体"/>
                <w:spacing w:val="-1"/>
                <w:sz w:val="21"/>
                <w:szCs w:val="21"/>
              </w:rPr>
              <w:t>序号</w:t>
            </w:r>
          </w:p>
        </w:tc>
        <w:tc>
          <w:tcPr>
            <w:tcW w:w="1647" w:type="dxa"/>
            <w:tcBorders>
              <w:top w:val="single" w:color="000000" w:sz="4" w:space="0"/>
              <w:left w:val="single" w:color="000000" w:sz="4" w:space="0"/>
              <w:bottom w:val="single" w:color="000000" w:sz="4" w:space="0"/>
              <w:right w:val="single" w:color="000000" w:sz="4" w:space="0"/>
            </w:tcBorders>
          </w:tcPr>
          <w:p>
            <w:pPr>
              <w:pStyle w:val="4069"/>
              <w:spacing w:line="262" w:lineRule="exact"/>
              <w:ind w:left="636" w:right="640"/>
              <w:jc w:val="center"/>
              <w:rPr>
                <w:rFonts w:ascii="宋体" w:hAnsi="宋体" w:eastAsia="宋体" w:cs="宋体"/>
                <w:sz w:val="21"/>
                <w:szCs w:val="21"/>
              </w:rPr>
            </w:pPr>
            <w:r>
              <w:rPr>
                <w:rFonts w:ascii="宋体" w:hAnsi="宋体" w:eastAsia="宋体" w:cs="宋体"/>
                <w:spacing w:val="-1"/>
                <w:sz w:val="21"/>
                <w:szCs w:val="21"/>
              </w:rPr>
              <w:t>名称</w:t>
            </w:r>
          </w:p>
        </w:tc>
        <w:tc>
          <w:tcPr>
            <w:tcW w:w="2128" w:type="dxa"/>
            <w:tcBorders>
              <w:top w:val="single" w:color="000000" w:sz="4" w:space="0"/>
              <w:left w:val="single" w:color="000000" w:sz="4" w:space="0"/>
              <w:bottom w:val="single" w:color="000000" w:sz="4" w:space="0"/>
              <w:right w:val="single" w:color="000000" w:sz="4" w:space="0"/>
            </w:tcBorders>
          </w:tcPr>
          <w:p>
            <w:pPr>
              <w:pStyle w:val="4069"/>
              <w:spacing w:line="262" w:lineRule="exact"/>
              <w:ind w:right="1"/>
              <w:jc w:val="center"/>
              <w:rPr>
                <w:rFonts w:ascii="宋体" w:hAnsi="宋体" w:eastAsia="宋体" w:cs="宋体"/>
                <w:sz w:val="21"/>
                <w:szCs w:val="21"/>
              </w:rPr>
            </w:pPr>
            <w:r>
              <w:rPr>
                <w:rFonts w:ascii="宋体" w:hAnsi="宋体" w:eastAsia="宋体" w:cs="宋体"/>
                <w:spacing w:val="-1"/>
                <w:sz w:val="21"/>
                <w:szCs w:val="21"/>
              </w:rPr>
              <w:t>数量</w:t>
            </w:r>
          </w:p>
        </w:tc>
        <w:tc>
          <w:tcPr>
            <w:tcW w:w="3565" w:type="dxa"/>
            <w:tcBorders>
              <w:top w:val="single" w:color="000000" w:sz="4" w:space="0"/>
              <w:left w:val="single" w:color="000000" w:sz="4" w:space="0"/>
              <w:bottom w:val="single" w:color="000000" w:sz="4" w:space="0"/>
              <w:right w:val="single" w:color="000000" w:sz="4" w:space="0"/>
            </w:tcBorders>
          </w:tcPr>
          <w:p>
            <w:pPr>
              <w:pStyle w:val="4069"/>
              <w:spacing w:line="262" w:lineRule="exact"/>
              <w:ind w:right="1977"/>
              <w:jc w:val="center"/>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备注</w:t>
            </w:r>
          </w:p>
        </w:tc>
      </w:tr>
      <w:tr>
        <w:tblPrEx>
          <w:tblCellMar>
            <w:top w:w="0" w:type="dxa"/>
            <w:left w:w="0" w:type="dxa"/>
            <w:bottom w:w="0" w:type="dxa"/>
            <w:right w:w="0" w:type="dxa"/>
          </w:tblCellMar>
        </w:tblPrEx>
        <w:trPr>
          <w:trHeight w:val="245" w:hRule="exact"/>
        </w:trPr>
        <w:tc>
          <w:tcPr>
            <w:tcW w:w="983" w:type="dxa"/>
            <w:tcBorders>
              <w:top w:val="single" w:color="000000" w:sz="4" w:space="0"/>
              <w:left w:val="single" w:color="000000" w:sz="4" w:space="0"/>
              <w:right w:val="single" w:color="000000" w:sz="4" w:space="0"/>
            </w:tcBorders>
            <w:vAlign w:val="center"/>
          </w:tcPr>
          <w:p>
            <w:pPr>
              <w:pStyle w:val="4069"/>
              <w:spacing w:line="240" w:lineRule="auto"/>
              <w:ind w:right="0"/>
              <w:jc w:val="center"/>
              <w:rPr>
                <w:rFonts w:ascii="宋体" w:hAnsi="宋体" w:eastAsia="宋体" w:cs="宋体"/>
                <w:sz w:val="21"/>
                <w:szCs w:val="21"/>
              </w:rPr>
            </w:pPr>
            <w:r>
              <w:rPr>
                <w:rFonts w:ascii="宋体" w:hAnsi="宋体" w:eastAsia="宋体" w:cs="宋体"/>
                <w:sz w:val="21"/>
                <w:szCs w:val="21"/>
              </w:rPr>
              <w:t>屠宰场</w:t>
            </w:r>
          </w:p>
        </w:tc>
        <w:tc>
          <w:tcPr>
            <w:tcW w:w="1647" w:type="dxa"/>
            <w:tcBorders>
              <w:top w:val="single" w:color="000000" w:sz="4" w:space="0"/>
              <w:left w:val="single" w:color="000000" w:sz="4" w:space="0"/>
              <w:bottom w:val="single" w:color="000000" w:sz="4" w:space="0"/>
              <w:right w:val="single" w:color="000000" w:sz="4" w:space="0"/>
            </w:tcBorders>
            <w:vAlign w:val="top"/>
          </w:tcPr>
          <w:p>
            <w:pPr>
              <w:pStyle w:val="4069"/>
              <w:spacing w:line="266" w:lineRule="exact"/>
              <w:ind w:left="446" w:leftChars="0" w:right="0" w:rightChars="0"/>
              <w:jc w:val="left"/>
              <w:rPr>
                <w:rFonts w:ascii="宋体" w:hAnsi="宋体" w:eastAsia="宋体" w:cs="宋体"/>
                <w:kern w:val="2"/>
                <w:sz w:val="21"/>
                <w:szCs w:val="21"/>
                <w:lang w:val="en-US" w:eastAsia="zh-CN" w:bidi="ar-SA"/>
              </w:rPr>
            </w:pPr>
            <w:r>
              <w:rPr>
                <w:rFonts w:ascii="宋体" w:hAnsi="宋体" w:eastAsia="宋体" w:cs="宋体"/>
                <w:sz w:val="21"/>
                <w:szCs w:val="21"/>
              </w:rPr>
              <w:t>优质肉牛</w:t>
            </w:r>
          </w:p>
        </w:tc>
        <w:tc>
          <w:tcPr>
            <w:tcW w:w="2128" w:type="dxa"/>
            <w:tcBorders>
              <w:top w:val="single" w:color="000000" w:sz="4" w:space="0"/>
              <w:left w:val="single" w:color="000000" w:sz="4" w:space="0"/>
              <w:bottom w:val="single" w:color="000000" w:sz="4" w:space="0"/>
              <w:right w:val="single" w:color="000000" w:sz="4" w:space="0"/>
            </w:tcBorders>
            <w:vAlign w:val="top"/>
          </w:tcPr>
          <w:p>
            <w:pPr>
              <w:pStyle w:val="4069"/>
              <w:spacing w:line="282" w:lineRule="exact"/>
              <w:ind w:left="568" w:leftChars="0" w:right="0" w:rightChars="0"/>
              <w:jc w:val="left"/>
              <w:rPr>
                <w:rFonts w:ascii="Times New Roman" w:hAnsi="Times New Roman" w:eastAsia="Times New Roman" w:cs="Times New Roman"/>
                <w:kern w:val="2"/>
                <w:sz w:val="21"/>
                <w:szCs w:val="21"/>
                <w:lang w:val="en-US" w:eastAsia="zh-CN" w:bidi="ar-SA"/>
              </w:rPr>
            </w:pPr>
            <w:r>
              <w:rPr>
                <w:rFonts w:hint="eastAsia" w:ascii="Times New Roman" w:hAnsi="Times New Roman" w:eastAsia="宋体" w:cs="Times New Roman"/>
                <w:sz w:val="21"/>
                <w:szCs w:val="21"/>
                <w:lang w:val="en-US" w:eastAsia="zh-CN"/>
              </w:rPr>
              <w:t>3</w:t>
            </w:r>
            <w:r>
              <w:rPr>
                <w:rFonts w:ascii="宋体" w:hAnsi="宋体" w:eastAsia="宋体" w:cs="宋体"/>
                <w:sz w:val="21"/>
                <w:szCs w:val="21"/>
              </w:rPr>
              <w:t>万头</w:t>
            </w:r>
            <w:r>
              <w:rPr>
                <w:rFonts w:ascii="Times New Roman" w:hAnsi="Times New Roman" w:eastAsia="Times New Roman" w:cs="Times New Roman"/>
                <w:sz w:val="21"/>
                <w:szCs w:val="21"/>
              </w:rPr>
              <w:t>/a</w:t>
            </w:r>
          </w:p>
        </w:tc>
        <w:tc>
          <w:tcPr>
            <w:tcW w:w="3565" w:type="dxa"/>
            <w:tcBorders>
              <w:top w:val="single" w:color="000000" w:sz="4" w:space="0"/>
              <w:left w:val="single" w:color="000000" w:sz="4" w:space="0"/>
              <w:bottom w:val="single" w:color="000000" w:sz="4" w:space="0"/>
              <w:right w:val="single" w:color="000000" w:sz="4" w:space="0"/>
            </w:tcBorders>
          </w:tcPr>
          <w:p>
            <w:pPr>
              <w:pStyle w:val="4069"/>
              <w:spacing w:before="36" w:line="240" w:lineRule="auto"/>
              <w:ind w:right="2154"/>
              <w:jc w:val="both"/>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CellMar>
            <w:top w:w="0" w:type="dxa"/>
            <w:left w:w="0" w:type="dxa"/>
            <w:bottom w:w="0" w:type="dxa"/>
            <w:right w:w="0" w:type="dxa"/>
          </w:tblCellMar>
        </w:tblPrEx>
        <w:trPr>
          <w:trHeight w:val="507" w:hRule="exact"/>
        </w:trPr>
        <w:tc>
          <w:tcPr>
            <w:tcW w:w="983" w:type="dxa"/>
            <w:vMerge w:val="restart"/>
            <w:tcBorders>
              <w:top w:val="single" w:color="000000" w:sz="4" w:space="0"/>
              <w:left w:val="single" w:color="000000" w:sz="4" w:space="0"/>
              <w:right w:val="single" w:color="000000" w:sz="4" w:space="0"/>
            </w:tcBorders>
            <w:vAlign w:val="center"/>
          </w:tcPr>
          <w:p>
            <w:pPr>
              <w:pStyle w:val="4069"/>
              <w:spacing w:line="240" w:lineRule="auto"/>
              <w:ind w:left="275" w:right="0"/>
              <w:jc w:val="center"/>
              <w:rPr>
                <w:rFonts w:hint="eastAsia" w:ascii="宋体" w:hAnsi="宋体" w:eastAsia="宋体" w:cs="宋体"/>
                <w:sz w:val="21"/>
                <w:szCs w:val="21"/>
                <w:lang w:eastAsia="zh-CN"/>
              </w:rPr>
            </w:pPr>
            <w:r>
              <w:rPr>
                <w:rFonts w:hint="eastAsia" w:ascii="宋体" w:hAnsi="宋体" w:eastAsia="宋体" w:cs="宋体"/>
                <w:spacing w:val="-1"/>
                <w:sz w:val="21"/>
                <w:szCs w:val="21"/>
                <w:lang w:eastAsia="zh-CN"/>
              </w:rPr>
              <w:t>能源</w:t>
            </w:r>
          </w:p>
        </w:tc>
        <w:tc>
          <w:tcPr>
            <w:tcW w:w="1647" w:type="dxa"/>
            <w:tcBorders>
              <w:top w:val="single" w:color="000000" w:sz="4" w:space="0"/>
              <w:left w:val="single" w:color="000000" w:sz="4" w:space="0"/>
              <w:bottom w:val="single" w:color="000000" w:sz="4" w:space="0"/>
              <w:right w:val="single" w:color="000000" w:sz="4" w:space="0"/>
            </w:tcBorders>
          </w:tcPr>
          <w:p>
            <w:pPr>
              <w:pStyle w:val="4069"/>
              <w:spacing w:before="144" w:line="240" w:lineRule="auto"/>
              <w:ind w:right="640"/>
              <w:jc w:val="right"/>
              <w:rPr>
                <w:rFonts w:ascii="宋体" w:hAnsi="宋体" w:eastAsia="宋体" w:cs="宋体"/>
                <w:sz w:val="21"/>
                <w:szCs w:val="21"/>
              </w:rPr>
            </w:pPr>
            <w:r>
              <w:rPr>
                <w:rFonts w:ascii="宋体" w:hAnsi="宋体" w:eastAsia="宋体" w:cs="宋体"/>
                <w:spacing w:val="-1"/>
                <w:sz w:val="21"/>
                <w:szCs w:val="21"/>
              </w:rPr>
              <w:t>液氨</w:t>
            </w:r>
          </w:p>
        </w:tc>
        <w:tc>
          <w:tcPr>
            <w:tcW w:w="2128" w:type="dxa"/>
            <w:tcBorders>
              <w:top w:val="single" w:color="000000" w:sz="4" w:space="0"/>
              <w:left w:val="single" w:color="000000" w:sz="4" w:space="0"/>
              <w:bottom w:val="single" w:color="000000" w:sz="4" w:space="0"/>
              <w:right w:val="single" w:color="000000" w:sz="4" w:space="0"/>
            </w:tcBorders>
          </w:tcPr>
          <w:p>
            <w:pPr>
              <w:pStyle w:val="4069"/>
              <w:spacing w:before="0" w:line="190" w:lineRule="exact"/>
              <w:ind w:right="0"/>
              <w:jc w:val="left"/>
              <w:rPr>
                <w:sz w:val="19"/>
                <w:szCs w:val="19"/>
              </w:rPr>
            </w:pPr>
          </w:p>
          <w:p>
            <w:pPr>
              <w:pStyle w:val="4069"/>
              <w:spacing w:line="240" w:lineRule="auto"/>
              <w:ind w:right="0"/>
              <w:jc w:val="center"/>
              <w:rPr>
                <w:rFonts w:ascii="Times New Roman" w:hAnsi="Times New Roman" w:eastAsia="Times New Roman" w:cs="Times New Roman"/>
                <w:sz w:val="21"/>
                <w:szCs w:val="21"/>
              </w:rPr>
            </w:pPr>
            <w:r>
              <w:rPr>
                <w:rFonts w:ascii="Times New Roman"/>
                <w:spacing w:val="-1"/>
                <w:sz w:val="21"/>
              </w:rPr>
              <w:t>6t/a</w:t>
            </w:r>
          </w:p>
        </w:tc>
        <w:tc>
          <w:tcPr>
            <w:tcW w:w="3565" w:type="dxa"/>
            <w:tcBorders>
              <w:top w:val="single" w:color="000000" w:sz="4" w:space="0"/>
              <w:left w:val="single" w:color="000000" w:sz="4" w:space="0"/>
              <w:bottom w:val="single" w:color="000000" w:sz="4" w:space="0"/>
              <w:right w:val="single" w:color="000000" w:sz="4" w:space="0"/>
            </w:tcBorders>
          </w:tcPr>
          <w:p>
            <w:pPr>
              <w:pStyle w:val="4069"/>
              <w:spacing w:line="276" w:lineRule="exact"/>
              <w:ind w:left="0" w:right="0"/>
              <w:jc w:val="both"/>
              <w:rPr>
                <w:rFonts w:ascii="宋体" w:hAnsi="宋体" w:eastAsia="宋体" w:cs="宋体"/>
                <w:sz w:val="21"/>
                <w:szCs w:val="21"/>
              </w:rPr>
            </w:pPr>
            <w:r>
              <w:rPr>
                <w:rFonts w:ascii="宋体" w:hAnsi="宋体" w:eastAsia="宋体" w:cs="宋体"/>
                <w:w w:val="95"/>
                <w:sz w:val="21"/>
                <w:szCs w:val="21"/>
              </w:rPr>
              <w:t>本项目冷库一次性充装液氨总计约</w:t>
            </w:r>
            <w:r>
              <w:rPr>
                <w:rFonts w:ascii="Times New Roman" w:hAnsi="Times New Roman" w:eastAsia="Times New Roman" w:cs="Times New Roman"/>
                <w:spacing w:val="-1"/>
                <w:w w:val="95"/>
                <w:sz w:val="21"/>
                <w:szCs w:val="21"/>
              </w:rPr>
              <w:t>1t</w:t>
            </w:r>
            <w:r>
              <w:rPr>
                <w:rFonts w:ascii="宋体" w:hAnsi="宋体" w:eastAsia="宋体" w:cs="宋体"/>
                <w:spacing w:val="-1"/>
                <w:w w:val="95"/>
                <w:sz w:val="21"/>
                <w:szCs w:val="21"/>
              </w:rPr>
              <w:t>，不在场</w:t>
            </w:r>
            <w:r>
              <w:rPr>
                <w:rFonts w:ascii="宋体" w:hAnsi="宋体" w:eastAsia="宋体" w:cs="宋体"/>
                <w:sz w:val="21"/>
                <w:szCs w:val="21"/>
              </w:rPr>
              <w:t>内贮存液氨。</w:t>
            </w:r>
          </w:p>
        </w:tc>
      </w:tr>
      <w:tr>
        <w:tblPrEx>
          <w:tblCellMar>
            <w:top w:w="0" w:type="dxa"/>
            <w:left w:w="0" w:type="dxa"/>
            <w:bottom w:w="0" w:type="dxa"/>
            <w:right w:w="0" w:type="dxa"/>
          </w:tblCellMar>
        </w:tblPrEx>
        <w:trPr>
          <w:trHeight w:val="357" w:hRule="exact"/>
        </w:trPr>
        <w:tc>
          <w:tcPr>
            <w:tcW w:w="983" w:type="dxa"/>
            <w:vMerge w:val="continue"/>
            <w:tcBorders>
              <w:left w:val="single" w:color="000000" w:sz="4" w:space="0"/>
              <w:right w:val="single" w:color="000000" w:sz="4" w:space="0"/>
            </w:tcBorders>
          </w:tcPr>
          <w:p/>
        </w:tc>
        <w:tc>
          <w:tcPr>
            <w:tcW w:w="1647" w:type="dxa"/>
            <w:tcBorders>
              <w:top w:val="single" w:color="000000" w:sz="4" w:space="0"/>
              <w:left w:val="single" w:color="000000" w:sz="4" w:space="0"/>
              <w:bottom w:val="single" w:color="000000" w:sz="4" w:space="0"/>
              <w:right w:val="single" w:color="000000" w:sz="4" w:space="0"/>
            </w:tcBorders>
          </w:tcPr>
          <w:p>
            <w:pPr>
              <w:pStyle w:val="4069"/>
              <w:spacing w:before="43" w:line="240" w:lineRule="auto"/>
              <w:ind w:left="741" w:right="743"/>
              <w:jc w:val="center"/>
              <w:rPr>
                <w:rFonts w:ascii="宋体" w:hAnsi="宋体" w:eastAsia="宋体" w:cs="宋体"/>
                <w:sz w:val="21"/>
                <w:szCs w:val="21"/>
              </w:rPr>
            </w:pPr>
            <w:r>
              <w:rPr>
                <w:rFonts w:ascii="宋体" w:hAnsi="宋体" w:eastAsia="宋体" w:cs="宋体"/>
                <w:sz w:val="21"/>
                <w:szCs w:val="21"/>
              </w:rPr>
              <w:t>水</w:t>
            </w:r>
          </w:p>
        </w:tc>
        <w:tc>
          <w:tcPr>
            <w:tcW w:w="2128" w:type="dxa"/>
            <w:tcBorders>
              <w:top w:val="single" w:color="000000" w:sz="4" w:space="0"/>
              <w:left w:val="single" w:color="000000" w:sz="4" w:space="0"/>
              <w:bottom w:val="single" w:color="000000" w:sz="4" w:space="0"/>
              <w:right w:val="single" w:color="000000" w:sz="4" w:space="0"/>
            </w:tcBorders>
          </w:tcPr>
          <w:p>
            <w:pPr>
              <w:pStyle w:val="4069"/>
              <w:spacing w:before="89" w:line="240" w:lineRule="auto"/>
              <w:ind w:left="427" w:right="0"/>
              <w:jc w:val="left"/>
              <w:rPr>
                <w:rFonts w:ascii="Times New Roman" w:hAnsi="Times New Roman" w:eastAsia="Times New Roman" w:cs="Times New Roman"/>
                <w:sz w:val="21"/>
                <w:szCs w:val="21"/>
              </w:rPr>
            </w:pPr>
            <w:r>
              <w:rPr>
                <w:rFonts w:hint="eastAsia" w:ascii="Times New Roman"/>
                <w:spacing w:val="-1"/>
                <w:sz w:val="21"/>
                <w:lang w:val="en-US" w:eastAsia="zh-CN"/>
              </w:rPr>
              <w:t>20830.32</w:t>
            </w:r>
            <w:r>
              <w:rPr>
                <w:rFonts w:ascii="Times New Roman"/>
                <w:spacing w:val="-1"/>
                <w:sz w:val="21"/>
              </w:rPr>
              <w:t>m</w:t>
            </w:r>
            <w:r>
              <w:rPr>
                <w:rFonts w:ascii="Times New Roman"/>
                <w:spacing w:val="-1"/>
                <w:position w:val="7"/>
                <w:sz w:val="13"/>
              </w:rPr>
              <w:t>3</w:t>
            </w:r>
            <w:r>
              <w:rPr>
                <w:rFonts w:ascii="Times New Roman"/>
                <w:spacing w:val="-1"/>
                <w:sz w:val="21"/>
              </w:rPr>
              <w:t>/a</w:t>
            </w:r>
          </w:p>
        </w:tc>
        <w:tc>
          <w:tcPr>
            <w:tcW w:w="3565" w:type="dxa"/>
            <w:tcBorders>
              <w:top w:val="single" w:color="000000" w:sz="4" w:space="0"/>
              <w:left w:val="single" w:color="000000" w:sz="4" w:space="0"/>
              <w:bottom w:val="single" w:color="000000" w:sz="4" w:space="0"/>
              <w:right w:val="single" w:color="000000" w:sz="4" w:space="0"/>
            </w:tcBorders>
          </w:tcPr>
          <w:p>
            <w:pPr>
              <w:rPr>
                <w:rFonts w:hint="default" w:eastAsia="宋体"/>
                <w:lang w:val="en-US" w:eastAsia="zh-CN"/>
              </w:rPr>
            </w:pPr>
            <w:r>
              <w:rPr>
                <w:rFonts w:hint="eastAsia"/>
                <w:lang w:eastAsia="zh-CN"/>
              </w:rPr>
              <w:t>生产、生活用水（不含消防用水）</w:t>
            </w:r>
          </w:p>
        </w:tc>
      </w:tr>
      <w:tr>
        <w:tblPrEx>
          <w:tblCellMar>
            <w:top w:w="0" w:type="dxa"/>
            <w:left w:w="0" w:type="dxa"/>
            <w:bottom w:w="0" w:type="dxa"/>
            <w:right w:w="0" w:type="dxa"/>
          </w:tblCellMar>
        </w:tblPrEx>
        <w:trPr>
          <w:trHeight w:val="295" w:hRule="exact"/>
        </w:trPr>
        <w:tc>
          <w:tcPr>
            <w:tcW w:w="983" w:type="dxa"/>
            <w:vMerge w:val="continue"/>
            <w:tcBorders>
              <w:left w:val="single" w:color="000000" w:sz="4" w:space="0"/>
              <w:bottom w:val="single" w:color="000000" w:sz="6" w:space="0"/>
              <w:right w:val="single" w:color="000000" w:sz="4" w:space="0"/>
            </w:tcBorders>
          </w:tcPr>
          <w:p/>
        </w:tc>
        <w:tc>
          <w:tcPr>
            <w:tcW w:w="1647" w:type="dxa"/>
            <w:tcBorders>
              <w:top w:val="single" w:color="000000" w:sz="4" w:space="0"/>
              <w:left w:val="single" w:color="000000" w:sz="4" w:space="0"/>
              <w:bottom w:val="single" w:color="000000" w:sz="6" w:space="0"/>
              <w:right w:val="single" w:color="000000" w:sz="4" w:space="0"/>
            </w:tcBorders>
          </w:tcPr>
          <w:p>
            <w:pPr>
              <w:pStyle w:val="4069"/>
              <w:spacing w:line="266" w:lineRule="exact"/>
              <w:ind w:left="741" w:right="743"/>
              <w:jc w:val="center"/>
              <w:rPr>
                <w:rFonts w:ascii="宋体" w:hAnsi="宋体" w:eastAsia="宋体" w:cs="宋体"/>
                <w:sz w:val="21"/>
                <w:szCs w:val="21"/>
              </w:rPr>
            </w:pPr>
            <w:r>
              <w:rPr>
                <w:rFonts w:ascii="宋体" w:hAnsi="宋体" w:eastAsia="宋体" w:cs="宋体"/>
                <w:sz w:val="21"/>
                <w:szCs w:val="21"/>
              </w:rPr>
              <w:t>电</w:t>
            </w:r>
          </w:p>
        </w:tc>
        <w:tc>
          <w:tcPr>
            <w:tcW w:w="2128" w:type="dxa"/>
            <w:tcBorders>
              <w:top w:val="single" w:color="000000" w:sz="4" w:space="0"/>
              <w:left w:val="single" w:color="000000" w:sz="4" w:space="0"/>
              <w:bottom w:val="single" w:color="000000" w:sz="6" w:space="0"/>
              <w:right w:val="single" w:color="000000" w:sz="4" w:space="0"/>
            </w:tcBorders>
          </w:tcPr>
          <w:p>
            <w:pPr>
              <w:pStyle w:val="4069"/>
              <w:spacing w:line="282" w:lineRule="exact"/>
              <w:ind w:left="492" w:right="0"/>
              <w:jc w:val="left"/>
              <w:rPr>
                <w:rFonts w:ascii="Times New Roman" w:hAnsi="Times New Roman" w:eastAsia="Times New Roman" w:cs="Times New Roman"/>
                <w:sz w:val="21"/>
                <w:szCs w:val="21"/>
              </w:rPr>
            </w:pPr>
            <w:r>
              <w:rPr>
                <w:rFonts w:hint="eastAsia" w:ascii="宋体" w:hAnsi="宋体" w:eastAsia="宋体" w:cs="宋体"/>
                <w:spacing w:val="-1"/>
                <w:w w:val="95"/>
                <w:sz w:val="21"/>
                <w:szCs w:val="21"/>
                <w:lang w:val="en-US" w:eastAsia="zh-CN"/>
              </w:rPr>
              <w:t>711360</w:t>
            </w:r>
            <w:r>
              <w:rPr>
                <w:rFonts w:ascii="宋体" w:hAnsi="宋体" w:eastAsia="宋体" w:cs="宋体"/>
                <w:spacing w:val="-1"/>
                <w:w w:val="95"/>
                <w:sz w:val="21"/>
                <w:szCs w:val="21"/>
              </w:rPr>
              <w:t xml:space="preserve"> kw</w:t>
            </w:r>
            <w:r>
              <w:rPr>
                <w:rFonts w:hint="eastAsia" w:ascii="宋体" w:hAnsi="宋体" w:eastAsia="宋体" w:cs="宋体"/>
                <w:spacing w:val="-1"/>
                <w:w w:val="95"/>
                <w:sz w:val="21"/>
                <w:szCs w:val="21"/>
                <w:lang w:val="en-US" w:eastAsia="zh-CN"/>
              </w:rPr>
              <w:t>·h</w:t>
            </w:r>
            <w:r>
              <w:rPr>
                <w:rFonts w:ascii="宋体" w:hAnsi="宋体" w:eastAsia="宋体" w:cs="宋体"/>
                <w:spacing w:val="-1"/>
                <w:w w:val="95"/>
                <w:sz w:val="21"/>
                <w:szCs w:val="21"/>
              </w:rPr>
              <w:t>/a</w:t>
            </w:r>
          </w:p>
        </w:tc>
        <w:tc>
          <w:tcPr>
            <w:tcW w:w="3565" w:type="dxa"/>
            <w:tcBorders>
              <w:top w:val="single" w:color="000000" w:sz="4" w:space="0"/>
              <w:left w:val="single" w:color="000000" w:sz="4" w:space="0"/>
              <w:bottom w:val="single" w:color="000000" w:sz="6" w:space="0"/>
              <w:right w:val="single" w:color="000000" w:sz="4" w:space="0"/>
            </w:tcBorders>
          </w:tcPr>
          <w:p>
            <w:pPr>
              <w:pStyle w:val="4069"/>
              <w:spacing w:line="266" w:lineRule="exact"/>
              <w:ind w:right="1977"/>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pPr>
        <w:pStyle w:val="6"/>
      </w:pPr>
      <w:bookmarkStart w:id="137" w:name="_Toc23320"/>
      <w:r>
        <w:rPr>
          <w:rFonts w:hint="eastAsia"/>
          <w:lang w:eastAsia="zh-CN"/>
        </w:rPr>
        <w:t>主要经济技术指标</w:t>
      </w:r>
      <w:bookmarkEnd w:id="137"/>
    </w:p>
    <w:p>
      <w:pPr>
        <w:pStyle w:val="2"/>
        <w:rPr>
          <w:rFonts w:hint="eastAsia"/>
          <w:color w:val="auto"/>
          <w:kern w:val="0"/>
          <w:sz w:val="24"/>
          <w:lang w:eastAsia="zh-CN"/>
        </w:rPr>
      </w:pPr>
      <w:r>
        <w:rPr>
          <w:rFonts w:hint="eastAsia"/>
          <w:color w:val="auto"/>
          <w:kern w:val="0"/>
          <w:sz w:val="24"/>
          <w:lang w:eastAsia="zh-CN"/>
        </w:rPr>
        <w:t>项目主要经济技术指标指标如表3.</w:t>
      </w:r>
      <w:r>
        <w:rPr>
          <w:rFonts w:hint="eastAsia"/>
          <w:color w:val="auto"/>
          <w:kern w:val="0"/>
          <w:sz w:val="24"/>
          <w:lang w:val="en-US" w:eastAsia="zh-CN"/>
        </w:rPr>
        <w:t>2</w:t>
      </w:r>
      <w:r>
        <w:rPr>
          <w:rFonts w:hint="eastAsia"/>
          <w:color w:val="auto"/>
          <w:kern w:val="0"/>
          <w:sz w:val="24"/>
          <w:lang w:eastAsia="zh-CN"/>
        </w:rPr>
        <w:t>-4所示：</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4</w:t>
      </w:r>
      <w:r>
        <w:rPr>
          <w:b/>
          <w:sz w:val="24"/>
        </w:rPr>
        <w:t xml:space="preserve"> </w:t>
      </w:r>
      <w:r>
        <w:rPr>
          <w:rFonts w:hint="eastAsia"/>
          <w:b/>
          <w:sz w:val="24"/>
          <w:lang w:val="en-US" w:eastAsia="zh-CN"/>
        </w:rPr>
        <w:t xml:space="preserve">  主要经济技术指标表</w:t>
      </w:r>
    </w:p>
    <w:tbl>
      <w:tblPr>
        <w:tblStyle w:val="88"/>
        <w:tblW w:w="8338" w:type="dxa"/>
        <w:tblInd w:w="153" w:type="dxa"/>
        <w:tblLayout w:type="fixed"/>
        <w:tblCellMar>
          <w:top w:w="0" w:type="dxa"/>
          <w:left w:w="0" w:type="dxa"/>
          <w:bottom w:w="0" w:type="dxa"/>
          <w:right w:w="0" w:type="dxa"/>
        </w:tblCellMar>
      </w:tblPr>
      <w:tblGrid>
        <w:gridCol w:w="532"/>
        <w:gridCol w:w="3244"/>
        <w:gridCol w:w="1554"/>
        <w:gridCol w:w="3008"/>
      </w:tblGrid>
      <w:tr>
        <w:tblPrEx>
          <w:tblCellMar>
            <w:top w:w="0" w:type="dxa"/>
            <w:left w:w="0" w:type="dxa"/>
            <w:bottom w:w="0" w:type="dxa"/>
            <w:right w:w="0" w:type="dxa"/>
          </w:tblCellMar>
        </w:tblPrEx>
        <w:trPr>
          <w:trHeight w:val="324"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42" w:lineRule="exact"/>
              <w:ind w:right="0"/>
              <w:jc w:val="center"/>
              <w:rPr>
                <w:rFonts w:hint="eastAsia" w:ascii="宋体" w:hAnsi="宋体" w:eastAsia="宋体" w:cs="宋体"/>
                <w:sz w:val="21"/>
                <w:szCs w:val="21"/>
                <w:lang w:eastAsia="zh-CN"/>
              </w:rPr>
            </w:pPr>
            <w:r>
              <w:rPr>
                <w:rFonts w:hint="eastAsia" w:ascii="宋体" w:hAnsi="宋体" w:eastAsia="宋体" w:cs="宋体"/>
                <w:b/>
                <w:bCs/>
                <w:spacing w:val="2"/>
                <w:sz w:val="21"/>
                <w:szCs w:val="21"/>
                <w:lang w:eastAsia="zh-CN"/>
              </w:rPr>
              <w:t>名称</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line="242" w:lineRule="exact"/>
              <w:ind w:left="3" w:right="0"/>
              <w:jc w:val="center"/>
              <w:rPr>
                <w:rFonts w:hint="eastAsia" w:ascii="宋体" w:hAnsi="宋体" w:eastAsia="宋体" w:cs="宋体"/>
                <w:sz w:val="21"/>
                <w:szCs w:val="21"/>
                <w:lang w:eastAsia="zh-CN"/>
              </w:rPr>
            </w:pPr>
            <w:r>
              <w:rPr>
                <w:rFonts w:hint="eastAsia" w:ascii="宋体" w:hAnsi="宋体" w:eastAsia="宋体" w:cs="宋体"/>
                <w:b/>
                <w:bCs/>
                <w:spacing w:val="1"/>
                <w:sz w:val="21"/>
                <w:szCs w:val="21"/>
                <w:lang w:eastAsia="zh-CN"/>
              </w:rPr>
              <w:t>单位</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line="242" w:lineRule="exact"/>
              <w:ind w:left="501" w:right="502"/>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规模</w:t>
            </w:r>
          </w:p>
        </w:tc>
      </w:tr>
      <w:tr>
        <w:tblPrEx>
          <w:tblCellMar>
            <w:top w:w="0" w:type="dxa"/>
            <w:left w:w="0" w:type="dxa"/>
            <w:bottom w:w="0" w:type="dxa"/>
            <w:right w:w="0" w:type="dxa"/>
          </w:tblCellMar>
        </w:tblPrEx>
        <w:trPr>
          <w:trHeight w:val="323"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40" w:lineRule="exact"/>
              <w:ind w:left="1253"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地块面积</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19393.45（合29.09亩）</w:t>
            </w:r>
          </w:p>
        </w:tc>
      </w:tr>
      <w:tr>
        <w:tblPrEx>
          <w:tblCellMar>
            <w:top w:w="0" w:type="dxa"/>
            <w:left w:w="0" w:type="dxa"/>
            <w:bottom w:w="0" w:type="dxa"/>
            <w:right w:w="0" w:type="dxa"/>
          </w:tblCellMar>
        </w:tblPrEx>
        <w:trPr>
          <w:trHeight w:val="323"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41" w:lineRule="exact"/>
              <w:ind w:left="1253" w:right="0"/>
              <w:jc w:val="left"/>
              <w:rPr>
                <w:rFonts w:ascii="宋体" w:hAnsi="宋体" w:eastAsia="宋体" w:cs="宋体"/>
                <w:sz w:val="21"/>
                <w:szCs w:val="21"/>
              </w:rPr>
            </w:pPr>
            <w:r>
              <w:rPr>
                <w:rFonts w:ascii="宋体" w:hAnsi="宋体" w:eastAsia="宋体" w:cs="宋体"/>
                <w:sz w:val="21"/>
                <w:szCs w:val="21"/>
              </w:rPr>
              <w:t>总建筑面积</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7962.14</w:t>
            </w:r>
          </w:p>
        </w:tc>
      </w:tr>
      <w:tr>
        <w:tblPrEx>
          <w:tblCellMar>
            <w:top w:w="0" w:type="dxa"/>
            <w:left w:w="0" w:type="dxa"/>
            <w:bottom w:w="0" w:type="dxa"/>
            <w:right w:w="0" w:type="dxa"/>
          </w:tblCellMar>
        </w:tblPrEx>
        <w:trPr>
          <w:trHeight w:val="323" w:hRule="exact"/>
        </w:trPr>
        <w:tc>
          <w:tcPr>
            <w:tcW w:w="532" w:type="dxa"/>
            <w:vMerge w:val="restart"/>
            <w:tcBorders>
              <w:top w:val="single" w:color="000000" w:sz="4" w:space="0"/>
              <w:left w:val="single" w:color="000000" w:sz="4" w:space="0"/>
              <w:right w:val="single" w:color="000000" w:sz="4" w:space="0"/>
            </w:tcBorders>
          </w:tcPr>
          <w:p>
            <w:pPr>
              <w:pStyle w:val="4069"/>
              <w:spacing w:line="275" w:lineRule="auto"/>
              <w:ind w:left="156" w:right="157"/>
              <w:jc w:val="left"/>
              <w:rPr>
                <w:rFonts w:ascii="宋体" w:hAnsi="宋体" w:eastAsia="宋体" w:cs="宋体"/>
                <w:sz w:val="21"/>
                <w:szCs w:val="21"/>
              </w:rPr>
            </w:pPr>
            <w:r>
              <w:rPr>
                <w:rFonts w:ascii="宋体" w:hAnsi="宋体" w:eastAsia="宋体" w:cs="宋体"/>
                <w:sz w:val="21"/>
                <w:szCs w:val="21"/>
              </w:rPr>
              <w:t>其</w:t>
            </w:r>
            <w:r>
              <w:rPr>
                <w:rFonts w:ascii="宋体" w:hAnsi="宋体" w:eastAsia="宋体" w:cs="宋体"/>
                <w:w w:val="99"/>
                <w:sz w:val="21"/>
                <w:szCs w:val="21"/>
              </w:rPr>
              <w:t xml:space="preserve"> </w:t>
            </w:r>
            <w:r>
              <w:rPr>
                <w:rFonts w:ascii="宋体" w:hAnsi="宋体" w:eastAsia="宋体" w:cs="宋体"/>
                <w:sz w:val="21"/>
                <w:szCs w:val="21"/>
              </w:rPr>
              <w:t>中</w:t>
            </w:r>
          </w:p>
        </w:tc>
        <w:tc>
          <w:tcPr>
            <w:tcW w:w="3244" w:type="dxa"/>
            <w:tcBorders>
              <w:top w:val="single" w:color="000000" w:sz="4" w:space="0"/>
              <w:left w:val="single" w:color="000000" w:sz="4" w:space="0"/>
              <w:bottom w:val="single" w:color="000000" w:sz="4" w:space="0"/>
              <w:right w:val="single" w:color="000000" w:sz="4" w:space="0"/>
            </w:tcBorders>
          </w:tcPr>
          <w:p>
            <w:pPr>
              <w:pStyle w:val="4069"/>
              <w:spacing w:line="240" w:lineRule="exact"/>
              <w:ind w:left="776" w:right="0"/>
              <w:jc w:val="left"/>
              <w:rPr>
                <w:rFonts w:ascii="宋体" w:hAnsi="宋体" w:eastAsia="宋体" w:cs="宋体"/>
                <w:sz w:val="21"/>
                <w:szCs w:val="21"/>
              </w:rPr>
            </w:pPr>
            <w:r>
              <w:rPr>
                <w:rFonts w:ascii="宋体" w:hAnsi="宋体" w:eastAsia="宋体" w:cs="宋体"/>
                <w:sz w:val="21"/>
                <w:szCs w:val="21"/>
              </w:rPr>
              <w:t>屠宰间</w:t>
            </w:r>
            <w:r>
              <w:rPr>
                <w:rFonts w:hint="eastAsia" w:ascii="宋体" w:hAnsi="宋体" w:eastAsia="宋体" w:cs="宋体"/>
                <w:sz w:val="21"/>
                <w:szCs w:val="21"/>
                <w:lang w:eastAsia="zh-CN"/>
              </w:rPr>
              <w:t>车</w:t>
            </w:r>
            <w:r>
              <w:rPr>
                <w:rFonts w:ascii="宋体" w:hAnsi="宋体" w:eastAsia="宋体" w:cs="宋体"/>
                <w:sz w:val="21"/>
                <w:szCs w:val="21"/>
              </w:rPr>
              <w:t>间</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5986.00</w:t>
            </w:r>
          </w:p>
        </w:tc>
      </w:tr>
      <w:tr>
        <w:tblPrEx>
          <w:tblCellMar>
            <w:top w:w="0" w:type="dxa"/>
            <w:left w:w="0" w:type="dxa"/>
            <w:bottom w:w="0" w:type="dxa"/>
            <w:right w:w="0" w:type="dxa"/>
          </w:tblCellMar>
        </w:tblPrEx>
        <w:trPr>
          <w:trHeight w:val="324" w:hRule="exact"/>
        </w:trPr>
        <w:tc>
          <w:tcPr>
            <w:tcW w:w="532" w:type="dxa"/>
            <w:vMerge w:val="continue"/>
            <w:tcBorders>
              <w:left w:val="single" w:color="000000" w:sz="4" w:space="0"/>
              <w:right w:val="single" w:color="000000" w:sz="4" w:space="0"/>
            </w:tcBorders>
          </w:tcPr>
          <w:p/>
        </w:tc>
        <w:tc>
          <w:tcPr>
            <w:tcW w:w="3244" w:type="dxa"/>
            <w:tcBorders>
              <w:top w:val="single" w:color="000000" w:sz="4" w:space="0"/>
              <w:left w:val="single" w:color="000000" w:sz="4" w:space="0"/>
              <w:bottom w:val="single" w:color="000000" w:sz="4" w:space="0"/>
              <w:right w:val="single" w:color="000000" w:sz="4" w:space="0"/>
            </w:tcBorders>
          </w:tcPr>
          <w:p>
            <w:pPr>
              <w:pStyle w:val="4069"/>
              <w:spacing w:line="241" w:lineRule="exact"/>
              <w:ind w:left="673"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屠宰区配套用房</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559.14</w:t>
            </w:r>
          </w:p>
        </w:tc>
      </w:tr>
      <w:tr>
        <w:tblPrEx>
          <w:tblCellMar>
            <w:top w:w="0" w:type="dxa"/>
            <w:left w:w="0" w:type="dxa"/>
            <w:bottom w:w="0" w:type="dxa"/>
            <w:right w:w="0" w:type="dxa"/>
          </w:tblCellMar>
        </w:tblPrEx>
        <w:trPr>
          <w:trHeight w:val="323" w:hRule="exact"/>
        </w:trPr>
        <w:tc>
          <w:tcPr>
            <w:tcW w:w="532" w:type="dxa"/>
            <w:vMerge w:val="continue"/>
            <w:tcBorders>
              <w:left w:val="single" w:color="000000" w:sz="4" w:space="0"/>
              <w:right w:val="single" w:color="000000" w:sz="4" w:space="0"/>
            </w:tcBorders>
          </w:tcPr>
          <w:p/>
        </w:tc>
        <w:tc>
          <w:tcPr>
            <w:tcW w:w="3244" w:type="dxa"/>
            <w:tcBorders>
              <w:top w:val="single" w:color="000000" w:sz="4" w:space="0"/>
              <w:left w:val="single" w:color="000000" w:sz="4" w:space="0"/>
              <w:bottom w:val="single" w:color="000000" w:sz="4" w:space="0"/>
              <w:right w:val="single" w:color="000000" w:sz="4" w:space="0"/>
            </w:tcBorders>
          </w:tcPr>
          <w:p>
            <w:pPr>
              <w:pStyle w:val="4069"/>
              <w:spacing w:line="239" w:lineRule="exact"/>
              <w:ind w:left="882"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屠宰区污水处理</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675.00</w:t>
            </w:r>
          </w:p>
        </w:tc>
      </w:tr>
      <w:tr>
        <w:tblPrEx>
          <w:tblCellMar>
            <w:top w:w="0" w:type="dxa"/>
            <w:left w:w="0" w:type="dxa"/>
            <w:bottom w:w="0" w:type="dxa"/>
            <w:right w:w="0" w:type="dxa"/>
          </w:tblCellMar>
        </w:tblPrEx>
        <w:trPr>
          <w:trHeight w:val="323" w:hRule="exact"/>
        </w:trPr>
        <w:tc>
          <w:tcPr>
            <w:tcW w:w="532" w:type="dxa"/>
            <w:vMerge w:val="continue"/>
            <w:tcBorders>
              <w:left w:val="single" w:color="000000" w:sz="4" w:space="0"/>
              <w:right w:val="single" w:color="000000" w:sz="4" w:space="0"/>
            </w:tcBorders>
          </w:tcPr>
          <w:p/>
        </w:tc>
        <w:tc>
          <w:tcPr>
            <w:tcW w:w="3244" w:type="dxa"/>
            <w:tcBorders>
              <w:top w:val="single" w:color="000000" w:sz="4" w:space="0"/>
              <w:left w:val="single" w:color="000000" w:sz="4" w:space="0"/>
              <w:bottom w:val="single" w:color="000000" w:sz="4" w:space="0"/>
              <w:right w:val="single" w:color="000000" w:sz="4" w:space="0"/>
            </w:tcBorders>
          </w:tcPr>
          <w:p>
            <w:pPr>
              <w:pStyle w:val="4069"/>
              <w:spacing w:line="240" w:lineRule="exact"/>
              <w:ind w:left="987"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肉牛待宰圈</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630.00</w:t>
            </w:r>
          </w:p>
        </w:tc>
      </w:tr>
      <w:tr>
        <w:tblPrEx>
          <w:tblCellMar>
            <w:top w:w="0" w:type="dxa"/>
            <w:left w:w="0" w:type="dxa"/>
            <w:bottom w:w="0" w:type="dxa"/>
            <w:right w:w="0" w:type="dxa"/>
          </w:tblCellMar>
        </w:tblPrEx>
        <w:trPr>
          <w:trHeight w:val="323" w:hRule="exact"/>
        </w:trPr>
        <w:tc>
          <w:tcPr>
            <w:tcW w:w="532" w:type="dxa"/>
            <w:vMerge w:val="continue"/>
            <w:tcBorders>
              <w:left w:val="single" w:color="000000" w:sz="4" w:space="0"/>
              <w:right w:val="single" w:color="000000" w:sz="4" w:space="0"/>
            </w:tcBorders>
          </w:tcPr>
          <w:p/>
        </w:tc>
        <w:tc>
          <w:tcPr>
            <w:tcW w:w="3244" w:type="dxa"/>
            <w:tcBorders>
              <w:top w:val="single" w:color="000000" w:sz="4" w:space="0"/>
              <w:left w:val="single" w:color="000000" w:sz="4" w:space="0"/>
              <w:bottom w:val="single" w:color="000000" w:sz="4" w:space="0"/>
              <w:right w:val="single" w:color="000000" w:sz="4" w:space="0"/>
            </w:tcBorders>
          </w:tcPr>
          <w:p>
            <w:pPr>
              <w:pStyle w:val="4069"/>
              <w:spacing w:line="241" w:lineRule="exact"/>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大门</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112.00</w:t>
            </w:r>
          </w:p>
        </w:tc>
      </w:tr>
      <w:tr>
        <w:tblPrEx>
          <w:tblCellMar>
            <w:top w:w="0" w:type="dxa"/>
            <w:left w:w="0" w:type="dxa"/>
            <w:bottom w:w="0" w:type="dxa"/>
            <w:right w:w="0" w:type="dxa"/>
          </w:tblCellMar>
        </w:tblPrEx>
        <w:trPr>
          <w:trHeight w:val="324"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41" w:lineRule="exact"/>
              <w:ind w:right="144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占地面积（合计）</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r>
              <w:rPr>
                <w:rFonts w:hint="eastAsia" w:eastAsia="宋体" w:cs="Times New Roman"/>
                <w:sz w:val="21"/>
                <w:szCs w:val="21"/>
                <w:lang w:val="en-US" w:eastAsia="zh-CN"/>
              </w:rPr>
              <w:t>m</w:t>
            </w:r>
            <w:r>
              <w:rPr>
                <w:rFonts w:hint="eastAsia" w:eastAsia="宋体" w:cs="Times New Roman"/>
                <w:sz w:val="21"/>
                <w:szCs w:val="21"/>
                <w:vertAlign w:val="superscript"/>
                <w:lang w:val="en-US" w:eastAsia="zh-CN"/>
              </w:rPr>
              <w:t>2</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7188.00</w:t>
            </w:r>
          </w:p>
        </w:tc>
      </w:tr>
      <w:tr>
        <w:tblPrEx>
          <w:tblCellMar>
            <w:top w:w="0" w:type="dxa"/>
            <w:left w:w="0" w:type="dxa"/>
            <w:bottom w:w="0" w:type="dxa"/>
            <w:right w:w="0" w:type="dxa"/>
          </w:tblCellMar>
        </w:tblPrEx>
        <w:trPr>
          <w:trHeight w:val="323"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39" w:lineRule="exact"/>
              <w:ind w:left="1441" w:right="1446"/>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建筑密度</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37.06</w:t>
            </w:r>
          </w:p>
        </w:tc>
      </w:tr>
      <w:tr>
        <w:tblPrEx>
          <w:tblCellMar>
            <w:top w:w="0" w:type="dxa"/>
            <w:left w:w="0" w:type="dxa"/>
            <w:bottom w:w="0" w:type="dxa"/>
            <w:right w:w="0" w:type="dxa"/>
          </w:tblCellMar>
        </w:tblPrEx>
        <w:trPr>
          <w:trHeight w:val="323"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40" w:lineRule="exact"/>
              <w:ind w:left="1147"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容积率</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ascii="Times New Roman" w:hAnsi="Times New Roman" w:eastAsia="Times New Roman" w:cs="Times New Roman"/>
                <w:sz w:val="21"/>
                <w:szCs w:val="21"/>
              </w:rPr>
            </w:pP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0.411</w:t>
            </w:r>
          </w:p>
        </w:tc>
      </w:tr>
      <w:tr>
        <w:tblPrEx>
          <w:tblCellMar>
            <w:top w:w="0" w:type="dxa"/>
            <w:left w:w="0" w:type="dxa"/>
            <w:bottom w:w="0" w:type="dxa"/>
            <w:right w:w="0" w:type="dxa"/>
          </w:tblCellMar>
        </w:tblPrEx>
        <w:trPr>
          <w:trHeight w:val="323" w:hRule="exact"/>
        </w:trPr>
        <w:tc>
          <w:tcPr>
            <w:tcW w:w="3776" w:type="dxa"/>
            <w:gridSpan w:val="2"/>
            <w:tcBorders>
              <w:top w:val="single" w:color="000000" w:sz="4" w:space="0"/>
              <w:left w:val="single" w:color="000000" w:sz="4" w:space="0"/>
              <w:bottom w:val="single" w:color="000000" w:sz="4" w:space="0"/>
              <w:right w:val="single" w:color="000000" w:sz="4" w:space="0"/>
            </w:tcBorders>
          </w:tcPr>
          <w:p>
            <w:pPr>
              <w:pStyle w:val="4069"/>
              <w:spacing w:line="241" w:lineRule="exact"/>
              <w:ind w:left="1147"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绿化率</w:t>
            </w:r>
          </w:p>
        </w:tc>
        <w:tc>
          <w:tcPr>
            <w:tcW w:w="1554"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eastAsia" w:ascii="Times New Roman" w:hAnsi="Times New Roman" w:eastAsia="宋体" w:cs="Times New Roman"/>
                <w:sz w:val="21"/>
                <w:szCs w:val="21"/>
                <w:lang w:val="en-US" w:eastAsia="zh-CN"/>
              </w:rPr>
            </w:pPr>
            <w:r>
              <w:rPr>
                <w:rFonts w:hint="eastAsia" w:eastAsia="宋体" w:cs="Times New Roman"/>
                <w:sz w:val="21"/>
                <w:szCs w:val="21"/>
                <w:lang w:val="en-US" w:eastAsia="zh-CN"/>
              </w:rPr>
              <w:t>%</w:t>
            </w:r>
          </w:p>
        </w:tc>
        <w:tc>
          <w:tcPr>
            <w:tcW w:w="3008" w:type="dxa"/>
            <w:tcBorders>
              <w:top w:val="single" w:color="000000" w:sz="4" w:space="0"/>
              <w:left w:val="single" w:color="000000" w:sz="4" w:space="0"/>
              <w:bottom w:val="single" w:color="000000" w:sz="4" w:space="0"/>
              <w:right w:val="single" w:color="000000" w:sz="4" w:space="0"/>
            </w:tcBorders>
          </w:tcPr>
          <w:p>
            <w:pPr>
              <w:pStyle w:val="4069"/>
              <w:spacing w:before="1" w:line="240" w:lineRule="auto"/>
              <w:ind w:right="0"/>
              <w:jc w:val="center"/>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10</w:t>
            </w:r>
          </w:p>
        </w:tc>
      </w:tr>
    </w:tbl>
    <w:p>
      <w:pPr>
        <w:pStyle w:val="6"/>
      </w:pPr>
      <w:bookmarkStart w:id="138" w:name="_Toc3702"/>
      <w:r>
        <w:rPr>
          <w:rFonts w:hint="eastAsia"/>
          <w:lang w:eastAsia="zh-CN"/>
        </w:rPr>
        <w:t>生产设备</w:t>
      </w:r>
      <w:bookmarkEnd w:id="138"/>
    </w:p>
    <w:p>
      <w:pPr>
        <w:pStyle w:val="2"/>
        <w:rPr>
          <w:rFonts w:hint="default"/>
          <w:color w:val="auto"/>
          <w:kern w:val="0"/>
          <w:sz w:val="24"/>
          <w:lang w:val="en-US" w:eastAsia="zh-CN"/>
        </w:rPr>
      </w:pPr>
      <w:r>
        <w:rPr>
          <w:rFonts w:hint="eastAsia"/>
          <w:color w:val="auto"/>
          <w:kern w:val="0"/>
          <w:sz w:val="24"/>
          <w:lang w:eastAsia="zh-CN"/>
        </w:rPr>
        <w:t>项目主要生产设备见表</w:t>
      </w:r>
      <w:r>
        <w:rPr>
          <w:rFonts w:hint="eastAsia"/>
          <w:color w:val="auto"/>
          <w:kern w:val="0"/>
          <w:sz w:val="24"/>
          <w:lang w:val="en-US" w:eastAsia="zh-CN"/>
        </w:rPr>
        <w:t>3.2-5。</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5</w:t>
      </w:r>
      <w:r>
        <w:rPr>
          <w:b/>
          <w:sz w:val="24"/>
        </w:rPr>
        <w:t xml:space="preserve"> </w:t>
      </w:r>
      <w:r>
        <w:rPr>
          <w:rFonts w:hint="eastAsia"/>
          <w:b/>
          <w:sz w:val="24"/>
          <w:lang w:val="en-US" w:eastAsia="zh-CN"/>
        </w:rPr>
        <w:t xml:space="preserve">  主要屠宰设备一览表</w:t>
      </w:r>
    </w:p>
    <w:tbl>
      <w:tblPr>
        <w:tblStyle w:val="88"/>
        <w:tblW w:w="4998" w:type="pct"/>
        <w:jc w:val="center"/>
        <w:shd w:val="clear" w:color="auto" w:fill="auto"/>
        <w:tblLayout w:type="autofit"/>
        <w:tblCellMar>
          <w:top w:w="0" w:type="dxa"/>
          <w:left w:w="0" w:type="dxa"/>
          <w:bottom w:w="0" w:type="dxa"/>
          <w:right w:w="0" w:type="dxa"/>
        </w:tblCellMar>
      </w:tblPr>
      <w:tblGrid>
        <w:gridCol w:w="430"/>
        <w:gridCol w:w="2230"/>
        <w:gridCol w:w="430"/>
        <w:gridCol w:w="430"/>
        <w:gridCol w:w="4819"/>
      </w:tblGrid>
      <w:tr>
        <w:tblPrEx>
          <w:shd w:val="clear" w:color="auto" w:fill="auto"/>
          <w:tblCellMar>
            <w:top w:w="0" w:type="dxa"/>
            <w:left w:w="0" w:type="dxa"/>
            <w:bottom w:w="0" w:type="dxa"/>
            <w:right w:w="0" w:type="dxa"/>
          </w:tblCellMar>
        </w:tblPrEx>
        <w:trPr>
          <w:trHeight w:val="2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序号</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设备名称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单位</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数量</w:t>
            </w:r>
          </w:p>
        </w:tc>
        <w:tc>
          <w:tcPr>
            <w:tcW w:w="3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备注</w:t>
            </w:r>
          </w:p>
        </w:tc>
      </w:tr>
      <w:tr>
        <w:tblPrEx>
          <w:tblCellMar>
            <w:top w:w="0" w:type="dxa"/>
            <w:left w:w="0" w:type="dxa"/>
            <w:bottom w:w="0" w:type="dxa"/>
            <w:right w:w="0" w:type="dxa"/>
          </w:tblCellMar>
        </w:tblPrEx>
        <w:trPr>
          <w:trHeight w:val="9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欧式夹头翻板箱</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外型尺寸: 2700×900×2000mm (长×宽×高)，带一套夹牛头装置。主机架采用80×80×8角钢焊接而成，箱板采厚: 5mm普通热镀锌板材。1套气动上下活动门，1套二次翻板控制机构，岗位手动控制该箱用于击晕后刺杀，也可用于活牛吊挂后剌杀:热镀锌结构，含气缸，阀门及其他气动元件，配有重直升降门，带有推牛装置，侧板固定牛装置，牛头固定装置，托牛脖装置</w:t>
            </w:r>
          </w:p>
        </w:tc>
      </w:tr>
      <w:tr>
        <w:tblPrEx>
          <w:tblCellMar>
            <w:top w:w="0" w:type="dxa"/>
            <w:left w:w="0" w:type="dxa"/>
            <w:bottom w:w="0" w:type="dxa"/>
            <w:right w:w="0" w:type="dxa"/>
          </w:tblCellMar>
        </w:tblPrEx>
        <w:trPr>
          <w:trHeight w:val="3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接牛栏</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与翻板箱相连，用于翻板时防止牛体落到地面的装置。热镀锌结构。为50*50*6的角钢制作，可选择</w:t>
            </w:r>
          </w:p>
        </w:tc>
      </w:tr>
      <w:tr>
        <w:tblPrEx>
          <w:tblCellMar>
            <w:top w:w="0" w:type="dxa"/>
            <w:left w:w="0" w:type="dxa"/>
            <w:bottom w:w="0" w:type="dxa"/>
            <w:right w:w="0" w:type="dxa"/>
          </w:tblCellMar>
        </w:tblPrEx>
        <w:trPr>
          <w:trHeight w:val="38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安全桩</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根</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∮120*3管型材科制成，顶部封術，底部安装在地面上，长约1200mm，安装间距400mm钢件全部热镀锌结构</w:t>
            </w:r>
          </w:p>
        </w:tc>
      </w:tr>
      <w:tr>
        <w:tblPrEx>
          <w:tblCellMar>
            <w:top w:w="0" w:type="dxa"/>
            <w:left w:w="0" w:type="dxa"/>
            <w:bottom w:w="0" w:type="dxa"/>
            <w:right w:w="0" w:type="dxa"/>
          </w:tblCellMar>
        </w:tblPrEx>
        <w:trPr>
          <w:trHeight w:val="229"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毛牛自动上挂装置</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热镀锌制作，自动加载型， 配有手动开关和安装材料</w:t>
            </w:r>
          </w:p>
        </w:tc>
      </w:tr>
      <w:tr>
        <w:tblPrEx>
          <w:tblCellMar>
            <w:top w:w="0" w:type="dxa"/>
            <w:left w:w="0" w:type="dxa"/>
            <w:bottom w:w="0" w:type="dxa"/>
            <w:right w:w="0" w:type="dxa"/>
          </w:tblCellMar>
        </w:tblPrEx>
        <w:trPr>
          <w:trHeight w:val="123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毛牛提升机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快速起吊，2T。用于将幸杀后的牛从接牛栏中提升到放血轨道上。功能:牛宰杀后或活牛，用带环链的吊钩将牛垂直提升到放血轨道上。包括:提升高度:6m；提升能力:1500kg；装机功率: 3kw；提开速度: 14m/min；自动加载型；配有低压控制，安装材料和安全过载保护；配有手动开关和安装材料；与放血缓冲轨道相连，约长5米不锈钢缓冲轨道；和不锈钢连接的标准件为不锈钢材科其余钢件全部热镀锌</w:t>
            </w:r>
          </w:p>
        </w:tc>
      </w:tr>
      <w:tr>
        <w:tblPrEx>
          <w:tblCellMar>
            <w:top w:w="0" w:type="dxa"/>
            <w:left w:w="0" w:type="dxa"/>
            <w:bottom w:w="0" w:type="dxa"/>
            <w:right w:w="0" w:type="dxa"/>
          </w:tblCellMar>
        </w:tblPrEx>
        <w:trPr>
          <w:trHeight w:val="94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毛牛放学自动运输机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用于在放血轨道上输送牛体。包括:1套驱动装置，喷漆处理；变频器调速1套气动张紧装置 (气囊张紧)装机功率: 1.5kw；输送机为卧式结构29米热镀锌封闭式8#槽钢轨道；29米输送镀锌链条，配有拨指，高分子耐磨行走轮；∮60×3.7--4不锈钢管轨，带热镀锌轨道吊架；挂牛问距:2000mm，4个手动限位闸，和不锈钢连接的标准件均为不锈钢材料其余钢件全部热镀锌</w:t>
            </w:r>
          </w:p>
        </w:tc>
      </w:tr>
      <w:tr>
        <w:tblPrEx>
          <w:tblCellMar>
            <w:top w:w="0" w:type="dxa"/>
            <w:left w:w="0" w:type="dxa"/>
            <w:bottom w:w="0" w:type="dxa"/>
            <w:right w:w="0" w:type="dxa"/>
          </w:tblCellMar>
        </w:tblPrEx>
        <w:trPr>
          <w:trHeight w:val="4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放血滚轮返回系统</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放血吊链返回到毛牛吊挂处。包括:4个不锈钢弯道，25米∮60×3.7--4不锈钢管轨，管轨安装在热镀锌双槽钢下，双槽钢轨道梁安装在主梁下；特制吊架1套，不锈钢护轨装置和不锈钢连接的标准件均为不锈钢材料其余钢部件为热镀锌结构</w:t>
            </w:r>
          </w:p>
        </w:tc>
      </w:tr>
      <w:tr>
        <w:tblPrEx>
          <w:tblCellMar>
            <w:top w:w="0" w:type="dxa"/>
            <w:left w:w="0" w:type="dxa"/>
            <w:bottom w:w="0" w:type="dxa"/>
            <w:right w:w="0" w:type="dxa"/>
          </w:tblCellMar>
        </w:tblPrEx>
        <w:trPr>
          <w:trHeight w:val="38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放血池</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包括：完全不锈钢制作板，厚1.7-2.0mm槽长约13500mm，槽宽约1400mm,槽深约150/250mm</w:t>
            </w:r>
          </w:p>
        </w:tc>
      </w:tr>
      <w:tr>
        <w:tblPrEx>
          <w:tblCellMar>
            <w:top w:w="0" w:type="dxa"/>
            <w:left w:w="0" w:type="dxa"/>
            <w:bottom w:w="0" w:type="dxa"/>
            <w:right w:w="0" w:type="dxa"/>
          </w:tblCellMar>
        </w:tblPrEx>
        <w:trPr>
          <w:trHeight w:val="274"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9</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手动限位闸</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机架热镀锌结构，用于管轨滑轮的限位控制</w:t>
            </w:r>
          </w:p>
        </w:tc>
      </w:tr>
      <w:tr>
        <w:tblPrEx>
          <w:tblCellMar>
            <w:top w:w="0" w:type="dxa"/>
            <w:left w:w="0" w:type="dxa"/>
            <w:bottom w:w="0" w:type="dxa"/>
            <w:right w:w="0" w:type="dxa"/>
          </w:tblCellMar>
        </w:tblPrEx>
        <w:trPr>
          <w:trHeight w:val="41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放血滑轮吊链</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根</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25</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用于放血轨道上输送牛胴体，包括热镀锌机架，两个装有滚珠轴承的滚轮，环链和钩</w:t>
            </w:r>
          </w:p>
        </w:tc>
      </w:tr>
      <w:tr>
        <w:tblPrEx>
          <w:tblCellMar>
            <w:top w:w="0" w:type="dxa"/>
            <w:left w:w="0" w:type="dxa"/>
            <w:bottom w:w="0" w:type="dxa"/>
            <w:right w:w="0" w:type="dxa"/>
          </w:tblCellMar>
        </w:tblPrEx>
        <w:trPr>
          <w:trHeight w:val="126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11</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毛牛换轨站台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不锈钢，护栏不锈钢制作。站台尺寸：4500*1500*2600mm，用于尾部预剥、封肛、切割后肢、将牛蹄由放血轨道转至胴体加工运输机的操作，固定在重型圆支柱上，台腿采用不锈钢∮159×3.7--4的圆管制作，台面采用25mm厚的方空格塑料板制作，台框采用口60×30×2.7--3和口40×30×2.7--3的方管制作，护栏高度0.5--1米，采用∮30×1.7--2的不锈钢制作，横担间距：300-500mm</w:t>
            </w:r>
          </w:p>
        </w:tc>
      </w:tr>
      <w:tr>
        <w:tblPrEx>
          <w:tblCellMar>
            <w:top w:w="0" w:type="dxa"/>
            <w:left w:w="0" w:type="dxa"/>
            <w:bottom w:w="0" w:type="dxa"/>
            <w:right w:w="0" w:type="dxa"/>
          </w:tblCellMar>
        </w:tblPrEx>
        <w:trPr>
          <w:trHeight w:val="55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12</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毛牛换轨提升机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常速起吊，包括：换钩吊具。1T用于将牛体从放血吊链转挂到2个滑轮吊钩上。包括：提升能力1000kg装机功率1.1kw提升高度3m，钢部件为热镀锌</w:t>
            </w:r>
          </w:p>
        </w:tc>
      </w:tr>
      <w:tr>
        <w:tblPrEx>
          <w:tblCellMar>
            <w:top w:w="0" w:type="dxa"/>
            <w:left w:w="0" w:type="dxa"/>
            <w:bottom w:w="0" w:type="dxa"/>
            <w:right w:w="0" w:type="dxa"/>
          </w:tblCellMar>
        </w:tblPrEx>
        <w:trPr>
          <w:trHeight w:val="99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刺杀站台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不锈钢，护栏不锈钢制作。站台尺寸：2000*1200*400mm，用于刺杀牛的刺杀工序，固定在重型的圆支柱上，台腿采用不锈钢∮159×3.7--4的圆管制作，台面采用25mm厚的方空格塑料板制作，台框采用口60×30×2.7--3和口40×30×2.7--3的方管制作，护栏高度0.5--1米，采用∮30×1.7--2的不锈钢制作，横担间距：300-500mm</w:t>
            </w:r>
          </w:p>
        </w:tc>
      </w:tr>
      <w:tr>
        <w:tblPrEx>
          <w:tblCellMar>
            <w:top w:w="0" w:type="dxa"/>
            <w:left w:w="0" w:type="dxa"/>
            <w:bottom w:w="0" w:type="dxa"/>
            <w:right w:w="0" w:type="dxa"/>
          </w:tblCellMar>
        </w:tblPrEx>
        <w:trPr>
          <w:trHeight w:val="91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14</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去前肢、去头站台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不锈钢，护栏不锈钢制作。站台尺寸：3000*1500*400mm，用于牛的去前肢、去牛角工序，固定在重型圆支柱上，台腿采用不锈钢∮159×3.7--4的圆管制作，台面采用25mm厚的方空格塑料板制作，台框采用口60×30×2.7--3和口40×30×2.7--3的方管制作，护栏高度0.5--1米，采用∮30×1.7--2的不锈钢制作，横担间距：300-500mm</w:t>
            </w:r>
          </w:p>
        </w:tc>
      </w:tr>
      <w:tr>
        <w:tblPrEx>
          <w:tblCellMar>
            <w:top w:w="0" w:type="dxa"/>
            <w:left w:w="0" w:type="dxa"/>
            <w:bottom w:w="0" w:type="dxa"/>
            <w:right w:w="0" w:type="dxa"/>
          </w:tblCellMar>
        </w:tblPrEx>
        <w:trPr>
          <w:trHeight w:val="81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15</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头蹄输送带L=3米</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此设备是将头蹄输送到指定位置，包括：单车、总长L=3米、带宽：600mm，不锈钢机架、托辊、电滚筒。输送带为白色尼龙输送带、带厚S=4mm，电机功率：1.1kw，机架采用40×60×1.7-2不锈钢方管，38×38×1.7--2不锈钢方管和25*25*1.5不锈钢方管制作，机腿可调</w:t>
            </w:r>
          </w:p>
        </w:tc>
      </w:tr>
      <w:tr>
        <w:tblPrEx>
          <w:tblCellMar>
            <w:top w:w="0" w:type="dxa"/>
            <w:left w:w="0" w:type="dxa"/>
            <w:bottom w:w="0" w:type="dxa"/>
            <w:right w:w="0" w:type="dxa"/>
          </w:tblCellMar>
        </w:tblPrEx>
        <w:trPr>
          <w:trHeight w:val="86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16</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头蹄输送带L=10米</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此设备是将头蹄输送到指定位置，包括：单车、总长L=10米、带宽：600mm，不锈钢机架、托辊、电滚筒。输送带为白色尼龙输送带、带厚S=4mm，电机功率：1.1kw，机架采用40×60×1.7-2不锈钢方管，38×38×1.7--2不锈钢方管和25*25*1.5不锈钢方管制作，机腿可调</w:t>
            </w:r>
          </w:p>
        </w:tc>
      </w:tr>
      <w:tr>
        <w:tblPrEx>
          <w:tblCellMar>
            <w:top w:w="0" w:type="dxa"/>
            <w:left w:w="0" w:type="dxa"/>
            <w:bottom w:w="0" w:type="dxa"/>
            <w:right w:w="0" w:type="dxa"/>
          </w:tblCellMar>
        </w:tblPrEx>
        <w:trPr>
          <w:trHeight w:val="4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17</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后蹄滑槽</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不锈钢制作。用于将牛后蹄滑入台下的输送带或运输车内。包括：滑槽直径：∮400，固定在换轨平台上，板材厚2mm</w:t>
            </w:r>
          </w:p>
        </w:tc>
      </w:tr>
      <w:tr>
        <w:tblPrEx>
          <w:tblCellMar>
            <w:top w:w="0" w:type="dxa"/>
            <w:left w:w="0" w:type="dxa"/>
            <w:bottom w:w="0" w:type="dxa"/>
            <w:right w:w="0" w:type="dxa"/>
          </w:tblCellMar>
        </w:tblPrEx>
        <w:trPr>
          <w:trHeight w:val="46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18</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管轨滑轮吊钩运输车</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辆</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用于滑轮吊钩的运输，车轮为耐磨尼龙轮，包括：2个固定轮和2个转向轮，可储存能力为120只滚轮吊钩，不锈钢制作。为38*38*2的方管制作</w:t>
            </w:r>
          </w:p>
        </w:tc>
      </w:tr>
      <w:tr>
        <w:tblPrEx>
          <w:tblCellMar>
            <w:top w:w="0" w:type="dxa"/>
            <w:left w:w="0" w:type="dxa"/>
            <w:bottom w:w="0" w:type="dxa"/>
            <w:right w:w="0" w:type="dxa"/>
          </w:tblCellMar>
        </w:tblPrEx>
        <w:trPr>
          <w:trHeight w:val="511"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19</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管轨滑轮吊钩提升机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辆</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用于牛管轨滑轮运输车的提升，含运行小车，升降护轨，一根起重不锈钢链条</w:t>
            </w:r>
          </w:p>
        </w:tc>
      </w:tr>
      <w:tr>
        <w:tblPrEx>
          <w:tblCellMar>
            <w:top w:w="0" w:type="dxa"/>
            <w:left w:w="0" w:type="dxa"/>
            <w:bottom w:w="0" w:type="dxa"/>
            <w:right w:w="0" w:type="dxa"/>
          </w:tblCellMar>
        </w:tblPrEx>
        <w:trPr>
          <w:trHeight w:val="6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20</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胴体加工输送机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镀锌机架、链条。管轨为不锈钢。自动或手动控制，间控2100mm.该机用于将牛体从转挂平台沿着各加工区输送到检验、称重区。框架|主要为8#槽钢和16#槽钢组成，包括:步进式输送，输送机为立式结构1套滑轮轮轨道，l套驱动单元(步进式)套张紧装置，不锈钢管轨∮60×4，其余钢件全部热镀锌结构</w:t>
            </w:r>
          </w:p>
        </w:tc>
      </w:tr>
      <w:tr>
        <w:tblPrEx>
          <w:tblCellMar>
            <w:top w:w="0" w:type="dxa"/>
            <w:left w:w="0" w:type="dxa"/>
            <w:bottom w:w="0" w:type="dxa"/>
            <w:right w:w="0" w:type="dxa"/>
          </w:tblCellMar>
        </w:tblPrEx>
        <w:trPr>
          <w:trHeight w:val="9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21</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前肢预剥站台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台架不锈钢，护栏不锈钢制作。站台尺寸: 2000*1200*200mm。用于牛的前肢 预剥工序，固定在重型的圆支柱上，台腿采用不锈钢∮159×3.7--4的圆管制作，台面采用25mm厚的方空格塑料板制作，台框采用口60×30×2.7--3和口40×30×2.7--3的方管制作，护栏高度0.5--1米，采用∮30×1.7--2的不锈钢管制作，横担间距：300-500mm</w:t>
            </w:r>
          </w:p>
        </w:tc>
      </w:tr>
      <w:tr>
        <w:tblPrEx>
          <w:tblCellMar>
            <w:top w:w="0" w:type="dxa"/>
            <w:left w:w="0" w:type="dxa"/>
            <w:bottom w:w="0" w:type="dxa"/>
            <w:right w:w="0" w:type="dxa"/>
          </w:tblCellMar>
        </w:tblPrEx>
        <w:trPr>
          <w:trHeight w:val="131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22</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欧式双柱气升降台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用于预剥、劈半、胴体检疫、修整加工工位。包括: 1套不锈钢站台和护栏，台面采用25mm厚的方空格塑料板制作，四周有挡边，框架采用不锈钢焊接而成，站台两面边安装2个气缸和升降台相连，便于上下移动，台面安有围裙清洗装置、洗手装置、刀具消毒装置，一套活动的冷热水管。提升高度：400mm到1800mm；提升能力:不小于300kg台面尺寸：1800mm×1200mm,护栏42*1.5管制作</w:t>
            </w:r>
          </w:p>
        </w:tc>
      </w:tr>
      <w:tr>
        <w:tblPrEx>
          <w:tblCellMar>
            <w:top w:w="0" w:type="dxa"/>
            <w:left w:w="0" w:type="dxa"/>
            <w:bottom w:w="0" w:type="dxa"/>
            <w:right w:w="0" w:type="dxa"/>
          </w:tblCellMar>
        </w:tblPrEx>
        <w:trPr>
          <w:trHeight w:val="74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23</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液压扯皮机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机架、外壳为热镀锌，不锈钢扯皮滚简。含液压系统和程序控制系统。用于从上到下剥除牛皮。包括:1个升降框架，1套液压系统，1个不锈钢剥皮滚简，1个升降液压缸，2根不锈钢扯皮链条，自动解扣型，其余钢件热镀锌</w:t>
            </w:r>
          </w:p>
        </w:tc>
      </w:tr>
      <w:tr>
        <w:tblPrEx>
          <w:tblCellMar>
            <w:top w:w="0" w:type="dxa"/>
            <w:left w:w="0" w:type="dxa"/>
            <w:bottom w:w="0" w:type="dxa"/>
            <w:right w:w="0" w:type="dxa"/>
          </w:tblCellMar>
        </w:tblPrEx>
        <w:trPr>
          <w:trHeight w:val="72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24</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扯皮单柱气力升降台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用于操作剥皮机和剥皮时进行修整。包括:1套不锈钢站台和护栏，台面采用25mm厚的方空格塑料板制作:台面尺寸1200×800， 气动升降式，安装围裙清洗机1件，带刀具消毒器1件，洗手装置1件，1套铝合金气缸，带供水连接软管，带不锈钢护栏。</w:t>
            </w:r>
          </w:p>
        </w:tc>
      </w:tr>
      <w:tr>
        <w:tblPrEx>
          <w:tblCellMar>
            <w:top w:w="0" w:type="dxa"/>
            <w:left w:w="0" w:type="dxa"/>
            <w:bottom w:w="0" w:type="dxa"/>
            <w:right w:w="0" w:type="dxa"/>
          </w:tblCellMar>
        </w:tblPrEx>
        <w:trPr>
          <w:trHeight w:val="33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25</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双柱前腿固定架</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用于固定牛前腿，以便配合剥皮机进行剥皮。包括:钢件全部热镀锌结构</w:t>
            </w:r>
          </w:p>
        </w:tc>
      </w:tr>
      <w:tr>
        <w:tblPrEx>
          <w:tblCellMar>
            <w:top w:w="0" w:type="dxa"/>
            <w:left w:w="0" w:type="dxa"/>
            <w:bottom w:w="0" w:type="dxa"/>
            <w:right w:w="0" w:type="dxa"/>
          </w:tblCellMar>
        </w:tblPrEx>
        <w:trPr>
          <w:trHeight w:val="63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26</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开胸站台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台架热镀锌，护栏不锈钢制作，站台尺寸:1500*1200*400mm。用于开胸工序，操作配有不锈钢的安全扶手，与取白脏站台连接，固定在重型的圆支柱上，台面采用25mm厚的方空格塑料板制作</w:t>
            </w:r>
          </w:p>
        </w:tc>
      </w:tr>
      <w:tr>
        <w:tblPrEx>
          <w:tblCellMar>
            <w:top w:w="0" w:type="dxa"/>
            <w:left w:w="0" w:type="dxa"/>
            <w:bottom w:w="0" w:type="dxa"/>
            <w:right w:w="0" w:type="dxa"/>
          </w:tblCellMar>
        </w:tblPrEx>
        <w:trPr>
          <w:trHeight w:val="46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27</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取白脏站台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框架、护栏不锈钢制作，站台尺寸:2000*900*1800mm.用于取白内脏用，操作配有不锈钢的安全扶手，与取红脏站台连接，固定在重型的圆支柱上，台面采用25mm厚的方空格塑料板制作</w:t>
            </w:r>
          </w:p>
        </w:tc>
      </w:tr>
      <w:tr>
        <w:tblPrEx>
          <w:tblCellMar>
            <w:top w:w="0" w:type="dxa"/>
            <w:left w:w="0" w:type="dxa"/>
            <w:bottom w:w="0" w:type="dxa"/>
            <w:right w:w="0" w:type="dxa"/>
          </w:tblCellMar>
        </w:tblPrEx>
        <w:trPr>
          <w:trHeight w:val="132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28</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气动白脏接受滑槽</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用于接收白内脏，和出白内脏站台相连，并准确的将白内脏输送到白内脏检疫输送机的卫检盘内。包括:滑槽的收集部分装有一套喷水管， 便于清洗与消毒，喷水管采用口40×40× 1.7--2的方管制作；滑槽是有一个由检验输送机控制的阀门控制的，以确保将白内脏准确的输送到检验输送机的托盘内，在滑槽尾部装有2个气缸滑槽长2.4米；槽宽: 1200mm (收集部分)，800mm (滑动部分)，不锈钢制作，板材厚2.2--2.5mm</w:t>
            </w:r>
          </w:p>
        </w:tc>
      </w:tr>
      <w:tr>
        <w:tblPrEx>
          <w:tblCellMar>
            <w:top w:w="0" w:type="dxa"/>
            <w:left w:w="0" w:type="dxa"/>
            <w:bottom w:w="0" w:type="dxa"/>
            <w:right w:w="0" w:type="dxa"/>
          </w:tblCellMar>
        </w:tblPrEx>
        <w:trPr>
          <w:trHeight w:val="59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29</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去红脏站台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框架、护栏不锈钢制作，站台尺寸:2000*900*400mm。用于取红内脏用，操作配有不锈钢的安全扶手，与取白脏站台连接，固定在重型的圆支柱上，台面采用25mm厚的方空格塑料板制作</w:t>
            </w:r>
          </w:p>
        </w:tc>
      </w:tr>
      <w:tr>
        <w:tblPrEx>
          <w:tblCellMar>
            <w:top w:w="0" w:type="dxa"/>
            <w:left w:w="0" w:type="dxa"/>
            <w:bottom w:w="0" w:type="dxa"/>
            <w:right w:w="0" w:type="dxa"/>
          </w:tblCellMar>
        </w:tblPrEx>
        <w:trPr>
          <w:trHeight w:val="45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检验站台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框架、护栏不锈钢制作，站台尺寸:2000*900*400mm。用于检疫用，操作配有不锈钢的安全扶手，与取白脏站台连接，固定在重型的圆支柱上，台面采用25mm厚的方空格塑料板制作</w:t>
            </w:r>
          </w:p>
        </w:tc>
      </w:tr>
      <w:tr>
        <w:tblPrEx>
          <w:tblCellMar>
            <w:top w:w="0" w:type="dxa"/>
            <w:left w:w="0" w:type="dxa"/>
            <w:bottom w:w="0" w:type="dxa"/>
            <w:right w:w="0" w:type="dxa"/>
          </w:tblCellMar>
        </w:tblPrEx>
        <w:trPr>
          <w:trHeight w:val="68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31</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防溅屏后站台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框架、护栏不锈钢制作，站台尺寸:2000*900*400m。用于白脏检疫工序，操作配有不锈钢的安全扶手，与取红脏站台连接，固定在重型的圆支柱上，台面采用25mm厚的方空格塑料板制作</w:t>
            </w:r>
          </w:p>
        </w:tc>
      </w:tr>
      <w:tr>
        <w:tblPrEx>
          <w:tblCellMar>
            <w:top w:w="0" w:type="dxa"/>
            <w:left w:w="0" w:type="dxa"/>
            <w:bottom w:w="0" w:type="dxa"/>
            <w:right w:w="0" w:type="dxa"/>
          </w:tblCellMar>
        </w:tblPrEx>
        <w:trPr>
          <w:trHeight w:val="64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32</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修割站台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台架热镀锌，护栏不锈钢制作，站台尺寸:2000*900*400mm。用于修割工序，操作配有不锈钢的安全扶手，与取白脏站台连接，固定在重型的圆支柱上，台面采用25mm厚的方空格塑料板制作</w:t>
            </w:r>
          </w:p>
        </w:tc>
      </w:tr>
      <w:tr>
        <w:tblPrEx>
          <w:tblCellMar>
            <w:top w:w="0" w:type="dxa"/>
            <w:left w:w="0" w:type="dxa"/>
            <w:bottom w:w="0" w:type="dxa"/>
            <w:right w:w="0" w:type="dxa"/>
          </w:tblCellMar>
        </w:tblPrEx>
        <w:trPr>
          <w:trHeight w:val="55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33</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复检站台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台架热镀锌，护栏不锈钢制作，站台尺寸:2000*900*400mm。 用于复检工序，操作配有不锈钢的安全扶手，与取白脏站台连接，固定在重型的圆支柱上，台面采用25mm厚的方空格塑料板制作</w:t>
            </w:r>
          </w:p>
        </w:tc>
      </w:tr>
      <w:tr>
        <w:tblPrEx>
          <w:tblCellMar>
            <w:top w:w="0" w:type="dxa"/>
            <w:left w:w="0" w:type="dxa"/>
            <w:bottom w:w="0" w:type="dxa"/>
            <w:right w:w="0" w:type="dxa"/>
          </w:tblCellMar>
        </w:tblPrEx>
        <w:trPr>
          <w:trHeight w:val="101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34</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白内脏检疫输送机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该输送机和胴体加工输送机同步前进，用于白内脏的检验和输送。包括:机架主材采用口70×50×3.7--4的热镀锌方管制作；输送机外型尺寸: 8400×1500×2000mm(长×宽×高)；配有8组不锈钢白内脏托盘，盘距: 2100mm；2条镀锌钢并行链条，在镀锌钢架体上运行4个链轮，1套驱动单元，1套张紧单元装机功率: 1.5kw</w:t>
            </w:r>
          </w:p>
        </w:tc>
      </w:tr>
      <w:tr>
        <w:tblPrEx>
          <w:tblCellMar>
            <w:top w:w="0" w:type="dxa"/>
            <w:left w:w="0" w:type="dxa"/>
            <w:bottom w:w="0" w:type="dxa"/>
            <w:right w:w="0" w:type="dxa"/>
          </w:tblCellMar>
        </w:tblPrEx>
        <w:trPr>
          <w:trHeight w:val="45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35</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白内脏检盘清洗装置</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用于白脏托盘的清洗和消毒。包括:消毒装置: 1400×1620×850mm,板材厚2.2--2.5mm；1套不锈钢消毒装置(冷一热一冷）</w:t>
            </w:r>
          </w:p>
        </w:tc>
      </w:tr>
      <w:tr>
        <w:tblPrEx>
          <w:tblCellMar>
            <w:top w:w="0" w:type="dxa"/>
            <w:left w:w="0" w:type="dxa"/>
            <w:bottom w:w="0" w:type="dxa"/>
            <w:right w:w="0" w:type="dxa"/>
          </w:tblCellMar>
        </w:tblPrEx>
        <w:trPr>
          <w:trHeight w:val="83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36</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白内脏分离系统</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用来分离合格的和废弃的白内脏，合格的白内脏通过滑槽进入白内脏加工间，废弃的白内脏通过操作按钮，一个挡板被气动提起，将废弃 白内脏倒入废弃白内脏收集车内，合格的白内脏滑到白内脏加工间。包括:2个气缸，便于白脏的分离不锈钢机架；活动式分离滑槽: 1500×1100m (长×宽)2.2-2.5mm厚的不锈钢板制作</w:t>
            </w:r>
          </w:p>
        </w:tc>
      </w:tr>
      <w:tr>
        <w:tblPrEx>
          <w:tblCellMar>
            <w:top w:w="0" w:type="dxa"/>
            <w:left w:w="0" w:type="dxa"/>
            <w:bottom w:w="0" w:type="dxa"/>
            <w:right w:w="0" w:type="dxa"/>
          </w:tblCellMar>
        </w:tblPrEx>
        <w:trPr>
          <w:trHeight w:val="35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37</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白内脏滑槽</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用来输送合格的白内脏到白内脏加工间。包括:滑槽: 1900×1000mm (长×宽)2.2-2.5mm厚的不锈钢板制作</w:t>
            </w:r>
          </w:p>
        </w:tc>
      </w:tr>
      <w:tr>
        <w:tblPrEx>
          <w:tblCellMar>
            <w:top w:w="0" w:type="dxa"/>
            <w:left w:w="0" w:type="dxa"/>
            <w:bottom w:w="0" w:type="dxa"/>
            <w:right w:w="0" w:type="dxa"/>
          </w:tblCellMar>
        </w:tblPrEx>
        <w:trPr>
          <w:trHeight w:val="111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38</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牛头/红内脏检疫输送机</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该输送机用于输送和检验牛头/红内脏，和胴体加工输送机同步前进，链条上的尼龙轮在热镀锌的封闭式轨道内运行。包括:1套驱动装置；1套气动张紧装置: 热镀锌框架，气囊张紧，即自动张紧，气囊采用德国产品；装机功率: 1.5kw；20组不锈钢挂钩，每组吊钩由5个不锈钢牛头挂钩和红脏挂钩组成，吊钩间距: 2100mm，封闭式尼龙轮轨道和镀锌链条，其余钢件全部热镀锌</w:t>
            </w:r>
          </w:p>
        </w:tc>
      </w:tr>
      <w:tr>
        <w:tblPrEx>
          <w:tblCellMar>
            <w:top w:w="0" w:type="dxa"/>
            <w:left w:w="0" w:type="dxa"/>
            <w:bottom w:w="0" w:type="dxa"/>
            <w:right w:w="0" w:type="dxa"/>
          </w:tblCellMar>
        </w:tblPrEx>
        <w:trPr>
          <w:trHeight w:val="4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39</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红内脏接液槽</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不锈钢接液槽设计在红内脏同步检疫输送机的下方，防止血液滴溅在设备和地面上。包括:不锈钢接液槽长: 15000mm；不锈钢接液槽宽: 400mm；1.7--2mm厚的不锈钢板制作</w:t>
            </w:r>
          </w:p>
        </w:tc>
      </w:tr>
      <w:tr>
        <w:tblPrEx>
          <w:tblCellMar>
            <w:top w:w="0" w:type="dxa"/>
            <w:left w:w="0" w:type="dxa"/>
            <w:bottom w:w="0" w:type="dxa"/>
            <w:right w:w="0" w:type="dxa"/>
          </w:tblCellMar>
        </w:tblPrEx>
        <w:trPr>
          <w:trHeight w:val="35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40</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牛头/红内脏挂钩清洗装置</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牛头/红内脏挂钩的清洗和消毒。包括:消毒装置:1400×1620×850mm,板材厚2.2--2.5mm；1套不锈钢消毒装置(冷一热一冷)</w:t>
            </w:r>
          </w:p>
        </w:tc>
      </w:tr>
      <w:tr>
        <w:tblPrEx>
          <w:tblCellMar>
            <w:top w:w="0" w:type="dxa"/>
            <w:left w:w="0" w:type="dxa"/>
            <w:bottom w:w="0" w:type="dxa"/>
            <w:right w:w="0" w:type="dxa"/>
          </w:tblCellMar>
        </w:tblPrEx>
        <w:trPr>
          <w:trHeight w:val="35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41</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劈半防溅屏</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位于劈半工位，下部和地面相连，上部和胴体输送机相连。包括:屏面尺寸: 3500×1550mm (高×宽)屏面有2.2--2. 5mm厚的不锈钢板制作</w:t>
            </w:r>
          </w:p>
        </w:tc>
      </w:tr>
      <w:tr>
        <w:tblPrEx>
          <w:tblCellMar>
            <w:top w:w="0" w:type="dxa"/>
            <w:left w:w="0" w:type="dxa"/>
            <w:bottom w:w="0" w:type="dxa"/>
            <w:right w:w="0" w:type="dxa"/>
          </w:tblCellMar>
        </w:tblPrEx>
        <w:trPr>
          <w:trHeight w:val="27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42</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胴体轨道电子秤</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用于二分体的称重，和轨道相连。含显示屏和打印机，最大称重800kg</w:t>
            </w:r>
          </w:p>
        </w:tc>
      </w:tr>
      <w:tr>
        <w:tblPrEx>
          <w:tblCellMar>
            <w:top w:w="0" w:type="dxa"/>
            <w:left w:w="0" w:type="dxa"/>
            <w:bottom w:w="0" w:type="dxa"/>
            <w:right w:w="0" w:type="dxa"/>
          </w:tblCellMar>
        </w:tblPrEx>
        <w:trPr>
          <w:trHeight w:val="65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43</w:t>
            </w:r>
          </w:p>
        </w:tc>
        <w:tc>
          <w:tcPr>
            <w:tcW w:w="70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消毒装置</w:t>
            </w:r>
          </w:p>
        </w:tc>
        <w:tc>
          <w:tcPr>
            <w:tcW w:w="2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分别位于: 1台开胸锯、1台劈半锯、2台剪蹄剪1台四分体钢、包括:外型尺寸: 660×360×800m，厚1.7--2mm不锈钢板制作；给、排水管道连接由需方负责</w:t>
            </w:r>
          </w:p>
        </w:tc>
      </w:tr>
      <w:tr>
        <w:tblPrEx>
          <w:tblCellMar>
            <w:top w:w="0" w:type="dxa"/>
            <w:left w:w="0" w:type="dxa"/>
            <w:bottom w:w="0" w:type="dxa"/>
            <w:right w:w="0" w:type="dxa"/>
          </w:tblCellMar>
        </w:tblPrEx>
        <w:trPr>
          <w:trHeight w:val="586"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带刀具消毒器的洗手装置</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48</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地面安装式不锈钢洗手盆，带刀具消毒装置，蒸气加热式</w:t>
            </w:r>
          </w:p>
        </w:tc>
      </w:tr>
      <w:tr>
        <w:tblPrEx>
          <w:tblCellMar>
            <w:top w:w="0" w:type="dxa"/>
            <w:left w:w="0" w:type="dxa"/>
            <w:bottom w:w="0" w:type="dxa"/>
            <w:right w:w="0" w:type="dxa"/>
          </w:tblCellMar>
        </w:tblPrEx>
        <w:trPr>
          <w:trHeight w:val="32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围裙清洗器</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用于房血处，1000*800*1300，厚2mm，不锈钢制作</w:t>
            </w:r>
          </w:p>
        </w:tc>
      </w:tr>
      <w:tr>
        <w:tblPrEx>
          <w:tblCellMar>
            <w:top w:w="0" w:type="dxa"/>
            <w:left w:w="0" w:type="dxa"/>
            <w:bottom w:w="0" w:type="dxa"/>
            <w:right w:w="0" w:type="dxa"/>
          </w:tblCellMar>
        </w:tblPrEx>
        <w:trPr>
          <w:trHeight w:val="33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洗肚机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不锈钢制作，包括：速度可调，带有一个手动门；加工牛肚100-1500个/小时；尺寸：1350*1050*1300mm；装机功率4kw，耗水量750L/小时</w:t>
            </w:r>
          </w:p>
        </w:tc>
      </w:tr>
      <w:tr>
        <w:tblPrEx>
          <w:tblCellMar>
            <w:top w:w="0" w:type="dxa"/>
            <w:left w:w="0" w:type="dxa"/>
            <w:bottom w:w="0" w:type="dxa"/>
            <w:right w:w="0" w:type="dxa"/>
          </w:tblCellMar>
        </w:tblPrEx>
        <w:trPr>
          <w:trHeight w:val="4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牛皮风送系统</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不锈钢材质，含收集罐料斗。料斗尺寸：800*800*500mm、气动操作关闭阀门，一套控制系统，悬挂支架和固定件</w:t>
            </w:r>
          </w:p>
        </w:tc>
      </w:tr>
      <w:tr>
        <w:tblPrEx>
          <w:tblCellMar>
            <w:top w:w="0" w:type="dxa"/>
            <w:left w:w="0" w:type="dxa"/>
            <w:bottom w:w="0" w:type="dxa"/>
            <w:right w:w="0" w:type="dxa"/>
          </w:tblCellMar>
        </w:tblPrEx>
        <w:trPr>
          <w:trHeight w:val="334"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48</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牛皮风送管道</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热镀锌管道、连接件。热镀锌支架、管道为直径219*3的圆管</w:t>
            </w:r>
          </w:p>
        </w:tc>
      </w:tr>
      <w:tr>
        <w:tblPrEx>
          <w:tblCellMar>
            <w:top w:w="0" w:type="dxa"/>
            <w:left w:w="0" w:type="dxa"/>
            <w:bottom w:w="0" w:type="dxa"/>
            <w:right w:w="0" w:type="dxa"/>
          </w:tblCellMar>
        </w:tblPrEx>
        <w:trPr>
          <w:trHeight w:val="38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49</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胃容物风送系统</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胃容物输送大废弃物间，不锈钢材质，包含：料斗：800*800*500mm，气动操作关闭阀门，一套控制系统，悬挂支架和固定件</w:t>
            </w:r>
          </w:p>
        </w:tc>
      </w:tr>
      <w:tr>
        <w:tblPrEx>
          <w:tblCellMar>
            <w:top w:w="0" w:type="dxa"/>
            <w:left w:w="0" w:type="dxa"/>
            <w:bottom w:w="0" w:type="dxa"/>
            <w:right w:w="0" w:type="dxa"/>
          </w:tblCellMar>
        </w:tblPrEx>
        <w:trPr>
          <w:trHeight w:val="36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胃容物风送管道</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热镀锌管道、连接件。热镀锌支架、管道为直径159*3的圆管</w:t>
            </w:r>
          </w:p>
        </w:tc>
      </w:tr>
      <w:tr>
        <w:tblPrEx>
          <w:tblCellMar>
            <w:top w:w="0" w:type="dxa"/>
            <w:left w:w="0" w:type="dxa"/>
            <w:bottom w:w="0" w:type="dxa"/>
            <w:right w:w="0" w:type="dxa"/>
          </w:tblCellMar>
        </w:tblPrEx>
        <w:trPr>
          <w:trHeight w:val="71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中央电气控制柜</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配电箱以下的线缆、线管、采用低压安全控制，放血线为变频调速、组合式。不锈钢箱体（西门子、施耐德、LG），自动断路器（NM1系列，NA1-63系列，DZ47系列，DZ108系列，GSM8-30，80系列），变压器（JBK3系列），直流电源（S系列），按钮（NB2系列）</w:t>
            </w:r>
          </w:p>
        </w:tc>
      </w:tr>
      <w:tr>
        <w:tblPrEx>
          <w:tblCellMar>
            <w:top w:w="0" w:type="dxa"/>
            <w:left w:w="0" w:type="dxa"/>
            <w:bottom w:w="0" w:type="dxa"/>
            <w:right w:w="0" w:type="dxa"/>
          </w:tblCellMar>
        </w:tblPrEx>
        <w:trPr>
          <w:trHeight w:val="21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电线电缆</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11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桥架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热镀锌，线管为不锈钢和PVC软管</w:t>
            </w:r>
          </w:p>
        </w:tc>
      </w:tr>
      <w:tr>
        <w:tblPrEx>
          <w:tblCellMar>
            <w:top w:w="0" w:type="dxa"/>
            <w:left w:w="0" w:type="dxa"/>
            <w:bottom w:w="0" w:type="dxa"/>
            <w:right w:w="0" w:type="dxa"/>
          </w:tblCellMar>
        </w:tblPrEx>
        <w:trPr>
          <w:trHeight w:val="27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二、轨道线和滑轮单元</w:t>
            </w:r>
          </w:p>
        </w:tc>
      </w:tr>
      <w:tr>
        <w:tblPrEx>
          <w:tblCellMar>
            <w:top w:w="0" w:type="dxa"/>
            <w:left w:w="0" w:type="dxa"/>
            <w:bottom w:w="0" w:type="dxa"/>
            <w:right w:w="0" w:type="dxa"/>
          </w:tblCellMar>
        </w:tblPrEx>
        <w:trPr>
          <w:trHeight w:val="41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轨道手推线</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米</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包括：热镀锌结构、精密铸造吊架、其余钢线热镀锌结构、管轨为60*3.7-4不锈钢管、管轨螺栓连接的保准件</w:t>
            </w:r>
          </w:p>
        </w:tc>
      </w:tr>
      <w:tr>
        <w:tblPrEx>
          <w:tblCellMar>
            <w:top w:w="0" w:type="dxa"/>
            <w:left w:w="0" w:type="dxa"/>
            <w:bottom w:w="0" w:type="dxa"/>
            <w:right w:w="0" w:type="dxa"/>
          </w:tblCellMar>
        </w:tblPrEx>
        <w:trPr>
          <w:trHeight w:val="18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管轨弯轨</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90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不锈钢制作，含连接件</w:t>
            </w:r>
          </w:p>
        </w:tc>
      </w:tr>
      <w:tr>
        <w:tblPrEx>
          <w:tblCellMar>
            <w:top w:w="0" w:type="dxa"/>
            <w:left w:w="0" w:type="dxa"/>
            <w:bottom w:w="0" w:type="dxa"/>
            <w:right w:w="0" w:type="dxa"/>
          </w:tblCellMar>
        </w:tblPrEx>
        <w:trPr>
          <w:trHeight w:val="15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管轨道岔</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不锈钢精密铸造件，含连接件</w:t>
            </w:r>
          </w:p>
        </w:tc>
      </w:tr>
      <w:tr>
        <w:tblPrEx>
          <w:tblCellMar>
            <w:top w:w="0" w:type="dxa"/>
            <w:left w:w="0" w:type="dxa"/>
            <w:bottom w:w="0" w:type="dxa"/>
            <w:right w:w="0" w:type="dxa"/>
          </w:tblCellMar>
        </w:tblPrEx>
        <w:trPr>
          <w:trHeight w:val="1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断轨器</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16</w:t>
            </w:r>
          </w:p>
        </w:tc>
        <w:tc>
          <w:tcPr>
            <w:tcW w:w="348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不锈钢制作，含连接件</w:t>
            </w:r>
          </w:p>
        </w:tc>
      </w:tr>
      <w:tr>
        <w:tblPrEx>
          <w:tblCellMar>
            <w:top w:w="0" w:type="dxa"/>
            <w:left w:w="0" w:type="dxa"/>
            <w:bottom w:w="0" w:type="dxa"/>
            <w:right w:w="0" w:type="dxa"/>
          </w:tblCellMar>
        </w:tblPrEx>
        <w:trPr>
          <w:trHeight w:val="169"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管轨滑轮吊钩</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400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轮架为高强度铝合金材料挂钩、滚轮为不锈钢制作</w:t>
            </w:r>
          </w:p>
        </w:tc>
      </w:tr>
      <w:tr>
        <w:tblPrEx>
          <w:tblCellMar>
            <w:top w:w="0" w:type="dxa"/>
            <w:left w:w="0" w:type="dxa"/>
            <w:bottom w:w="0" w:type="dxa"/>
            <w:right w:w="0" w:type="dxa"/>
          </w:tblCellMar>
        </w:tblPrEx>
        <w:trPr>
          <w:trHeight w:val="3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四分体提升下降机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用于分割车间和胴体鲜间的四分胴体下销降，包括：热镀锌机架、不锈钢管轨轨道、不锈钢材质为304、装机功率1.5kw、其余钢件全部为热镀锌结构</w:t>
            </w:r>
          </w:p>
        </w:tc>
      </w:tr>
      <w:tr>
        <w:tblPrEx>
          <w:tblCellMar>
            <w:top w:w="0" w:type="dxa"/>
            <w:left w:w="0" w:type="dxa"/>
            <w:bottom w:w="0" w:type="dxa"/>
            <w:right w:w="0" w:type="dxa"/>
          </w:tblCellMar>
        </w:tblPrEx>
        <w:trPr>
          <w:trHeight w:val="59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四分体换轨站台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框架、护栏为不锈钢制作，尺寸：2000*900*1500mm。用于牛的改四分体工序，操作配有不锈钢的安全扶手，固定在重型的圆支柱上，台面采用25mm厚的方孔格塑料板制作</w:t>
            </w:r>
          </w:p>
        </w:tc>
      </w:tr>
      <w:tr>
        <w:tblPrEx>
          <w:tblCellMar>
            <w:top w:w="0" w:type="dxa"/>
            <w:left w:w="0" w:type="dxa"/>
            <w:bottom w:w="0" w:type="dxa"/>
            <w:right w:w="0" w:type="dxa"/>
          </w:tblCellMar>
        </w:tblPrEx>
        <w:trPr>
          <w:trHeight w:val="27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三、分割设备单元</w:t>
            </w:r>
          </w:p>
        </w:tc>
      </w:tr>
      <w:tr>
        <w:tblPrEx>
          <w:tblCellMar>
            <w:top w:w="0" w:type="dxa"/>
            <w:left w:w="0" w:type="dxa"/>
            <w:bottom w:w="0" w:type="dxa"/>
            <w:right w:w="0" w:type="dxa"/>
          </w:tblCellMar>
        </w:tblPrEx>
        <w:trPr>
          <w:trHeight w:val="76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单层剔骨、分割输送机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单层、白色尼龙输送带、L=15m、带宽600mm、厚4mm，不锈钢机架、托辊、电滚筒。电机功率1.1kw，机架采用45*75*1.7-2不锈钢方管和25*25*1.5不锈钢方管</w:t>
            </w:r>
          </w:p>
        </w:tc>
      </w:tr>
      <w:tr>
        <w:tblPrEx>
          <w:tblCellMar>
            <w:top w:w="0" w:type="dxa"/>
            <w:left w:w="0" w:type="dxa"/>
            <w:bottom w:w="0" w:type="dxa"/>
            <w:right w:w="0" w:type="dxa"/>
          </w:tblCellMar>
        </w:tblPrEx>
        <w:trPr>
          <w:trHeight w:val="29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双层分割台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台面为防滑无毒塑料板尺寸：1200*800*800mm、后16mm，双层，框架为38*38*1.7-2和25*25*1.5不锈钢方管</w:t>
            </w:r>
          </w:p>
        </w:tc>
      </w:tr>
      <w:tr>
        <w:tblPrEx>
          <w:tblCellMar>
            <w:top w:w="0" w:type="dxa"/>
            <w:left w:w="0" w:type="dxa"/>
            <w:bottom w:w="0" w:type="dxa"/>
            <w:right w:w="0" w:type="dxa"/>
          </w:tblCellMar>
        </w:tblPrEx>
        <w:trPr>
          <w:trHeight w:val="20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剔骨肉接收槽</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尺寸：2000*800*500，框架为38*38*1.7-2不锈钢方管，不锈钢板厚2mm</w:t>
            </w:r>
          </w:p>
        </w:tc>
      </w:tr>
      <w:tr>
        <w:tblPrEx>
          <w:tblCellMar>
            <w:top w:w="0" w:type="dxa"/>
            <w:left w:w="0" w:type="dxa"/>
            <w:bottom w:w="0" w:type="dxa"/>
            <w:right w:w="0" w:type="dxa"/>
          </w:tblCellMar>
        </w:tblPrEx>
        <w:trPr>
          <w:trHeight w:val="23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剔骨肉接收台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尺寸：1200*1200*400，框架为38*38*1.7-2不锈钢方管，不锈钢板厚2mm</w:t>
            </w:r>
          </w:p>
        </w:tc>
      </w:tr>
      <w:tr>
        <w:tblPrEx>
          <w:tblCellMar>
            <w:top w:w="0" w:type="dxa"/>
            <w:left w:w="0" w:type="dxa"/>
            <w:bottom w:w="0" w:type="dxa"/>
            <w:right w:w="0" w:type="dxa"/>
          </w:tblCellMar>
        </w:tblPrEx>
        <w:trPr>
          <w:trHeight w:val="2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速冻车</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辆</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尺寸：650*1800*1650，框架为38*387*2和25*25*2不锈钢方管</w:t>
            </w:r>
          </w:p>
        </w:tc>
      </w:tr>
      <w:tr>
        <w:tblPrEx>
          <w:tblCellMar>
            <w:top w:w="0" w:type="dxa"/>
            <w:left w:w="0" w:type="dxa"/>
            <w:bottom w:w="0" w:type="dxa"/>
            <w:right w:w="0" w:type="dxa"/>
          </w:tblCellMar>
        </w:tblPrEx>
        <w:trPr>
          <w:trHeight w:val="9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冷冻盘</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2000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热镀锌制作，40*60*12，板厚0.8</w:t>
            </w:r>
          </w:p>
        </w:tc>
      </w:tr>
      <w:tr>
        <w:tblPrEx>
          <w:tblCellMar>
            <w:top w:w="0" w:type="dxa"/>
            <w:left w:w="0" w:type="dxa"/>
            <w:bottom w:w="0" w:type="dxa"/>
            <w:right w:w="0" w:type="dxa"/>
          </w:tblCellMar>
        </w:tblPrEx>
        <w:trPr>
          <w:trHeight w:val="13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包装工作台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尺寸：1800*900*800mm，不锈钢钢板厚1.7-2mm，框架为38*38*1.7-2和25*25*1.5不锈钢方管</w:t>
            </w:r>
          </w:p>
        </w:tc>
      </w:tr>
      <w:tr>
        <w:tblPrEx>
          <w:tblCellMar>
            <w:top w:w="0" w:type="dxa"/>
            <w:left w:w="0" w:type="dxa"/>
            <w:bottom w:w="0" w:type="dxa"/>
            <w:right w:w="0" w:type="dxa"/>
          </w:tblCellMar>
        </w:tblPrEx>
        <w:trPr>
          <w:trHeight w:val="27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四、副产品清洗设备</w:t>
            </w:r>
          </w:p>
        </w:tc>
      </w:tr>
      <w:tr>
        <w:tblPrEx>
          <w:tblCellMar>
            <w:top w:w="0" w:type="dxa"/>
            <w:left w:w="0" w:type="dxa"/>
            <w:bottom w:w="0" w:type="dxa"/>
            <w:right w:w="0" w:type="dxa"/>
          </w:tblCellMar>
        </w:tblPrEx>
        <w:trPr>
          <w:trHeight w:val="25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白脏接收槽</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台面尺寸：1200*800*800mm，框架为38*38*1.7-2和25*25*1.5不锈钢方管</w:t>
            </w:r>
          </w:p>
        </w:tc>
      </w:tr>
      <w:tr>
        <w:tblPrEx>
          <w:tblCellMar>
            <w:top w:w="0" w:type="dxa"/>
            <w:left w:w="0" w:type="dxa"/>
            <w:bottom w:w="0" w:type="dxa"/>
            <w:right w:w="0" w:type="dxa"/>
          </w:tblCellMar>
        </w:tblPrEx>
        <w:trPr>
          <w:trHeight w:val="16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白脏清洗台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台面尺寸：6000*1200*800mm，框架为38*38*1.7-2和25*25*1.5不锈钢方管</w:t>
            </w:r>
          </w:p>
        </w:tc>
      </w:tr>
      <w:tr>
        <w:tblPrEx>
          <w:tblCellMar>
            <w:top w:w="0" w:type="dxa"/>
            <w:left w:w="0" w:type="dxa"/>
            <w:bottom w:w="0" w:type="dxa"/>
            <w:right w:w="0" w:type="dxa"/>
          </w:tblCellMar>
        </w:tblPrEx>
        <w:trPr>
          <w:trHeight w:val="24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红脏接收槽</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台面尺寸：6000*800*800mm，框架为38*38*1.7-2和25*25*1.5不锈钢方管</w:t>
            </w:r>
          </w:p>
        </w:tc>
      </w:tr>
      <w:tr>
        <w:tblPrEx>
          <w:tblCellMar>
            <w:top w:w="0" w:type="dxa"/>
            <w:left w:w="0" w:type="dxa"/>
            <w:bottom w:w="0" w:type="dxa"/>
            <w:right w:w="0" w:type="dxa"/>
          </w:tblCellMar>
        </w:tblPrEx>
        <w:trPr>
          <w:trHeight w:val="2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红脏清洗台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台面尺寸：3000*1200*800mm，框架为38*38*1.7-2和25*25*1.5不锈钢方管</w:t>
            </w: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清洗池</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14</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尺寸：1800*600*600mm，框架为38*38*1.7-2和25*25*1.5不锈钢方管</w:t>
            </w:r>
          </w:p>
        </w:tc>
      </w:tr>
      <w:tr>
        <w:tblPrEx>
          <w:tblCellMar>
            <w:top w:w="0" w:type="dxa"/>
            <w:left w:w="0" w:type="dxa"/>
            <w:bottom w:w="0" w:type="dxa"/>
            <w:right w:w="0" w:type="dxa"/>
          </w:tblCellMar>
        </w:tblPrEx>
        <w:trPr>
          <w:trHeight w:val="29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送料小车</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辆</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包括：6寸聚氨酯滚轮不锈钢滚轴，厚4.7-5mm不锈钢板固定轮架，肉车内部为圆弧结构，板厚1.7-2mm，不锈钢制作，200L</w:t>
            </w:r>
          </w:p>
        </w:tc>
      </w:tr>
      <w:tr>
        <w:tblPrEx>
          <w:tblCellMar>
            <w:top w:w="0" w:type="dxa"/>
            <w:left w:w="0" w:type="dxa"/>
            <w:bottom w:w="0" w:type="dxa"/>
            <w:right w:w="0" w:type="dxa"/>
          </w:tblCellMar>
        </w:tblPrEx>
        <w:trPr>
          <w:trHeight w:val="27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五，辅助设备单元</w:t>
            </w:r>
          </w:p>
        </w:tc>
      </w:tr>
      <w:tr>
        <w:tblPrEx>
          <w:tblCellMar>
            <w:top w:w="0" w:type="dxa"/>
            <w:left w:w="0" w:type="dxa"/>
            <w:bottom w:w="0" w:type="dxa"/>
            <w:right w:w="0" w:type="dxa"/>
          </w:tblCellMar>
        </w:tblPrEx>
        <w:trPr>
          <w:trHeight w:val="2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更衣柜</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组</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304材质不锈钢制作1.0mm厚，尺寸：500*400*1800</w:t>
            </w:r>
          </w:p>
        </w:tc>
      </w:tr>
      <w:tr>
        <w:tblPrEx>
          <w:tblCellMar>
            <w:top w:w="0" w:type="dxa"/>
            <w:left w:w="0" w:type="dxa"/>
            <w:bottom w:w="0" w:type="dxa"/>
            <w:right w:w="0" w:type="dxa"/>
          </w:tblCellMar>
        </w:tblPrEx>
        <w:trPr>
          <w:trHeight w:val="2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更衣凳</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1200*400*400，1.0mm厚不锈钢钢板，立腿38*38*1.2、横撑38*25*1.0</w:t>
            </w:r>
          </w:p>
        </w:tc>
      </w:tr>
      <w:tr>
        <w:tblPrEx>
          <w:tblCellMar>
            <w:top w:w="0" w:type="dxa"/>
            <w:left w:w="0" w:type="dxa"/>
            <w:bottom w:w="0" w:type="dxa"/>
            <w:right w:w="0" w:type="dxa"/>
          </w:tblCellMar>
        </w:tblPrEx>
        <w:trPr>
          <w:trHeight w:val="1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衣物架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面板304材质厚1.0mm不锈钢钢板，1000*390*1600，共四层，立柱为38*38*1.2mm不锈钢方管</w:t>
            </w:r>
          </w:p>
        </w:tc>
      </w:tr>
      <w:tr>
        <w:tblPrEx>
          <w:tblCellMar>
            <w:top w:w="0" w:type="dxa"/>
            <w:left w:w="0" w:type="dxa"/>
            <w:bottom w:w="0" w:type="dxa"/>
            <w:right w:w="0" w:type="dxa"/>
          </w:tblCellMar>
        </w:tblPrEx>
        <w:trPr>
          <w:trHeight w:val="46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消毒洗手槽</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全为不锈钢制作，尺寸：1500*400*800，槽体T=1.2mm，进水管为30*30*2，出水管阀门DN15，腿、撑38*38*1.5不锈钢方管</w:t>
            </w:r>
          </w:p>
        </w:tc>
      </w:tr>
      <w:tr>
        <w:tblPrEx>
          <w:tblCellMar>
            <w:top w:w="0" w:type="dxa"/>
            <w:left w:w="0" w:type="dxa"/>
            <w:bottom w:w="0" w:type="dxa"/>
            <w:right w:w="0" w:type="dxa"/>
          </w:tblCellMar>
        </w:tblPrEx>
        <w:trPr>
          <w:trHeight w:val="14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挂靴架</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底座38*38*1.5mm不锈钢方管，1500*500*1500</w:t>
            </w:r>
          </w:p>
        </w:tc>
      </w:tr>
      <w:tr>
        <w:tblPrEx>
          <w:tblCellMar>
            <w:top w:w="0" w:type="dxa"/>
            <w:left w:w="0" w:type="dxa"/>
            <w:bottom w:w="0" w:type="dxa"/>
            <w:right w:w="0" w:type="dxa"/>
          </w:tblCellMar>
        </w:tblPrEx>
        <w:trPr>
          <w:trHeight w:val="23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家具消毒池</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全为不锈钢制作，尺寸：1200*600*800，槽体T=2.0mm，立腿38*38*1.5不锈钢方管，带排水阀、上盖，插刀板厚2.0mm</w:t>
            </w:r>
          </w:p>
        </w:tc>
      </w:tr>
      <w:tr>
        <w:tblPrEx>
          <w:tblCellMar>
            <w:top w:w="0" w:type="dxa"/>
            <w:left w:w="0" w:type="dxa"/>
            <w:bottom w:w="0" w:type="dxa"/>
            <w:right w:w="0" w:type="dxa"/>
          </w:tblCellMar>
        </w:tblPrEx>
        <w:trPr>
          <w:trHeight w:val="17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道具暂存柜</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个</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304材质厚1.0mm不锈钢钢板1200*500*1500，带紫外线消毒</w:t>
            </w: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热缩炉</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1000*800*700，全不锈钢制作</w:t>
            </w:r>
          </w:p>
        </w:tc>
      </w:tr>
      <w:tr>
        <w:tblPrEx>
          <w:tblCellMar>
            <w:top w:w="0" w:type="dxa"/>
            <w:left w:w="0" w:type="dxa"/>
            <w:bottom w:w="0" w:type="dxa"/>
            <w:right w:w="0" w:type="dxa"/>
          </w:tblCellMar>
        </w:tblPrEx>
        <w:trPr>
          <w:trHeight w:val="1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9</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空压机1</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用于击晕枪，含管道，14kg</w:t>
            </w:r>
          </w:p>
        </w:tc>
      </w:tr>
      <w:tr>
        <w:tblPrEx>
          <w:tblCellMar>
            <w:top w:w="0" w:type="dxa"/>
            <w:left w:w="0" w:type="dxa"/>
            <w:bottom w:w="0" w:type="dxa"/>
            <w:right w:w="0" w:type="dxa"/>
          </w:tblCellMar>
        </w:tblPrEx>
        <w:trPr>
          <w:trHeight w:val="42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空压机2</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用于设备的涨紧，看螺杆式空压机、储气罐、干湿分离器、气路管道等连接管件1m³</w:t>
            </w:r>
          </w:p>
        </w:tc>
      </w:tr>
      <w:tr>
        <w:tblPrEx>
          <w:tblCellMar>
            <w:top w:w="0" w:type="dxa"/>
            <w:left w:w="0" w:type="dxa"/>
            <w:bottom w:w="0" w:type="dxa"/>
            <w:right w:w="0" w:type="dxa"/>
          </w:tblCellMar>
        </w:tblPrEx>
        <w:trPr>
          <w:trHeight w:val="20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空压机3</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含螺杆式空压机、储气罐、气路管道等连接管件，3m³</w:t>
            </w:r>
          </w:p>
        </w:tc>
      </w:tr>
      <w:tr>
        <w:tblPrEx>
          <w:tblCellMar>
            <w:top w:w="0" w:type="dxa"/>
            <w:left w:w="0" w:type="dxa"/>
            <w:bottom w:w="0" w:type="dxa"/>
            <w:right w:w="0" w:type="dxa"/>
          </w:tblCellMar>
        </w:tblPrEx>
        <w:trPr>
          <w:trHeight w:val="270"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六、进口工具设备单元</w:t>
            </w:r>
          </w:p>
        </w:tc>
      </w:tr>
      <w:tr>
        <w:tblPrEx>
          <w:tblCellMar>
            <w:top w:w="0" w:type="dxa"/>
            <w:left w:w="0" w:type="dxa"/>
            <w:bottom w:w="0" w:type="dxa"/>
            <w:right w:w="0" w:type="dxa"/>
          </w:tblCellMar>
        </w:tblPrEx>
        <w:trPr>
          <w:trHeight w:val="15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气动击晕枪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含平衡器</w:t>
            </w:r>
          </w:p>
        </w:tc>
      </w:tr>
      <w:tr>
        <w:tblPrEx>
          <w:tblCellMar>
            <w:top w:w="0" w:type="dxa"/>
            <w:left w:w="0" w:type="dxa"/>
            <w:bottom w:w="0" w:type="dxa"/>
            <w:right w:w="0" w:type="dxa"/>
          </w:tblCellMar>
        </w:tblPrEx>
        <w:trPr>
          <w:trHeight w:val="12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开胸骨器</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含平衡器、变压器、设备钢条</w:t>
            </w: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带式劈半锯</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含平衡器、变压器、锯条20根</w:t>
            </w:r>
          </w:p>
        </w:tc>
      </w:tr>
      <w:tr>
        <w:tblPrEx>
          <w:tblCellMar>
            <w:top w:w="0" w:type="dxa"/>
            <w:left w:w="0" w:type="dxa"/>
            <w:bottom w:w="0" w:type="dxa"/>
            <w:right w:w="0" w:type="dxa"/>
          </w:tblCellMar>
        </w:tblPrEx>
        <w:trPr>
          <w:trHeight w:val="15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四分体锯</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含平衡器</w:t>
            </w: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后蹄剪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含液压站、平衡器</w:t>
            </w:r>
          </w:p>
        </w:tc>
      </w:tr>
      <w:tr>
        <w:tblPrEx>
          <w:tblCellMar>
            <w:top w:w="0" w:type="dxa"/>
            <w:left w:w="0" w:type="dxa"/>
            <w:bottom w:w="0" w:type="dxa"/>
            <w:right w:w="0" w:type="dxa"/>
          </w:tblCellMar>
        </w:tblPrEx>
        <w:trPr>
          <w:trHeight w:val="2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前蹄剪</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含液压站、平衡器</w:t>
            </w: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气动剥皮刀</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含二联体、刀架、气管</w:t>
            </w:r>
          </w:p>
        </w:tc>
      </w:tr>
      <w:tr>
        <w:tblPrEx>
          <w:tblCellMar>
            <w:top w:w="0" w:type="dxa"/>
            <w:left w:w="0" w:type="dxa"/>
            <w:bottom w:w="0" w:type="dxa"/>
            <w:right w:w="0" w:type="dxa"/>
          </w:tblCellMar>
        </w:tblPrEx>
        <w:trPr>
          <w:trHeight w:val="11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锯骨机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含锯条20根</w:t>
            </w:r>
          </w:p>
        </w:tc>
      </w:tr>
      <w:tr>
        <w:tblPrEx>
          <w:tblCellMar>
            <w:top w:w="0" w:type="dxa"/>
            <w:left w:w="0" w:type="dxa"/>
            <w:bottom w:w="0" w:type="dxa"/>
            <w:right w:w="0" w:type="dxa"/>
          </w:tblCellMar>
        </w:tblPrEx>
        <w:trPr>
          <w:trHeight w:val="14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9</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真空包装机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包装尺寸：2*800*610*200，真空泵200</w:t>
            </w:r>
          </w:p>
        </w:tc>
      </w:tr>
      <w:tr>
        <w:tblPrEx>
          <w:tblCellMar>
            <w:top w:w="0" w:type="dxa"/>
            <w:left w:w="0" w:type="dxa"/>
            <w:bottom w:w="0" w:type="dxa"/>
            <w:right w:w="0" w:type="dxa"/>
          </w:tblCellMar>
        </w:tblPrEx>
        <w:trPr>
          <w:trHeight w:val="20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电刺激</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手提式，含5种程序控制方式</w:t>
            </w:r>
          </w:p>
        </w:tc>
      </w:tr>
      <w:tr>
        <w:tblPrEx>
          <w:tblCellMar>
            <w:top w:w="0" w:type="dxa"/>
            <w:left w:w="0" w:type="dxa"/>
            <w:bottom w:w="0" w:type="dxa"/>
            <w:right w:w="0" w:type="dxa"/>
          </w:tblCellMar>
        </w:tblPrEx>
        <w:trPr>
          <w:trHeight w:val="18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11</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食管结扎器</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含5000个结扎环</w:t>
            </w:r>
          </w:p>
        </w:tc>
      </w:tr>
      <w:tr>
        <w:tblPrEx>
          <w:tblCellMar>
            <w:top w:w="0" w:type="dxa"/>
            <w:left w:w="0" w:type="dxa"/>
            <w:bottom w:w="0" w:type="dxa"/>
            <w:right w:w="0" w:type="dxa"/>
          </w:tblCellMar>
        </w:tblPrEx>
        <w:trPr>
          <w:trHeight w:val="17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12</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肛门结扎器</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含3000个结扎环</w:t>
            </w:r>
          </w:p>
        </w:tc>
      </w:tr>
      <w:tr>
        <w:tblPrEx>
          <w:tblCellMar>
            <w:top w:w="0" w:type="dxa"/>
            <w:left w:w="0" w:type="dxa"/>
            <w:bottom w:w="0" w:type="dxa"/>
            <w:right w:w="0" w:type="dxa"/>
          </w:tblCellMar>
        </w:tblPrEx>
        <w:trPr>
          <w:trHeight w:val="9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磨刀机</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12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14</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刀鞘</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件</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15</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磨刀辊</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把</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125"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16</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刀具</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把</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含2把宰杀刀、20把剥皮刀、33把剔骨刀、45把分割刀</w:t>
            </w:r>
          </w:p>
        </w:tc>
      </w:tr>
      <w:tr>
        <w:tblPrEx>
          <w:tblCellMar>
            <w:top w:w="0" w:type="dxa"/>
            <w:left w:w="0" w:type="dxa"/>
            <w:bottom w:w="0" w:type="dxa"/>
            <w:right w:w="0" w:type="dxa"/>
          </w:tblCellMar>
        </w:tblPrEx>
        <w:trPr>
          <w:trHeight w:val="14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17</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工作服</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套</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180" w:hRule="atLeast"/>
          <w:jc w:val="center"/>
        </w:trPr>
        <w:tc>
          <w:tcPr>
            <w:tcW w:w="2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18</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雨靴</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双</w:t>
            </w:r>
          </w:p>
        </w:tc>
        <w:tc>
          <w:tcPr>
            <w:tcW w:w="3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50</w:t>
            </w:r>
          </w:p>
        </w:tc>
        <w:tc>
          <w:tcPr>
            <w:tcW w:w="348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p>
        </w:tc>
      </w:tr>
    </w:tbl>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6</w:t>
      </w:r>
      <w:r>
        <w:rPr>
          <w:b/>
          <w:sz w:val="24"/>
        </w:rPr>
        <w:t xml:space="preserve"> </w:t>
      </w:r>
      <w:r>
        <w:rPr>
          <w:rFonts w:hint="eastAsia"/>
          <w:b/>
          <w:sz w:val="24"/>
          <w:lang w:val="en-US" w:eastAsia="zh-CN"/>
        </w:rPr>
        <w:t xml:space="preserve">  主要质检设备一览表</w:t>
      </w:r>
    </w:p>
    <w:tbl>
      <w:tblPr>
        <w:tblStyle w:val="88"/>
        <w:tblW w:w="4998" w:type="pct"/>
        <w:jc w:val="center"/>
        <w:shd w:val="clear" w:color="auto" w:fill="auto"/>
        <w:tblLayout w:type="autofit"/>
        <w:tblCellMar>
          <w:top w:w="0" w:type="dxa"/>
          <w:left w:w="0" w:type="dxa"/>
          <w:bottom w:w="0" w:type="dxa"/>
          <w:right w:w="0" w:type="dxa"/>
        </w:tblCellMar>
      </w:tblPr>
      <w:tblGrid>
        <w:gridCol w:w="505"/>
        <w:gridCol w:w="1980"/>
        <w:gridCol w:w="1025"/>
        <w:gridCol w:w="730"/>
        <w:gridCol w:w="4099"/>
      </w:tblGrid>
      <w:tr>
        <w:tblPrEx>
          <w:shd w:val="clear" w:color="auto" w:fill="auto"/>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序号</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名称</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单位</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数量</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规格型号</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电子天平</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BS224S 220g/0.1mg</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高压灭菌锅</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280 不锈钢材质，18L煤电两用</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超净工作台</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SW-CJ-1BU单人、水平送风</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4</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huangqumei素测定仪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EAB1-95 测定范围≥0.1ug/kg</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5</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均质仪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FJ-200 300-23000r/min</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6</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鼓风干燥箱</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101-2ABS数显不锈钢胆550*550*450</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真空干燥箱</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DZF-2B智能数显不锈钢胆415*370*345</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8</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微生物培养箱</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DHP-500BS数显不锈钢胆500*500*600</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生化培养箱</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SPX-250 250L 5~50℃精度0.5℃</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10</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CO2培养箱</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HHCP-01W（水套）160L 温度波动度±0.2℃</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11</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酸度计</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PHS-3C 0-14.00PH 0.01</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12</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生物显微镜</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FL-36A 1600倍双目</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离心机</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TGL-16 16000r/min</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14</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恒温水浴锅</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双列四孔（不锈钢）</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15</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紫外分光光度计</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751GD 195-1000nm 2nm</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16</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气相色谱仪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GC9600</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17</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蒸馏水器</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SYZ-550B 1000ml/小时</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18</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菌落计数器</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XK-97A</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旋转蒸发器</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RE-52 50-2000ml 温度数显</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20</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旋光仪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圆盘G-4</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21</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罗维朋比色计</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WSL-1</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22</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阿贝折射仪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2WAJ</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23</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电导率仪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DDS-11A（台式）</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24</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白度仪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SBDY-1</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25</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散射光浊度仪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WGZ-200自动校正,配电脑,带打印接口</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26</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色度仪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H193727</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27</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高速万能粉碎机</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FW80 10000r/min</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28</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恒温水浴振荡器</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SHA-C数显</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29</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氮磷钙测定仪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NPC-02 配4孔消化炉,电极型</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30</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水份测定仪</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2</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 xml:space="preserve"> WS-4 200g/1mg</w:t>
            </w:r>
          </w:p>
        </w:tc>
      </w:tr>
      <w:tr>
        <w:tblPrEx>
          <w:tblCellMar>
            <w:top w:w="0" w:type="dxa"/>
            <w:left w:w="0" w:type="dxa"/>
            <w:bottom w:w="0" w:type="dxa"/>
            <w:right w:w="0" w:type="dxa"/>
          </w:tblCellMar>
        </w:tblPrEx>
        <w:trPr>
          <w:trHeight w:val="270" w:hRule="atLeast"/>
          <w:jc w:val="center"/>
        </w:trPr>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31</w:t>
            </w:r>
          </w:p>
        </w:tc>
        <w:tc>
          <w:tcPr>
            <w:tcW w:w="11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霉菌培养箱</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台</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c>
          <w:tcPr>
            <w:tcW w:w="247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MJ-250 250L数显,微电脑控制,不锈钢内胆</w:t>
            </w:r>
          </w:p>
        </w:tc>
      </w:tr>
    </w:tbl>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7</w:t>
      </w:r>
      <w:r>
        <w:rPr>
          <w:b/>
          <w:sz w:val="24"/>
        </w:rPr>
        <w:t xml:space="preserve"> </w:t>
      </w:r>
      <w:r>
        <w:rPr>
          <w:rFonts w:hint="eastAsia"/>
          <w:b/>
          <w:sz w:val="24"/>
          <w:lang w:val="en-US" w:eastAsia="zh-CN"/>
        </w:rPr>
        <w:t xml:space="preserve">  主要冷库设备一览表</w:t>
      </w:r>
    </w:p>
    <w:tbl>
      <w:tblPr>
        <w:tblStyle w:val="88"/>
        <w:tblW w:w="4998" w:type="pct"/>
        <w:jc w:val="center"/>
        <w:shd w:val="clear" w:color="auto" w:fill="auto"/>
        <w:tblLayout w:type="autofit"/>
        <w:tblCellMar>
          <w:top w:w="0" w:type="dxa"/>
          <w:left w:w="0" w:type="dxa"/>
          <w:bottom w:w="0" w:type="dxa"/>
          <w:right w:w="0" w:type="dxa"/>
        </w:tblCellMar>
      </w:tblPr>
      <w:tblGrid>
        <w:gridCol w:w="626"/>
        <w:gridCol w:w="2871"/>
        <w:gridCol w:w="1665"/>
        <w:gridCol w:w="1223"/>
        <w:gridCol w:w="1954"/>
      </w:tblGrid>
      <w:tr>
        <w:tblPrEx>
          <w:tblCellMar>
            <w:top w:w="0" w:type="dxa"/>
            <w:left w:w="0" w:type="dxa"/>
            <w:bottom w:w="0" w:type="dxa"/>
            <w:right w:w="0" w:type="dxa"/>
          </w:tblCellMar>
        </w:tblPrEx>
        <w:trPr>
          <w:trHeight w:val="270" w:hRule="atLeast"/>
          <w:jc w:val="center"/>
        </w:trPr>
        <w:tc>
          <w:tcPr>
            <w:tcW w:w="375" w:type="pc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序号</w:t>
            </w:r>
          </w:p>
        </w:tc>
        <w:tc>
          <w:tcPr>
            <w:tcW w:w="1721" w:type="pc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项目</w:t>
            </w:r>
          </w:p>
        </w:tc>
        <w:tc>
          <w:tcPr>
            <w:tcW w:w="998" w:type="pc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规格</w:t>
            </w:r>
          </w:p>
        </w:tc>
        <w:tc>
          <w:tcPr>
            <w:tcW w:w="733" w:type="pc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单位</w:t>
            </w:r>
          </w:p>
        </w:tc>
        <w:tc>
          <w:tcPr>
            <w:tcW w:w="1171" w:type="pc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数量</w:t>
            </w:r>
          </w:p>
        </w:tc>
      </w:tr>
      <w:tr>
        <w:tblPrEx>
          <w:tblCellMar>
            <w:top w:w="0" w:type="dxa"/>
            <w:left w:w="0" w:type="dxa"/>
            <w:bottom w:w="0" w:type="dxa"/>
            <w:right w:w="0" w:type="dxa"/>
          </w:tblCellMar>
        </w:tblPrEx>
        <w:trPr>
          <w:trHeight w:val="270" w:hRule="atLeast"/>
          <w:jc w:val="center"/>
        </w:trPr>
        <w:tc>
          <w:tcPr>
            <w:tcW w:w="3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1</w:t>
            </w:r>
          </w:p>
        </w:tc>
        <w:tc>
          <w:tcPr>
            <w:tcW w:w="1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制冷设备</w:t>
            </w:r>
          </w:p>
        </w:tc>
        <w:tc>
          <w:tcPr>
            <w:tcW w:w="9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p>
        </w:tc>
      </w:tr>
      <w:tr>
        <w:tblPrEx>
          <w:tblCellMar>
            <w:top w:w="0" w:type="dxa"/>
            <w:left w:w="0" w:type="dxa"/>
            <w:bottom w:w="0" w:type="dxa"/>
            <w:right w:w="0" w:type="dxa"/>
          </w:tblCellMar>
        </w:tblPrEx>
        <w:trPr>
          <w:trHeight w:val="495" w:hRule="atLeast"/>
          <w:jc w:val="center"/>
        </w:trPr>
        <w:tc>
          <w:tcPr>
            <w:tcW w:w="3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1.1</w:t>
            </w:r>
          </w:p>
        </w:tc>
        <w:tc>
          <w:tcPr>
            <w:tcW w:w="1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氨</w:t>
            </w:r>
            <w:r>
              <w:rPr>
                <w:rFonts w:hint="default" w:ascii="宋体" w:hAnsi="宋体" w:eastAsia="宋体" w:cs="宋体"/>
                <w:i w:val="0"/>
                <w:color w:val="000000"/>
                <w:kern w:val="0"/>
                <w:sz w:val="20"/>
                <w:szCs w:val="20"/>
                <w:u w:val="none"/>
                <w:lang w:val="en-US" w:eastAsia="zh-CN" w:bidi="ar"/>
              </w:rPr>
              <w:t>冷制冷机组</w:t>
            </w:r>
          </w:p>
        </w:tc>
        <w:tc>
          <w:tcPr>
            <w:tcW w:w="9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氨冷</w:t>
            </w: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套</w:t>
            </w:r>
          </w:p>
        </w:tc>
        <w:tc>
          <w:tcPr>
            <w:tcW w:w="11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270" w:hRule="atLeast"/>
          <w:jc w:val="center"/>
        </w:trPr>
        <w:tc>
          <w:tcPr>
            <w:tcW w:w="3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1.2</w:t>
            </w:r>
          </w:p>
        </w:tc>
        <w:tc>
          <w:tcPr>
            <w:tcW w:w="1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外转子吊顶式冷风机</w:t>
            </w:r>
          </w:p>
        </w:tc>
        <w:tc>
          <w:tcPr>
            <w:tcW w:w="9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DD-300</w:t>
            </w: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台</w:t>
            </w:r>
          </w:p>
        </w:tc>
        <w:tc>
          <w:tcPr>
            <w:tcW w:w="11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3</w:t>
            </w:r>
          </w:p>
        </w:tc>
      </w:tr>
      <w:tr>
        <w:tblPrEx>
          <w:tblCellMar>
            <w:top w:w="0" w:type="dxa"/>
            <w:left w:w="0" w:type="dxa"/>
            <w:bottom w:w="0" w:type="dxa"/>
            <w:right w:w="0" w:type="dxa"/>
          </w:tblCellMar>
        </w:tblPrEx>
        <w:trPr>
          <w:trHeight w:val="720" w:hRule="atLeast"/>
          <w:jc w:val="center"/>
        </w:trPr>
        <w:tc>
          <w:tcPr>
            <w:tcW w:w="3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2</w:t>
            </w:r>
          </w:p>
        </w:tc>
        <w:tc>
          <w:tcPr>
            <w:tcW w:w="172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设备、管道、控制、照明系统安装</w:t>
            </w:r>
          </w:p>
        </w:tc>
        <w:tc>
          <w:tcPr>
            <w:tcW w:w="9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铜管、保温、支架、控制、照明系统</w:t>
            </w:r>
          </w:p>
        </w:tc>
        <w:tc>
          <w:tcPr>
            <w:tcW w:w="73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default" w:ascii="宋体" w:hAnsi="宋体" w:eastAsia="宋体" w:cs="宋体"/>
                <w:i w:val="0"/>
                <w:color w:val="000000"/>
                <w:kern w:val="0"/>
                <w:sz w:val="20"/>
                <w:szCs w:val="20"/>
                <w:u w:val="none"/>
                <w:lang w:val="en-US" w:eastAsia="zh-CN" w:bidi="ar"/>
              </w:rPr>
              <w:t>项</w:t>
            </w:r>
          </w:p>
        </w:tc>
        <w:tc>
          <w:tcPr>
            <w:tcW w:w="117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1</w:t>
            </w:r>
          </w:p>
        </w:tc>
      </w:tr>
    </w:tbl>
    <w:p>
      <w:pPr>
        <w:pStyle w:val="6"/>
      </w:pPr>
      <w:bookmarkStart w:id="139" w:name="_Toc15802"/>
      <w:r>
        <w:rPr>
          <w:rFonts w:hint="eastAsia"/>
          <w:lang w:eastAsia="zh-CN"/>
        </w:rPr>
        <w:t>公用工程</w:t>
      </w:r>
      <w:bookmarkEnd w:id="139"/>
    </w:p>
    <w:p>
      <w:pPr>
        <w:pStyle w:val="7"/>
        <w:ind w:left="0" w:firstLine="0"/>
      </w:pPr>
      <w:bookmarkStart w:id="140" w:name="_Toc22727"/>
      <w:r>
        <w:rPr>
          <w:rFonts w:hint="eastAsia"/>
          <w:lang w:eastAsia="zh-CN"/>
        </w:rPr>
        <w:t>给水工程</w:t>
      </w:r>
      <w:bookmarkEnd w:id="140"/>
    </w:p>
    <w:p>
      <w:pPr>
        <w:pStyle w:val="2"/>
        <w:rPr>
          <w:rFonts w:hint="eastAsia"/>
          <w:color w:val="auto"/>
          <w:kern w:val="0"/>
          <w:sz w:val="24"/>
          <w:lang w:eastAsia="zh-CN"/>
        </w:rPr>
      </w:pPr>
      <w:r>
        <w:rPr>
          <w:rFonts w:hint="eastAsia"/>
          <w:color w:val="auto"/>
          <w:kern w:val="0"/>
          <w:sz w:val="24"/>
          <w:lang w:eastAsia="zh-CN"/>
        </w:rPr>
        <w:t>项目区内供水水源由义龙新区给水管网供给。室外给水站区室外给水采用生活、生产、消防给水方式；生活、生产、消防给水由市政给水管网供给；室外设计消防用水量为20L/s，设2个室外地上式消火栓。室内给水系统按用水水质不同分别设置独立的饮用水给水系统、消防给水系统二个部分，设计室内消防用水量为20L/s。</w:t>
      </w:r>
    </w:p>
    <w:p>
      <w:pPr>
        <w:pStyle w:val="2"/>
        <w:rPr>
          <w:rFonts w:hint="eastAsia"/>
          <w:color w:val="auto"/>
          <w:kern w:val="0"/>
          <w:sz w:val="24"/>
          <w:lang w:eastAsia="zh-CN"/>
        </w:rPr>
      </w:pPr>
      <w:r>
        <w:rPr>
          <w:rFonts w:hint="eastAsia"/>
          <w:color w:val="auto"/>
          <w:kern w:val="0"/>
          <w:sz w:val="24"/>
          <w:lang w:eastAsia="zh-CN"/>
        </w:rPr>
        <w:t>本项目用水包括职工生活用水、食堂用水、肉牛屠宰用水、车辆清洗用水、绿化用水、道路场地清洗用水以及不可预见用水，参照《贵州省行业用水定额》（DB52/T725-2011）与《建筑给排水设</w:t>
      </w:r>
      <w:r>
        <w:rPr>
          <w:rFonts w:hint="eastAsia"/>
          <w:color w:val="auto"/>
          <w:kern w:val="0"/>
          <w:sz w:val="24"/>
          <w:lang w:eastAsia="zh-CN"/>
        </w:rPr>
        <mc:AlternateContent>
          <mc:Choice Requires="wpg">
            <w:drawing>
              <wp:anchor distT="0" distB="0" distL="114300" distR="114300" simplePos="0" relativeHeight="2277013504" behindDoc="1" locked="0" layoutInCell="1" allowOverlap="1">
                <wp:simplePos x="0" y="0"/>
                <wp:positionH relativeFrom="page">
                  <wp:posOffset>935355</wp:posOffset>
                </wp:positionH>
                <wp:positionV relativeFrom="page">
                  <wp:posOffset>9792970</wp:posOffset>
                </wp:positionV>
                <wp:extent cx="5688965" cy="1270"/>
                <wp:effectExtent l="0" t="0" r="0" b="0"/>
                <wp:wrapNone/>
                <wp:docPr id="121" name="组合 121"/>
                <wp:cNvGraphicFramePr/>
                <a:graphic xmlns:a="http://schemas.openxmlformats.org/drawingml/2006/main">
                  <a:graphicData uri="http://schemas.microsoft.com/office/word/2010/wordprocessingGroup">
                    <wpg:wgp>
                      <wpg:cNvGrpSpPr/>
                      <wpg:grpSpPr>
                        <a:xfrm>
                          <a:off x="0" y="0"/>
                          <a:ext cx="5688965" cy="1270"/>
                          <a:chOff x="1474" y="15422"/>
                          <a:chExt cx="8959" cy="2"/>
                        </a:xfrm>
                      </wpg:grpSpPr>
                      <wps:wsp>
                        <wps:cNvPr id="74" name="任意多边形 74"/>
                        <wps:cNvSpPr/>
                        <wps:spPr>
                          <a:xfrm>
                            <a:off x="1474" y="15422"/>
                            <a:ext cx="8959" cy="2"/>
                          </a:xfrm>
                          <a:custGeom>
                            <a:avLst/>
                            <a:gdLst/>
                            <a:ahLst/>
                            <a:cxnLst/>
                            <a:pathLst>
                              <a:path w="8959">
                                <a:moveTo>
                                  <a:pt x="0" y="0"/>
                                </a:moveTo>
                                <a:lnTo>
                                  <a:pt x="8959" y="0"/>
                                </a:lnTo>
                              </a:path>
                            </a:pathLst>
                          </a:custGeom>
                          <a:noFill/>
                          <a:ln w="10414"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73.65pt;margin-top:771.1pt;height:0.1pt;width:447.95pt;mso-position-horizontal-relative:page;mso-position-vertical-relative:page;z-index:1773697024;mso-width-relative:page;mso-height-relative:page;" coordorigin="1474,15422" coordsize="8959,2" o:gfxdata="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00/bbbAAAADgEAAA8AAAAAAAAAAQAg&#10;AAAAIgAAAGRycy9kb3ducmV2LnhtbFBLAQIUABQAAAAIAIdO4kAvlHbIfQIAAGsFAAAOAAAAAAAA&#10;AAEAIAAAACoBAABkcnMvZTJvRG9jLnhtbFBLBQYAAAAABgAGAFkBAAAZBgAAAAA=&#10;">
                <o:lock v:ext="edit" aspectratio="f"/>
                <v:shape id="_x0000_s1026" o:spid="_x0000_s1026" o:spt="100" style="position:absolute;left:1474;top:15422;height:2;width:8959;" filled="f" stroked="t" coordsize="8959,1" o:gfxdata="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kM9K/&#10;AAAA2wAAAA8AAAAAAAAAAQAgAAAAIgAAAGRycy9kb3ducmV2LnhtbFBLAQIUABQAAAAIAIdO4kAz&#10;LwWeOwAAADkAAAAQAAAAAAAAAAEAIAAAAA4BAABkcnMvc2hhcGV4bWwueG1sUEsFBgAAAAAGAAYA&#10;WwEAALgDAAAAAA==&#10;" path="m0,0l8959,0e">
                  <v:fill on="f" focussize="0,0"/>
                  <v:stroke weight="0.82pt" color="#000000" joinstyle="round"/>
                  <v:imagedata o:title=""/>
                  <o:lock v:ext="edit" aspectratio="f"/>
                </v:shape>
              </v:group>
            </w:pict>
          </mc:Fallback>
        </mc:AlternateContent>
      </w:r>
      <w:r>
        <w:rPr>
          <w:rFonts w:hint="eastAsia"/>
          <w:color w:val="auto"/>
          <w:kern w:val="0"/>
          <w:sz w:val="24"/>
          <w:lang w:eastAsia="zh-CN"/>
        </w:rPr>
        <w:t>计规范》（GB50015-2003，2009 版），本项目用水量见下表3.</w:t>
      </w:r>
      <w:r>
        <w:rPr>
          <w:rFonts w:hint="eastAsia"/>
          <w:color w:val="auto"/>
          <w:kern w:val="0"/>
          <w:sz w:val="24"/>
          <w:lang w:val="en-US" w:eastAsia="zh-CN"/>
        </w:rPr>
        <w:t>2-8</w:t>
      </w:r>
      <w:r>
        <w:rPr>
          <w:rFonts w:hint="eastAsia"/>
          <w:color w:val="auto"/>
          <w:kern w:val="0"/>
          <w:sz w:val="24"/>
          <w:lang w:eastAsia="zh-CN"/>
        </w:rPr>
        <w:t>。</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8</w:t>
      </w:r>
      <w:r>
        <w:rPr>
          <w:b/>
          <w:sz w:val="24"/>
        </w:rPr>
        <w:t xml:space="preserve"> </w:t>
      </w:r>
      <w:r>
        <w:rPr>
          <w:rFonts w:hint="eastAsia"/>
          <w:b/>
          <w:sz w:val="24"/>
          <w:lang w:val="en-US" w:eastAsia="zh-CN"/>
        </w:rPr>
        <w:t xml:space="preserve">  项目用水量汇总表</w:t>
      </w:r>
    </w:p>
    <w:tbl>
      <w:tblPr>
        <w:tblStyle w:val="88"/>
        <w:tblW w:w="4998" w:type="pct"/>
        <w:tblInd w:w="0" w:type="dxa"/>
        <w:tblLayout w:type="autofit"/>
        <w:tblCellMar>
          <w:top w:w="0" w:type="dxa"/>
          <w:left w:w="0" w:type="dxa"/>
          <w:bottom w:w="0" w:type="dxa"/>
          <w:right w:w="0" w:type="dxa"/>
        </w:tblCellMar>
      </w:tblPr>
      <w:tblGrid>
        <w:gridCol w:w="708"/>
        <w:gridCol w:w="1991"/>
        <w:gridCol w:w="1262"/>
        <w:gridCol w:w="1085"/>
        <w:gridCol w:w="817"/>
        <w:gridCol w:w="1100"/>
        <w:gridCol w:w="1359"/>
      </w:tblGrid>
      <w:tr>
        <w:tblPrEx>
          <w:tblCellMar>
            <w:top w:w="0" w:type="dxa"/>
            <w:left w:w="0" w:type="dxa"/>
            <w:bottom w:w="0" w:type="dxa"/>
            <w:right w:w="0" w:type="dxa"/>
          </w:tblCellMar>
        </w:tblPrEx>
        <w:trPr>
          <w:trHeight w:val="634" w:hRule="exact"/>
        </w:trPr>
        <w:tc>
          <w:tcPr>
            <w:tcW w:w="425" w:type="pct"/>
            <w:tcBorders>
              <w:top w:val="single" w:color="000000" w:sz="4" w:space="0"/>
              <w:left w:val="single" w:color="000000" w:sz="4" w:space="0"/>
              <w:bottom w:val="single" w:color="000000" w:sz="4" w:space="0"/>
              <w:right w:val="single" w:color="000000" w:sz="4" w:space="0"/>
            </w:tcBorders>
            <w:vAlign w:val="center"/>
          </w:tcPr>
          <w:p>
            <w:pPr>
              <w:pStyle w:val="4069"/>
              <w:spacing w:before="145" w:line="240" w:lineRule="auto"/>
              <w:ind w:right="0"/>
              <w:jc w:val="center"/>
              <w:rPr>
                <w:rFonts w:ascii="宋体" w:hAnsi="宋体" w:eastAsia="宋体" w:cs="宋体"/>
                <w:sz w:val="21"/>
                <w:szCs w:val="21"/>
              </w:rPr>
            </w:pPr>
            <w:r>
              <w:rPr>
                <w:rFonts w:ascii="宋体" w:hAnsi="宋体" w:eastAsia="宋体" w:cs="宋体"/>
                <w:b/>
                <w:bCs/>
                <w:spacing w:val="2"/>
                <w:sz w:val="21"/>
                <w:szCs w:val="21"/>
              </w:rPr>
              <w:t>序</w:t>
            </w:r>
            <w:r>
              <w:rPr>
                <w:rFonts w:ascii="宋体" w:hAnsi="宋体" w:eastAsia="宋体" w:cs="宋体"/>
                <w:b/>
                <w:bCs/>
                <w:sz w:val="21"/>
                <w:szCs w:val="21"/>
              </w:rPr>
              <w:t>号</w:t>
            </w:r>
          </w:p>
        </w:tc>
        <w:tc>
          <w:tcPr>
            <w:tcW w:w="1196" w:type="pct"/>
            <w:tcBorders>
              <w:top w:val="single" w:color="000000" w:sz="4" w:space="0"/>
              <w:left w:val="single" w:color="000000" w:sz="4" w:space="0"/>
              <w:bottom w:val="single" w:color="000000" w:sz="4" w:space="0"/>
              <w:right w:val="single" w:color="000000" w:sz="4" w:space="0"/>
            </w:tcBorders>
            <w:vAlign w:val="center"/>
          </w:tcPr>
          <w:p>
            <w:pPr>
              <w:pStyle w:val="4069"/>
              <w:spacing w:before="145" w:line="240" w:lineRule="auto"/>
              <w:ind w:right="0"/>
              <w:jc w:val="center"/>
              <w:rPr>
                <w:rFonts w:ascii="宋体" w:hAnsi="宋体" w:eastAsia="宋体" w:cs="宋体"/>
                <w:sz w:val="21"/>
                <w:szCs w:val="21"/>
              </w:rPr>
            </w:pPr>
            <w:r>
              <w:rPr>
                <w:rFonts w:ascii="宋体" w:hAnsi="宋体" w:eastAsia="宋体" w:cs="宋体"/>
                <w:b/>
                <w:bCs/>
                <w:spacing w:val="1"/>
                <w:sz w:val="21"/>
                <w:szCs w:val="21"/>
              </w:rPr>
              <w:t>用水项目</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4069"/>
              <w:spacing w:before="145" w:line="240" w:lineRule="auto"/>
              <w:ind w:right="0"/>
              <w:jc w:val="center"/>
              <w:rPr>
                <w:rFonts w:ascii="宋体" w:hAnsi="宋体" w:eastAsia="宋体" w:cs="宋体"/>
                <w:sz w:val="21"/>
                <w:szCs w:val="21"/>
              </w:rPr>
            </w:pPr>
            <w:r>
              <w:rPr>
                <w:rFonts w:ascii="宋体" w:hAnsi="宋体" w:eastAsia="宋体" w:cs="宋体"/>
                <w:b/>
                <w:bCs/>
                <w:spacing w:val="2"/>
                <w:sz w:val="21"/>
                <w:szCs w:val="21"/>
              </w:rPr>
              <w:t>用水量</w:t>
            </w:r>
            <w:r>
              <w:rPr>
                <w:rFonts w:ascii="宋体" w:hAnsi="宋体" w:eastAsia="宋体" w:cs="宋体"/>
                <w:b/>
                <w:bCs/>
                <w:spacing w:val="-1"/>
                <w:sz w:val="21"/>
                <w:szCs w:val="21"/>
              </w:rPr>
              <w:t>定</w:t>
            </w:r>
            <w:r>
              <w:rPr>
                <w:rFonts w:ascii="宋体" w:hAnsi="宋体" w:eastAsia="宋体" w:cs="宋体"/>
                <w:b/>
                <w:bCs/>
                <w:sz w:val="21"/>
                <w:szCs w:val="21"/>
              </w:rPr>
              <w:t>额</w:t>
            </w:r>
          </w:p>
        </w:tc>
        <w:tc>
          <w:tcPr>
            <w:tcW w:w="652" w:type="pct"/>
            <w:tcBorders>
              <w:top w:val="single" w:color="000000" w:sz="4" w:space="0"/>
              <w:left w:val="single" w:color="000000" w:sz="4" w:space="0"/>
              <w:bottom w:val="single" w:color="000000" w:sz="4" w:space="0"/>
              <w:right w:val="single" w:color="000000" w:sz="4" w:space="0"/>
            </w:tcBorders>
            <w:vAlign w:val="center"/>
          </w:tcPr>
          <w:p>
            <w:pPr>
              <w:pStyle w:val="4069"/>
              <w:spacing w:before="145" w:line="240" w:lineRule="auto"/>
              <w:ind w:right="0"/>
              <w:jc w:val="center"/>
              <w:rPr>
                <w:rFonts w:ascii="宋体" w:hAnsi="宋体" w:eastAsia="宋体" w:cs="宋体"/>
                <w:sz w:val="21"/>
                <w:szCs w:val="21"/>
              </w:rPr>
            </w:pPr>
            <w:r>
              <w:rPr>
                <w:rFonts w:ascii="宋体" w:hAnsi="宋体" w:eastAsia="宋体" w:cs="宋体"/>
                <w:b/>
                <w:bCs/>
                <w:spacing w:val="2"/>
                <w:sz w:val="21"/>
                <w:szCs w:val="21"/>
              </w:rPr>
              <w:t>数</w:t>
            </w:r>
            <w:r>
              <w:rPr>
                <w:rFonts w:ascii="宋体" w:hAnsi="宋体" w:eastAsia="宋体" w:cs="宋体"/>
                <w:b/>
                <w:bCs/>
                <w:sz w:val="21"/>
                <w:szCs w:val="21"/>
              </w:rPr>
              <w:t>量</w:t>
            </w:r>
          </w:p>
        </w:tc>
        <w:tc>
          <w:tcPr>
            <w:tcW w:w="489" w:type="pct"/>
            <w:tcBorders>
              <w:top w:val="single" w:color="000000" w:sz="4" w:space="0"/>
              <w:left w:val="single" w:color="000000" w:sz="4" w:space="0"/>
              <w:bottom w:val="single" w:color="000000" w:sz="4" w:space="0"/>
              <w:right w:val="single" w:color="000000" w:sz="6" w:space="0"/>
            </w:tcBorders>
            <w:vAlign w:val="center"/>
          </w:tcPr>
          <w:p>
            <w:pPr>
              <w:pStyle w:val="4069"/>
              <w:spacing w:before="145" w:line="240" w:lineRule="auto"/>
              <w:ind w:right="0"/>
              <w:jc w:val="center"/>
              <w:rPr>
                <w:rFonts w:ascii="宋体" w:hAnsi="宋体" w:eastAsia="宋体" w:cs="宋体"/>
                <w:sz w:val="21"/>
                <w:szCs w:val="21"/>
              </w:rPr>
            </w:pPr>
            <w:r>
              <w:rPr>
                <w:rFonts w:ascii="宋体" w:hAnsi="宋体" w:eastAsia="宋体" w:cs="宋体"/>
                <w:b/>
                <w:bCs/>
                <w:spacing w:val="2"/>
                <w:sz w:val="21"/>
                <w:szCs w:val="21"/>
              </w:rPr>
              <w:t>时</w:t>
            </w:r>
            <w:r>
              <w:rPr>
                <w:rFonts w:ascii="宋体" w:hAnsi="宋体" w:eastAsia="宋体" w:cs="宋体"/>
                <w:b/>
                <w:bCs/>
                <w:sz w:val="21"/>
                <w:szCs w:val="21"/>
              </w:rPr>
              <w:t>间</w:t>
            </w:r>
          </w:p>
        </w:tc>
        <w:tc>
          <w:tcPr>
            <w:tcW w:w="661" w:type="pct"/>
            <w:tcBorders>
              <w:top w:val="single" w:color="000000" w:sz="4" w:space="0"/>
              <w:left w:val="single" w:color="000000" w:sz="6" w:space="0"/>
              <w:bottom w:val="single" w:color="000000" w:sz="4" w:space="0"/>
              <w:right w:val="single" w:color="000000" w:sz="6"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b/>
                <w:bCs/>
                <w:spacing w:val="1"/>
                <w:sz w:val="21"/>
                <w:szCs w:val="21"/>
              </w:rPr>
              <w:t>日用水量</w:t>
            </w:r>
          </w:p>
          <w:p>
            <w:pPr>
              <w:pStyle w:val="4069"/>
              <w:spacing w:before="40" w:line="240" w:lineRule="auto"/>
              <w:ind w:right="0"/>
              <w:jc w:val="center"/>
              <w:rPr>
                <w:rFonts w:ascii="宋体" w:hAnsi="宋体" w:eastAsia="宋体" w:cs="宋体"/>
                <w:sz w:val="21"/>
                <w:szCs w:val="21"/>
              </w:rPr>
            </w:pPr>
            <w:r>
              <w:rPr>
                <w:rFonts w:ascii="宋体" w:hAnsi="宋体" w:eastAsia="宋体" w:cs="宋体"/>
                <w:b/>
                <w:bCs/>
                <w:spacing w:val="-1"/>
                <w:sz w:val="21"/>
                <w:szCs w:val="21"/>
              </w:rPr>
              <w:t>（</w:t>
            </w:r>
            <w:r>
              <w:rPr>
                <w:rFonts w:ascii="Times New Roman" w:hAnsi="Times New Roman" w:eastAsia="Times New Roman" w:cs="Times New Roman"/>
                <w:b/>
                <w:bCs/>
                <w:spacing w:val="-1"/>
                <w:sz w:val="21"/>
                <w:szCs w:val="21"/>
              </w:rPr>
              <w:t>m</w:t>
            </w:r>
            <w:r>
              <w:rPr>
                <w:rFonts w:ascii="Times New Roman" w:hAnsi="Times New Roman" w:eastAsia="Times New Roman" w:cs="Times New Roman"/>
                <w:b/>
                <w:bCs/>
                <w:spacing w:val="-1"/>
                <w:position w:val="7"/>
                <w:sz w:val="13"/>
                <w:szCs w:val="13"/>
              </w:rPr>
              <w:t>3</w:t>
            </w:r>
            <w:r>
              <w:rPr>
                <w:rFonts w:ascii="Times New Roman" w:hAnsi="Times New Roman" w:eastAsia="Times New Roman" w:cs="Times New Roman"/>
                <w:b/>
                <w:bCs/>
                <w:spacing w:val="-1"/>
                <w:sz w:val="21"/>
                <w:szCs w:val="21"/>
              </w:rPr>
              <w:t>/d</w:t>
            </w:r>
            <w:r>
              <w:rPr>
                <w:rFonts w:ascii="宋体" w:hAnsi="宋体" w:eastAsia="宋体" w:cs="宋体"/>
                <w:b/>
                <w:bCs/>
                <w:spacing w:val="-1"/>
                <w:sz w:val="21"/>
                <w:szCs w:val="21"/>
              </w:rPr>
              <w:t>）</w:t>
            </w:r>
          </w:p>
        </w:tc>
        <w:tc>
          <w:tcPr>
            <w:tcW w:w="816" w:type="pct"/>
            <w:tcBorders>
              <w:top w:val="single" w:color="000000" w:sz="4" w:space="0"/>
              <w:left w:val="single" w:color="000000" w:sz="6" w:space="0"/>
              <w:bottom w:val="single" w:color="000000" w:sz="4" w:space="0"/>
              <w:right w:val="single" w:color="000000" w:sz="6"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b/>
                <w:bCs/>
                <w:spacing w:val="1"/>
                <w:sz w:val="21"/>
                <w:szCs w:val="21"/>
              </w:rPr>
              <w:t>年用水量</w:t>
            </w:r>
          </w:p>
          <w:p>
            <w:pPr>
              <w:pStyle w:val="4069"/>
              <w:spacing w:before="40" w:line="240" w:lineRule="auto"/>
              <w:ind w:right="0"/>
              <w:jc w:val="center"/>
              <w:rPr>
                <w:rFonts w:ascii="宋体" w:hAnsi="宋体" w:eastAsia="宋体" w:cs="宋体"/>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m</w:t>
            </w:r>
            <w:r>
              <w:rPr>
                <w:rFonts w:ascii="Times New Roman" w:hAnsi="Times New Roman" w:eastAsia="Times New Roman" w:cs="Times New Roman"/>
                <w:b/>
                <w:bCs/>
                <w:position w:val="7"/>
                <w:sz w:val="13"/>
                <w:szCs w:val="13"/>
              </w:rPr>
              <w:t>3</w:t>
            </w:r>
            <w:r>
              <w:rPr>
                <w:rFonts w:ascii="Times New Roman" w:hAnsi="Times New Roman" w:eastAsia="Times New Roman" w:cs="Times New Roman"/>
                <w:b/>
                <w:bCs/>
                <w:sz w:val="21"/>
                <w:szCs w:val="21"/>
              </w:rPr>
              <w:t>/a</w:t>
            </w:r>
            <w:r>
              <w:rPr>
                <w:rFonts w:ascii="宋体" w:hAnsi="宋体" w:eastAsia="宋体" w:cs="宋体"/>
                <w:b/>
                <w:bCs/>
                <w:sz w:val="21"/>
                <w:szCs w:val="21"/>
              </w:rPr>
              <w:t>）</w:t>
            </w:r>
          </w:p>
        </w:tc>
      </w:tr>
      <w:tr>
        <w:tblPrEx>
          <w:tblCellMar>
            <w:top w:w="0" w:type="dxa"/>
            <w:left w:w="0" w:type="dxa"/>
            <w:bottom w:w="0" w:type="dxa"/>
            <w:right w:w="0" w:type="dxa"/>
          </w:tblCellMar>
        </w:tblPrEx>
        <w:trPr>
          <w:trHeight w:val="634" w:hRule="exact"/>
        </w:trPr>
        <w:tc>
          <w:tcPr>
            <w:tcW w:w="425" w:type="pct"/>
            <w:tcBorders>
              <w:top w:val="single" w:color="000000" w:sz="4" w:space="0"/>
              <w:left w:val="single" w:color="000000" w:sz="4" w:space="0"/>
              <w:bottom w:val="single" w:color="000000" w:sz="4" w:space="0"/>
              <w:right w:val="single" w:color="000000" w:sz="4" w:space="0"/>
            </w:tcBorders>
            <w:vAlign w:val="center"/>
          </w:tcPr>
          <w:p>
            <w:pPr>
              <w:pStyle w:val="4069"/>
              <w:spacing w:line="240" w:lineRule="auto"/>
              <w:ind w:right="316"/>
              <w:jc w:val="center"/>
              <w:rPr>
                <w:rFonts w:ascii="Times New Roman" w:hAnsi="Times New Roman" w:eastAsia="Times New Roman" w:cs="Times New Roman"/>
                <w:sz w:val="21"/>
                <w:szCs w:val="21"/>
              </w:rPr>
            </w:pPr>
            <w:r>
              <w:rPr>
                <w:rFonts w:ascii="Times New Roman"/>
                <w:sz w:val="21"/>
              </w:rPr>
              <w:t>1</w:t>
            </w:r>
          </w:p>
        </w:tc>
        <w:tc>
          <w:tcPr>
            <w:tcW w:w="1196" w:type="pct"/>
            <w:tcBorders>
              <w:top w:val="single" w:color="000000" w:sz="4" w:space="0"/>
              <w:left w:val="single" w:color="000000" w:sz="4" w:space="0"/>
              <w:bottom w:val="single" w:color="000000" w:sz="4" w:space="0"/>
              <w:right w:val="single" w:color="000000" w:sz="4" w:space="0"/>
            </w:tcBorders>
            <w:vAlign w:val="center"/>
          </w:tcPr>
          <w:p>
            <w:pPr>
              <w:pStyle w:val="4069"/>
              <w:spacing w:line="276" w:lineRule="exact"/>
              <w:ind w:right="3"/>
              <w:jc w:val="center"/>
              <w:rPr>
                <w:rFonts w:ascii="宋体" w:hAnsi="宋体" w:eastAsia="宋体" w:cs="宋体"/>
                <w:sz w:val="21"/>
                <w:szCs w:val="21"/>
              </w:rPr>
            </w:pPr>
            <w:r>
              <w:rPr>
                <w:rFonts w:ascii="宋体" w:hAnsi="宋体" w:eastAsia="宋体" w:cs="宋体"/>
                <w:sz w:val="21"/>
                <w:szCs w:val="21"/>
              </w:rPr>
              <w:t>职工生活用水</w:t>
            </w:r>
            <w:r>
              <w:rPr>
                <w:rFonts w:ascii="Times New Roman" w:hAnsi="Times New Roman" w:eastAsia="Times New Roman" w:cs="Times New Roman"/>
                <w:sz w:val="21"/>
                <w:szCs w:val="21"/>
              </w:rPr>
              <w:t>(</w:t>
            </w:r>
            <w:r>
              <w:rPr>
                <w:rFonts w:ascii="宋体" w:hAnsi="宋体" w:eastAsia="宋体" w:cs="宋体"/>
                <w:sz w:val="21"/>
                <w:szCs w:val="21"/>
              </w:rPr>
              <w:t>含办公</w:t>
            </w:r>
          </w:p>
          <w:p>
            <w:pPr>
              <w:pStyle w:val="4069"/>
              <w:spacing w:before="24" w:line="240" w:lineRule="auto"/>
              <w:ind w:right="1"/>
              <w:jc w:val="center"/>
              <w:rPr>
                <w:rFonts w:ascii="Times New Roman" w:hAnsi="Times New Roman" w:eastAsia="Times New Roman" w:cs="Times New Roman"/>
                <w:sz w:val="21"/>
                <w:szCs w:val="21"/>
              </w:rPr>
            </w:pPr>
            <w:r>
              <w:rPr>
                <w:rFonts w:ascii="宋体" w:hAnsi="宋体" w:eastAsia="宋体" w:cs="宋体"/>
                <w:sz w:val="21"/>
                <w:szCs w:val="21"/>
              </w:rPr>
              <w:t>用水、淋浴用水</w:t>
            </w:r>
            <w:r>
              <w:rPr>
                <w:rFonts w:ascii="Times New Roman" w:hAnsi="Times New Roman" w:eastAsia="Times New Roman" w:cs="Times New Roman"/>
                <w:sz w:val="21"/>
                <w:szCs w:val="21"/>
              </w:rPr>
              <w:t>)</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4069"/>
              <w:spacing w:before="144" w:line="240" w:lineRule="auto"/>
              <w:ind w:right="0"/>
              <w:jc w:val="center"/>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8</w:t>
            </w:r>
            <w:r>
              <w:rPr>
                <w:rFonts w:ascii="Times New Roman" w:hAnsi="Times New Roman" w:eastAsia="Times New Roman" w:cs="Times New Roman"/>
                <w:sz w:val="21"/>
                <w:szCs w:val="21"/>
              </w:rPr>
              <w:t>0L/</w:t>
            </w:r>
            <w:r>
              <w:rPr>
                <w:rFonts w:ascii="宋体" w:hAnsi="宋体" w:eastAsia="宋体" w:cs="宋体"/>
                <w:sz w:val="21"/>
                <w:szCs w:val="21"/>
              </w:rPr>
              <w:t>人</w:t>
            </w:r>
            <w:r>
              <w:rPr>
                <w:rFonts w:ascii="Times New Roman" w:hAnsi="Times New Roman" w:eastAsia="Times New Roman" w:cs="Times New Roman"/>
                <w:sz w:val="21"/>
                <w:szCs w:val="21"/>
              </w:rPr>
              <w:t>·d</w:t>
            </w:r>
          </w:p>
        </w:tc>
        <w:tc>
          <w:tcPr>
            <w:tcW w:w="652" w:type="pct"/>
            <w:tcBorders>
              <w:top w:val="single" w:color="000000" w:sz="4" w:space="0"/>
              <w:left w:val="single" w:color="000000" w:sz="4" w:space="0"/>
              <w:bottom w:val="single" w:color="000000" w:sz="4" w:space="0"/>
              <w:right w:val="single" w:color="000000" w:sz="4" w:space="0"/>
            </w:tcBorders>
            <w:vAlign w:val="center"/>
          </w:tcPr>
          <w:p>
            <w:pPr>
              <w:pStyle w:val="4069"/>
              <w:spacing w:before="144" w:line="240" w:lineRule="auto"/>
              <w:ind w:left="282" w:right="0"/>
              <w:jc w:val="center"/>
              <w:rPr>
                <w:rFonts w:ascii="宋体" w:hAnsi="宋体" w:eastAsia="宋体" w:cs="宋体"/>
                <w:sz w:val="21"/>
                <w:szCs w:val="21"/>
              </w:rPr>
            </w:pPr>
            <w:r>
              <w:rPr>
                <w:rFonts w:hint="eastAsia" w:ascii="Times New Roman" w:hAnsi="Times New Roman" w:eastAsia="宋体" w:cs="Times New Roman"/>
                <w:sz w:val="21"/>
                <w:szCs w:val="21"/>
                <w:lang w:val="en-US" w:eastAsia="zh-CN"/>
              </w:rPr>
              <w:t>87</w:t>
            </w:r>
            <w:r>
              <w:rPr>
                <w:rFonts w:ascii="宋体" w:hAnsi="宋体" w:eastAsia="宋体" w:cs="宋体"/>
                <w:sz w:val="21"/>
                <w:szCs w:val="21"/>
              </w:rPr>
              <w:t>人</w:t>
            </w:r>
          </w:p>
        </w:tc>
        <w:tc>
          <w:tcPr>
            <w:tcW w:w="489" w:type="pct"/>
            <w:tcBorders>
              <w:top w:val="single" w:color="000000" w:sz="4" w:space="0"/>
              <w:left w:val="single" w:color="000000" w:sz="4" w:space="0"/>
              <w:bottom w:val="single" w:color="000000" w:sz="4" w:space="0"/>
              <w:right w:val="single" w:color="000000" w:sz="6" w:space="0"/>
            </w:tcBorders>
            <w:vAlign w:val="center"/>
          </w:tcPr>
          <w:p>
            <w:pPr>
              <w:pStyle w:val="4069"/>
              <w:spacing w:line="240" w:lineRule="auto"/>
              <w:ind w:right="0"/>
              <w:jc w:val="center"/>
              <w:rPr>
                <w:rFonts w:ascii="Times New Roman" w:hAnsi="Times New Roman" w:eastAsia="Times New Roman" w:cs="Times New Roman"/>
                <w:sz w:val="21"/>
                <w:szCs w:val="21"/>
              </w:rPr>
            </w:pPr>
            <w:r>
              <w:rPr>
                <w:rFonts w:ascii="Times New Roman"/>
                <w:sz w:val="21"/>
              </w:rPr>
              <w:t>360d</w:t>
            </w:r>
          </w:p>
        </w:tc>
        <w:tc>
          <w:tcPr>
            <w:tcW w:w="661" w:type="pct"/>
            <w:tcBorders>
              <w:top w:val="single" w:color="000000" w:sz="4" w:space="0"/>
              <w:left w:val="single" w:color="000000" w:sz="6" w:space="0"/>
              <w:bottom w:val="single" w:color="000000" w:sz="4" w:space="0"/>
              <w:right w:val="single" w:color="000000" w:sz="6" w:space="0"/>
            </w:tcBorders>
            <w:vAlign w:val="center"/>
          </w:tcPr>
          <w:p>
            <w:pPr>
              <w:pStyle w:val="4069"/>
              <w:spacing w:line="240" w:lineRule="auto"/>
              <w:ind w:right="446"/>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6.96</w:t>
            </w:r>
          </w:p>
        </w:tc>
        <w:tc>
          <w:tcPr>
            <w:tcW w:w="816" w:type="pct"/>
            <w:tcBorders>
              <w:top w:val="single" w:color="000000" w:sz="4" w:space="0"/>
              <w:left w:val="single" w:color="000000" w:sz="6" w:space="0"/>
              <w:bottom w:val="single" w:color="000000" w:sz="4" w:space="0"/>
              <w:right w:val="single" w:color="000000" w:sz="6" w:space="0"/>
            </w:tcBorders>
            <w:vAlign w:val="center"/>
          </w:tcPr>
          <w:p>
            <w:pPr>
              <w:pStyle w:val="4069"/>
              <w:spacing w:line="240" w:lineRule="auto"/>
              <w:ind w:right="394"/>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2505.6</w:t>
            </w:r>
          </w:p>
        </w:tc>
      </w:tr>
      <w:tr>
        <w:tblPrEx>
          <w:tblCellMar>
            <w:top w:w="0" w:type="dxa"/>
            <w:left w:w="0" w:type="dxa"/>
            <w:bottom w:w="0" w:type="dxa"/>
            <w:right w:w="0" w:type="dxa"/>
          </w:tblCellMar>
        </w:tblPrEx>
        <w:trPr>
          <w:trHeight w:val="322" w:hRule="exact"/>
        </w:trPr>
        <w:tc>
          <w:tcPr>
            <w:tcW w:w="425" w:type="pct"/>
            <w:tcBorders>
              <w:top w:val="single" w:color="000000" w:sz="4" w:space="0"/>
              <w:left w:val="single" w:color="000000" w:sz="4" w:space="0"/>
              <w:bottom w:val="single" w:color="000000" w:sz="4" w:space="0"/>
              <w:right w:val="single" w:color="000000" w:sz="4" w:space="0"/>
            </w:tcBorders>
            <w:vAlign w:val="center"/>
          </w:tcPr>
          <w:p>
            <w:pPr>
              <w:pStyle w:val="4069"/>
              <w:spacing w:before="34" w:line="240" w:lineRule="auto"/>
              <w:ind w:right="316"/>
              <w:jc w:val="center"/>
              <w:rPr>
                <w:rFonts w:ascii="Times New Roman" w:hAnsi="Times New Roman" w:eastAsia="Times New Roman" w:cs="Times New Roman"/>
                <w:sz w:val="21"/>
                <w:szCs w:val="21"/>
              </w:rPr>
            </w:pPr>
            <w:r>
              <w:rPr>
                <w:rFonts w:ascii="Times New Roman"/>
                <w:sz w:val="21"/>
              </w:rPr>
              <w:t>2</w:t>
            </w:r>
          </w:p>
        </w:tc>
        <w:tc>
          <w:tcPr>
            <w:tcW w:w="1196" w:type="pct"/>
            <w:tcBorders>
              <w:top w:val="single" w:color="000000" w:sz="4" w:space="0"/>
              <w:left w:val="single" w:color="000000" w:sz="4" w:space="0"/>
              <w:bottom w:val="single" w:color="000000" w:sz="4" w:space="0"/>
              <w:right w:val="single" w:color="000000" w:sz="4" w:space="0"/>
            </w:tcBorders>
            <w:vAlign w:val="center"/>
          </w:tcPr>
          <w:p>
            <w:pPr>
              <w:pStyle w:val="4069"/>
              <w:spacing w:line="260" w:lineRule="exact"/>
              <w:ind w:right="0"/>
              <w:jc w:val="center"/>
              <w:rPr>
                <w:rFonts w:ascii="宋体" w:hAnsi="宋体" w:eastAsia="宋体" w:cs="宋体"/>
                <w:sz w:val="21"/>
                <w:szCs w:val="21"/>
              </w:rPr>
            </w:pPr>
            <w:r>
              <w:rPr>
                <w:rFonts w:ascii="宋体" w:hAnsi="宋体" w:eastAsia="宋体" w:cs="宋体"/>
                <w:sz w:val="21"/>
                <w:szCs w:val="21"/>
              </w:rPr>
              <w:t>食堂用水</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4069"/>
              <w:spacing w:line="276"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40L/</w:t>
            </w:r>
            <w:r>
              <w:rPr>
                <w:rFonts w:ascii="宋体" w:hAnsi="宋体" w:eastAsia="宋体" w:cs="宋体"/>
                <w:sz w:val="21"/>
                <w:szCs w:val="21"/>
              </w:rPr>
              <w:t>人</w:t>
            </w:r>
            <w:r>
              <w:rPr>
                <w:rFonts w:ascii="Times New Roman" w:hAnsi="Times New Roman" w:eastAsia="Times New Roman" w:cs="Times New Roman"/>
                <w:sz w:val="21"/>
                <w:szCs w:val="21"/>
              </w:rPr>
              <w:t>·d</w:t>
            </w:r>
          </w:p>
        </w:tc>
        <w:tc>
          <w:tcPr>
            <w:tcW w:w="652" w:type="pct"/>
            <w:tcBorders>
              <w:top w:val="single" w:color="000000" w:sz="4" w:space="0"/>
              <w:left w:val="single" w:color="000000" w:sz="4" w:space="0"/>
              <w:bottom w:val="single" w:color="000000" w:sz="4" w:space="0"/>
              <w:right w:val="single" w:color="000000" w:sz="4" w:space="0"/>
            </w:tcBorders>
            <w:vAlign w:val="center"/>
          </w:tcPr>
          <w:p>
            <w:pPr>
              <w:pStyle w:val="4069"/>
              <w:spacing w:line="276" w:lineRule="exact"/>
              <w:ind w:left="282" w:right="0"/>
              <w:jc w:val="center"/>
              <w:rPr>
                <w:rFonts w:ascii="宋体" w:hAnsi="宋体" w:eastAsia="宋体" w:cs="宋体"/>
                <w:sz w:val="21"/>
                <w:szCs w:val="21"/>
              </w:rPr>
            </w:pPr>
            <w:r>
              <w:rPr>
                <w:rFonts w:hint="eastAsia" w:ascii="Times New Roman" w:hAnsi="Times New Roman" w:eastAsia="宋体" w:cs="Times New Roman"/>
                <w:sz w:val="21"/>
                <w:szCs w:val="21"/>
                <w:lang w:val="en-US" w:eastAsia="zh-CN"/>
              </w:rPr>
              <w:t>87</w:t>
            </w:r>
            <w:r>
              <w:rPr>
                <w:rFonts w:ascii="宋体" w:hAnsi="宋体" w:eastAsia="宋体" w:cs="宋体"/>
                <w:sz w:val="21"/>
                <w:szCs w:val="21"/>
              </w:rPr>
              <w:t>人</w:t>
            </w:r>
          </w:p>
        </w:tc>
        <w:tc>
          <w:tcPr>
            <w:tcW w:w="489" w:type="pct"/>
            <w:tcBorders>
              <w:top w:val="single" w:color="000000" w:sz="4" w:space="0"/>
              <w:left w:val="single" w:color="000000" w:sz="4" w:space="0"/>
              <w:bottom w:val="single" w:color="000000" w:sz="4" w:space="0"/>
              <w:right w:val="single" w:color="000000" w:sz="6" w:space="0"/>
            </w:tcBorders>
            <w:vAlign w:val="center"/>
          </w:tcPr>
          <w:p>
            <w:pPr>
              <w:pStyle w:val="4069"/>
              <w:spacing w:before="34" w:line="240" w:lineRule="auto"/>
              <w:ind w:right="0"/>
              <w:jc w:val="center"/>
              <w:rPr>
                <w:rFonts w:ascii="Times New Roman" w:hAnsi="Times New Roman" w:eastAsia="Times New Roman" w:cs="Times New Roman"/>
                <w:sz w:val="21"/>
                <w:szCs w:val="21"/>
              </w:rPr>
            </w:pPr>
            <w:r>
              <w:rPr>
                <w:rFonts w:ascii="Times New Roman"/>
                <w:sz w:val="21"/>
              </w:rPr>
              <w:t>360d</w:t>
            </w:r>
          </w:p>
        </w:tc>
        <w:tc>
          <w:tcPr>
            <w:tcW w:w="661" w:type="pct"/>
            <w:tcBorders>
              <w:top w:val="single" w:color="000000" w:sz="4" w:space="0"/>
              <w:left w:val="single" w:color="000000" w:sz="6" w:space="0"/>
              <w:bottom w:val="single" w:color="000000" w:sz="4" w:space="0"/>
              <w:right w:val="single" w:color="000000" w:sz="6" w:space="0"/>
            </w:tcBorders>
            <w:vAlign w:val="center"/>
          </w:tcPr>
          <w:p>
            <w:pPr>
              <w:pStyle w:val="4069"/>
              <w:spacing w:before="34" w:line="240" w:lineRule="auto"/>
              <w:ind w:right="446"/>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3.48</w:t>
            </w:r>
          </w:p>
        </w:tc>
        <w:tc>
          <w:tcPr>
            <w:tcW w:w="816" w:type="pct"/>
            <w:tcBorders>
              <w:top w:val="single" w:color="000000" w:sz="4" w:space="0"/>
              <w:left w:val="single" w:color="000000" w:sz="6" w:space="0"/>
              <w:bottom w:val="single" w:color="000000" w:sz="4" w:space="0"/>
              <w:right w:val="single" w:color="000000" w:sz="6" w:space="0"/>
            </w:tcBorders>
            <w:vAlign w:val="center"/>
          </w:tcPr>
          <w:p>
            <w:pPr>
              <w:pStyle w:val="4069"/>
              <w:spacing w:before="34" w:line="240" w:lineRule="auto"/>
              <w:ind w:right="394"/>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1252.8</w:t>
            </w:r>
          </w:p>
        </w:tc>
      </w:tr>
      <w:tr>
        <w:tblPrEx>
          <w:tblCellMar>
            <w:top w:w="0" w:type="dxa"/>
            <w:left w:w="0" w:type="dxa"/>
            <w:bottom w:w="0" w:type="dxa"/>
            <w:right w:w="0" w:type="dxa"/>
          </w:tblCellMar>
        </w:tblPrEx>
        <w:trPr>
          <w:trHeight w:val="322" w:hRule="exact"/>
        </w:trPr>
        <w:tc>
          <w:tcPr>
            <w:tcW w:w="425" w:type="pct"/>
            <w:tcBorders>
              <w:top w:val="single" w:color="000000" w:sz="4" w:space="0"/>
              <w:left w:val="single" w:color="000000" w:sz="4" w:space="0"/>
              <w:bottom w:val="single" w:color="000000" w:sz="4" w:space="0"/>
              <w:right w:val="single" w:color="000000" w:sz="4" w:space="0"/>
            </w:tcBorders>
            <w:vAlign w:val="center"/>
          </w:tcPr>
          <w:p>
            <w:pPr>
              <w:pStyle w:val="4069"/>
              <w:spacing w:before="35" w:line="240" w:lineRule="auto"/>
              <w:ind w:right="316"/>
              <w:jc w:val="center"/>
              <w:rPr>
                <w:rFonts w:hint="eastAsia" w:ascii="Times New Roman" w:hAnsi="Times New Roman" w:eastAsia="宋体" w:cs="Times New Roman"/>
                <w:sz w:val="21"/>
                <w:szCs w:val="21"/>
                <w:lang w:eastAsia="zh-CN"/>
              </w:rPr>
            </w:pPr>
            <w:r>
              <w:rPr>
                <w:rFonts w:hint="eastAsia" w:ascii="Times New Roman" w:eastAsia="宋体"/>
                <w:sz w:val="21"/>
                <w:lang w:val="en-US" w:eastAsia="zh-CN"/>
              </w:rPr>
              <w:t>3</w:t>
            </w:r>
          </w:p>
        </w:tc>
        <w:tc>
          <w:tcPr>
            <w:tcW w:w="1196" w:type="pct"/>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sz w:val="21"/>
                <w:szCs w:val="21"/>
              </w:rPr>
              <w:t>肉牛屠宰用水</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4069"/>
              <w:spacing w:line="277" w:lineRule="exact"/>
              <w:ind w:right="0"/>
              <w:jc w:val="center"/>
              <w:rPr>
                <w:rFonts w:ascii="宋体" w:hAnsi="宋体" w:eastAsia="宋体" w:cs="宋体"/>
                <w:sz w:val="21"/>
                <w:szCs w:val="21"/>
              </w:rPr>
            </w:pPr>
            <w:r>
              <w:rPr>
                <w:rFonts w:hint="eastAsia" w:ascii="Times New Roman" w:hAnsi="Times New Roman" w:eastAsia="宋体" w:cs="Times New Roman"/>
                <w:sz w:val="21"/>
                <w:szCs w:val="21"/>
                <w:lang w:val="en-US" w:eastAsia="zh-CN"/>
              </w:rPr>
              <w:t>5</w:t>
            </w:r>
            <w:r>
              <w:rPr>
                <w:rFonts w:ascii="Times New Roman" w:hAnsi="Times New Roman" w:eastAsia="Times New Roman" w:cs="Times New Roman"/>
                <w:sz w:val="21"/>
                <w:szCs w:val="21"/>
              </w:rPr>
              <w:t>00L/</w:t>
            </w:r>
            <w:r>
              <w:rPr>
                <w:rFonts w:ascii="宋体" w:hAnsi="宋体" w:eastAsia="宋体" w:cs="宋体"/>
                <w:sz w:val="21"/>
                <w:szCs w:val="21"/>
              </w:rPr>
              <w:t>头</w:t>
            </w:r>
          </w:p>
        </w:tc>
        <w:tc>
          <w:tcPr>
            <w:tcW w:w="652" w:type="pct"/>
            <w:tcBorders>
              <w:top w:val="single" w:color="000000" w:sz="4" w:space="0"/>
              <w:left w:val="single" w:color="000000" w:sz="4" w:space="0"/>
              <w:bottom w:val="single" w:color="000000" w:sz="4" w:space="0"/>
              <w:right w:val="single" w:color="000000" w:sz="4" w:space="0"/>
            </w:tcBorders>
            <w:vAlign w:val="center"/>
          </w:tcPr>
          <w:p>
            <w:pPr>
              <w:pStyle w:val="4069"/>
              <w:spacing w:line="277" w:lineRule="exact"/>
              <w:ind w:left="200" w:right="0"/>
              <w:jc w:val="center"/>
              <w:rPr>
                <w:rFonts w:ascii="Times New Roman" w:hAnsi="Times New Roman" w:eastAsia="Times New Roman" w:cs="Times New Roman"/>
                <w:sz w:val="21"/>
                <w:szCs w:val="21"/>
              </w:rPr>
            </w:pPr>
            <w:r>
              <w:rPr>
                <w:rFonts w:hint="eastAsia" w:ascii="Times New Roman" w:hAnsi="Times New Roman" w:eastAsia="宋体" w:cs="Times New Roman"/>
                <w:sz w:val="21"/>
                <w:szCs w:val="21"/>
                <w:lang w:val="en-US" w:eastAsia="zh-CN"/>
              </w:rPr>
              <w:t>83.3</w:t>
            </w:r>
            <w:r>
              <w:rPr>
                <w:rFonts w:ascii="宋体" w:hAnsi="宋体" w:eastAsia="宋体" w:cs="宋体"/>
                <w:sz w:val="21"/>
                <w:szCs w:val="21"/>
              </w:rPr>
              <w:t>头</w:t>
            </w:r>
            <w:r>
              <w:rPr>
                <w:rFonts w:ascii="Times New Roman" w:hAnsi="Times New Roman" w:eastAsia="Times New Roman" w:cs="Times New Roman"/>
                <w:sz w:val="21"/>
                <w:szCs w:val="21"/>
              </w:rPr>
              <w:t>/d</w:t>
            </w:r>
          </w:p>
        </w:tc>
        <w:tc>
          <w:tcPr>
            <w:tcW w:w="489" w:type="pct"/>
            <w:tcBorders>
              <w:top w:val="single" w:color="000000" w:sz="4" w:space="0"/>
              <w:left w:val="single" w:color="000000" w:sz="4" w:space="0"/>
              <w:bottom w:val="single" w:color="000000" w:sz="4" w:space="0"/>
              <w:right w:val="single" w:color="000000" w:sz="6" w:space="0"/>
            </w:tcBorders>
            <w:vAlign w:val="center"/>
          </w:tcPr>
          <w:p>
            <w:pPr>
              <w:pStyle w:val="4069"/>
              <w:spacing w:before="35" w:line="240" w:lineRule="auto"/>
              <w:ind w:right="0"/>
              <w:jc w:val="center"/>
              <w:rPr>
                <w:rFonts w:ascii="Times New Roman" w:hAnsi="Times New Roman" w:eastAsia="Times New Roman" w:cs="Times New Roman"/>
                <w:sz w:val="21"/>
                <w:szCs w:val="21"/>
              </w:rPr>
            </w:pPr>
            <w:r>
              <w:rPr>
                <w:rFonts w:ascii="Times New Roman"/>
                <w:sz w:val="21"/>
              </w:rPr>
              <w:t>360d</w:t>
            </w:r>
          </w:p>
        </w:tc>
        <w:tc>
          <w:tcPr>
            <w:tcW w:w="661" w:type="pct"/>
            <w:tcBorders>
              <w:top w:val="single" w:color="000000" w:sz="4" w:space="0"/>
              <w:left w:val="single" w:color="000000" w:sz="6" w:space="0"/>
              <w:bottom w:val="single" w:color="000000" w:sz="4" w:space="0"/>
              <w:right w:val="single" w:color="000000" w:sz="6" w:space="0"/>
            </w:tcBorders>
            <w:vAlign w:val="center"/>
          </w:tcPr>
          <w:p>
            <w:pPr>
              <w:pStyle w:val="4069"/>
              <w:spacing w:before="35" w:line="240" w:lineRule="auto"/>
              <w:ind w:right="391"/>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41.65</w:t>
            </w:r>
          </w:p>
        </w:tc>
        <w:tc>
          <w:tcPr>
            <w:tcW w:w="816" w:type="pct"/>
            <w:tcBorders>
              <w:top w:val="single" w:color="000000" w:sz="4" w:space="0"/>
              <w:left w:val="single" w:color="000000" w:sz="6" w:space="0"/>
              <w:bottom w:val="single" w:color="000000" w:sz="4" w:space="0"/>
              <w:right w:val="single" w:color="000000" w:sz="6" w:space="0"/>
            </w:tcBorders>
            <w:vAlign w:val="center"/>
          </w:tcPr>
          <w:p>
            <w:pPr>
              <w:pStyle w:val="4069"/>
              <w:spacing w:before="35"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15000</w:t>
            </w:r>
          </w:p>
        </w:tc>
      </w:tr>
      <w:tr>
        <w:tblPrEx>
          <w:tblCellMar>
            <w:top w:w="0" w:type="dxa"/>
            <w:left w:w="0" w:type="dxa"/>
            <w:bottom w:w="0" w:type="dxa"/>
            <w:right w:w="0" w:type="dxa"/>
          </w:tblCellMar>
        </w:tblPrEx>
        <w:trPr>
          <w:trHeight w:val="322" w:hRule="exact"/>
        </w:trPr>
        <w:tc>
          <w:tcPr>
            <w:tcW w:w="425" w:type="pct"/>
            <w:tcBorders>
              <w:top w:val="single" w:color="000000" w:sz="4" w:space="0"/>
              <w:left w:val="single" w:color="000000" w:sz="4" w:space="0"/>
              <w:bottom w:val="single" w:color="000000" w:sz="4" w:space="0"/>
              <w:right w:val="single" w:color="000000" w:sz="4" w:space="0"/>
            </w:tcBorders>
            <w:vAlign w:val="center"/>
          </w:tcPr>
          <w:p>
            <w:pPr>
              <w:pStyle w:val="4069"/>
              <w:spacing w:before="35" w:line="240" w:lineRule="auto"/>
              <w:ind w:right="316"/>
              <w:jc w:val="center"/>
              <w:rPr>
                <w:rFonts w:hint="eastAsia" w:ascii="Times New Roman" w:hAnsi="Times New Roman" w:eastAsia="宋体" w:cs="Times New Roman"/>
                <w:sz w:val="21"/>
                <w:szCs w:val="21"/>
                <w:lang w:eastAsia="zh-CN"/>
              </w:rPr>
            </w:pPr>
            <w:r>
              <w:rPr>
                <w:rFonts w:hint="eastAsia" w:ascii="Times New Roman" w:eastAsia="宋体"/>
                <w:sz w:val="21"/>
                <w:lang w:val="en-US" w:eastAsia="zh-CN"/>
              </w:rPr>
              <w:t>4</w:t>
            </w:r>
          </w:p>
        </w:tc>
        <w:tc>
          <w:tcPr>
            <w:tcW w:w="1196" w:type="pct"/>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sz w:val="21"/>
                <w:szCs w:val="21"/>
              </w:rPr>
              <w:t>车辆清洗用水</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4069"/>
              <w:spacing w:line="276" w:lineRule="exact"/>
              <w:ind w:right="0"/>
              <w:jc w:val="center"/>
              <w:rPr>
                <w:rFonts w:ascii="Times New Roman" w:hAnsi="Times New Roman" w:eastAsia="Times New Roman" w:cs="Times New Roman"/>
                <w:sz w:val="21"/>
                <w:szCs w:val="21"/>
              </w:rPr>
            </w:pPr>
            <w:r>
              <w:rPr>
                <w:rFonts w:ascii="Times New Roman" w:hAnsi="Times New Roman" w:eastAsia="Times New Roman" w:cs="Times New Roman"/>
                <w:sz w:val="21"/>
                <w:szCs w:val="21"/>
              </w:rPr>
              <w:t>500L/</w:t>
            </w:r>
            <w:r>
              <w:rPr>
                <w:rFonts w:ascii="宋体" w:hAnsi="宋体" w:eastAsia="宋体" w:cs="宋体"/>
                <w:sz w:val="21"/>
                <w:szCs w:val="21"/>
              </w:rPr>
              <w:t>辆</w:t>
            </w:r>
            <w:r>
              <w:rPr>
                <w:rFonts w:ascii="Times New Roman" w:hAnsi="Times New Roman" w:eastAsia="Times New Roman" w:cs="Times New Roman"/>
                <w:sz w:val="21"/>
                <w:szCs w:val="21"/>
              </w:rPr>
              <w:t>·d</w:t>
            </w:r>
          </w:p>
        </w:tc>
        <w:tc>
          <w:tcPr>
            <w:tcW w:w="652" w:type="pct"/>
            <w:tcBorders>
              <w:top w:val="single" w:color="000000" w:sz="4" w:space="0"/>
              <w:left w:val="single" w:color="000000" w:sz="4" w:space="0"/>
              <w:bottom w:val="single" w:color="000000" w:sz="4" w:space="0"/>
              <w:right w:val="single" w:color="000000" w:sz="4" w:space="0"/>
            </w:tcBorders>
            <w:vAlign w:val="center"/>
          </w:tcPr>
          <w:p>
            <w:pPr>
              <w:pStyle w:val="4069"/>
              <w:spacing w:line="276" w:lineRule="exact"/>
              <w:ind w:left="335" w:right="0"/>
              <w:jc w:val="center"/>
              <w:rPr>
                <w:rFonts w:ascii="宋体" w:hAnsi="宋体" w:eastAsia="宋体" w:cs="宋体"/>
                <w:sz w:val="21"/>
                <w:szCs w:val="21"/>
              </w:rPr>
            </w:pPr>
            <w:r>
              <w:rPr>
                <w:rFonts w:ascii="Times New Roman" w:hAnsi="Times New Roman" w:eastAsia="Times New Roman" w:cs="Times New Roman"/>
                <w:sz w:val="21"/>
                <w:szCs w:val="21"/>
              </w:rPr>
              <w:t>6</w:t>
            </w:r>
            <w:r>
              <w:rPr>
                <w:rFonts w:ascii="Times New Roman" w:hAnsi="Times New Roman" w:eastAsia="Times New Roman" w:cs="Times New Roman"/>
                <w:spacing w:val="-5"/>
                <w:sz w:val="21"/>
                <w:szCs w:val="21"/>
              </w:rPr>
              <w:t xml:space="preserve"> </w:t>
            </w:r>
            <w:r>
              <w:rPr>
                <w:rFonts w:ascii="宋体" w:hAnsi="宋体" w:eastAsia="宋体" w:cs="宋体"/>
                <w:sz w:val="21"/>
                <w:szCs w:val="21"/>
              </w:rPr>
              <w:t>辆</w:t>
            </w:r>
          </w:p>
        </w:tc>
        <w:tc>
          <w:tcPr>
            <w:tcW w:w="489" w:type="pct"/>
            <w:tcBorders>
              <w:top w:val="single" w:color="000000" w:sz="4" w:space="0"/>
              <w:left w:val="single" w:color="000000" w:sz="4" w:space="0"/>
              <w:bottom w:val="single" w:color="000000" w:sz="4" w:space="0"/>
              <w:right w:val="single" w:color="000000" w:sz="6" w:space="0"/>
            </w:tcBorders>
            <w:vAlign w:val="center"/>
          </w:tcPr>
          <w:p>
            <w:pPr>
              <w:pStyle w:val="4069"/>
              <w:spacing w:before="35" w:line="240" w:lineRule="auto"/>
              <w:ind w:right="0"/>
              <w:jc w:val="center"/>
              <w:rPr>
                <w:rFonts w:ascii="Times New Roman" w:hAnsi="Times New Roman" w:eastAsia="Times New Roman" w:cs="Times New Roman"/>
                <w:sz w:val="21"/>
                <w:szCs w:val="21"/>
              </w:rPr>
            </w:pPr>
            <w:r>
              <w:rPr>
                <w:rFonts w:ascii="Times New Roman"/>
                <w:sz w:val="21"/>
              </w:rPr>
              <w:t>360d</w:t>
            </w:r>
          </w:p>
        </w:tc>
        <w:tc>
          <w:tcPr>
            <w:tcW w:w="661" w:type="pct"/>
            <w:tcBorders>
              <w:top w:val="single" w:color="000000" w:sz="4" w:space="0"/>
              <w:left w:val="single" w:color="000000" w:sz="6" w:space="0"/>
              <w:bottom w:val="single" w:color="000000" w:sz="4" w:space="0"/>
              <w:right w:val="single" w:color="000000" w:sz="6" w:space="0"/>
            </w:tcBorders>
            <w:vAlign w:val="center"/>
          </w:tcPr>
          <w:p>
            <w:pPr>
              <w:pStyle w:val="4069"/>
              <w:spacing w:before="35" w:line="240" w:lineRule="auto"/>
              <w:ind w:right="446"/>
              <w:jc w:val="center"/>
              <w:rPr>
                <w:rFonts w:ascii="Times New Roman" w:hAnsi="Times New Roman" w:eastAsia="Times New Roman" w:cs="Times New Roman"/>
                <w:sz w:val="21"/>
                <w:szCs w:val="21"/>
              </w:rPr>
            </w:pPr>
            <w:r>
              <w:rPr>
                <w:rFonts w:ascii="Times New Roman"/>
                <w:sz w:val="21"/>
              </w:rPr>
              <w:t>3</w:t>
            </w:r>
          </w:p>
        </w:tc>
        <w:tc>
          <w:tcPr>
            <w:tcW w:w="816" w:type="pct"/>
            <w:tcBorders>
              <w:top w:val="single" w:color="000000" w:sz="4" w:space="0"/>
              <w:left w:val="single" w:color="000000" w:sz="6" w:space="0"/>
              <w:bottom w:val="single" w:color="000000" w:sz="4" w:space="0"/>
              <w:right w:val="single" w:color="000000" w:sz="6" w:space="0"/>
            </w:tcBorders>
            <w:vAlign w:val="center"/>
          </w:tcPr>
          <w:p>
            <w:pPr>
              <w:pStyle w:val="4069"/>
              <w:spacing w:before="35" w:line="240" w:lineRule="auto"/>
              <w:ind w:right="0"/>
              <w:jc w:val="center"/>
              <w:rPr>
                <w:rFonts w:ascii="Times New Roman" w:hAnsi="Times New Roman" w:eastAsia="Times New Roman" w:cs="Times New Roman"/>
                <w:sz w:val="21"/>
                <w:szCs w:val="21"/>
              </w:rPr>
            </w:pPr>
            <w:r>
              <w:rPr>
                <w:rFonts w:ascii="Times New Roman"/>
                <w:sz w:val="21"/>
              </w:rPr>
              <w:t>1080</w:t>
            </w:r>
          </w:p>
        </w:tc>
      </w:tr>
      <w:tr>
        <w:tblPrEx>
          <w:tblCellMar>
            <w:top w:w="0" w:type="dxa"/>
            <w:left w:w="0" w:type="dxa"/>
            <w:bottom w:w="0" w:type="dxa"/>
            <w:right w:w="0" w:type="dxa"/>
          </w:tblCellMar>
        </w:tblPrEx>
        <w:trPr>
          <w:trHeight w:val="374" w:hRule="exact"/>
        </w:trPr>
        <w:tc>
          <w:tcPr>
            <w:tcW w:w="425" w:type="pct"/>
            <w:tcBorders>
              <w:top w:val="single" w:color="000000" w:sz="4" w:space="0"/>
              <w:left w:val="single" w:color="000000" w:sz="4" w:space="0"/>
              <w:bottom w:val="single" w:color="000000" w:sz="4" w:space="0"/>
              <w:right w:val="single" w:color="000000" w:sz="4" w:space="0"/>
            </w:tcBorders>
            <w:vAlign w:val="center"/>
          </w:tcPr>
          <w:p>
            <w:pPr>
              <w:pStyle w:val="4069"/>
              <w:spacing w:before="61" w:line="240" w:lineRule="auto"/>
              <w:ind w:right="316"/>
              <w:jc w:val="center"/>
              <w:rPr>
                <w:rFonts w:hint="eastAsia" w:ascii="Times New Roman" w:hAnsi="Times New Roman" w:eastAsia="宋体" w:cs="Times New Roman"/>
                <w:sz w:val="21"/>
                <w:szCs w:val="21"/>
                <w:lang w:eastAsia="zh-CN"/>
              </w:rPr>
            </w:pPr>
            <w:r>
              <w:rPr>
                <w:rFonts w:hint="eastAsia" w:ascii="Times New Roman" w:eastAsia="宋体"/>
                <w:sz w:val="21"/>
                <w:lang w:val="en-US" w:eastAsia="zh-CN"/>
              </w:rPr>
              <w:t>5</w:t>
            </w:r>
          </w:p>
        </w:tc>
        <w:tc>
          <w:tcPr>
            <w:tcW w:w="1196" w:type="pct"/>
            <w:tcBorders>
              <w:top w:val="single" w:color="000000" w:sz="4" w:space="0"/>
              <w:left w:val="single" w:color="000000" w:sz="4" w:space="0"/>
              <w:bottom w:val="single" w:color="000000" w:sz="4" w:space="0"/>
              <w:right w:val="single" w:color="000000" w:sz="4" w:space="0"/>
            </w:tcBorders>
            <w:vAlign w:val="center"/>
          </w:tcPr>
          <w:p>
            <w:pPr>
              <w:pStyle w:val="4069"/>
              <w:spacing w:before="15" w:line="240" w:lineRule="auto"/>
              <w:ind w:right="0"/>
              <w:jc w:val="center"/>
              <w:rPr>
                <w:rFonts w:ascii="宋体" w:hAnsi="宋体" w:eastAsia="宋体" w:cs="宋体"/>
                <w:sz w:val="21"/>
                <w:szCs w:val="21"/>
              </w:rPr>
            </w:pPr>
            <w:r>
              <w:rPr>
                <w:rFonts w:ascii="宋体" w:hAnsi="宋体" w:eastAsia="宋体" w:cs="宋体"/>
                <w:sz w:val="21"/>
                <w:szCs w:val="21"/>
              </w:rPr>
              <w:t>不可预见用水</w:t>
            </w:r>
          </w:p>
        </w:tc>
        <w:tc>
          <w:tcPr>
            <w:tcW w:w="1900" w:type="pct"/>
            <w:gridSpan w:val="3"/>
            <w:tcBorders>
              <w:top w:val="single" w:color="000000" w:sz="4" w:space="0"/>
              <w:left w:val="single" w:color="000000" w:sz="4" w:space="0"/>
              <w:bottom w:val="single" w:color="000000" w:sz="4" w:space="0"/>
              <w:right w:val="single" w:color="000000" w:sz="6" w:space="0"/>
            </w:tcBorders>
            <w:vAlign w:val="center"/>
          </w:tcPr>
          <w:p>
            <w:pPr>
              <w:pStyle w:val="4069"/>
              <w:spacing w:before="17" w:line="240" w:lineRule="auto"/>
              <w:ind w:right="0"/>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z w:val="21"/>
                <w:szCs w:val="21"/>
              </w:rPr>
              <w:t>1~</w:t>
            </w:r>
            <w:r>
              <w:rPr>
                <w:rFonts w:hint="eastAsia" w:ascii="Times New Roman" w:hAnsi="Times New Roman" w:eastAsia="宋体" w:cs="Times New Roman"/>
                <w:sz w:val="21"/>
                <w:szCs w:val="21"/>
                <w:lang w:val="en-US" w:eastAsia="zh-CN"/>
              </w:rPr>
              <w:t>4</w:t>
            </w:r>
            <w:r>
              <w:rPr>
                <w:rFonts w:ascii="宋体" w:hAnsi="宋体" w:eastAsia="宋体" w:cs="宋体"/>
                <w:sz w:val="21"/>
                <w:szCs w:val="21"/>
              </w:rPr>
              <w:t>）</w:t>
            </w:r>
            <w:r>
              <w:rPr>
                <w:rFonts w:ascii="Times New Roman" w:hAnsi="Times New Roman" w:eastAsia="Times New Roman" w:cs="Times New Roman"/>
                <w:sz w:val="21"/>
                <w:szCs w:val="21"/>
              </w:rPr>
              <w:t>*5%</w:t>
            </w:r>
            <w:r>
              <w:rPr>
                <w:rFonts w:ascii="宋体" w:hAnsi="宋体" w:eastAsia="宋体" w:cs="宋体"/>
                <w:sz w:val="21"/>
                <w:szCs w:val="21"/>
              </w:rPr>
              <w:t>（</w:t>
            </w:r>
            <w:r>
              <w:rPr>
                <w:rFonts w:ascii="Times New Roman" w:hAnsi="Times New Roman" w:eastAsia="Times New Roman" w:cs="Times New Roman"/>
                <w:sz w:val="21"/>
                <w:szCs w:val="21"/>
              </w:rPr>
              <w:t>360d</w:t>
            </w:r>
            <w:r>
              <w:rPr>
                <w:rFonts w:ascii="宋体" w:hAnsi="宋体" w:eastAsia="宋体" w:cs="宋体"/>
                <w:sz w:val="21"/>
                <w:szCs w:val="21"/>
              </w:rPr>
              <w:t>）</w:t>
            </w:r>
          </w:p>
        </w:tc>
        <w:tc>
          <w:tcPr>
            <w:tcW w:w="661" w:type="pct"/>
            <w:tcBorders>
              <w:top w:val="single" w:color="000000" w:sz="4" w:space="0"/>
              <w:left w:val="single" w:color="000000" w:sz="6" w:space="0"/>
              <w:bottom w:val="single" w:color="000000" w:sz="4" w:space="0"/>
              <w:right w:val="single" w:color="000000" w:sz="6" w:space="0"/>
            </w:tcBorders>
            <w:vAlign w:val="center"/>
          </w:tcPr>
          <w:p>
            <w:pPr>
              <w:pStyle w:val="4069"/>
              <w:spacing w:before="61"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2.75</w:t>
            </w:r>
          </w:p>
        </w:tc>
        <w:tc>
          <w:tcPr>
            <w:tcW w:w="816" w:type="pct"/>
            <w:tcBorders>
              <w:top w:val="single" w:color="000000" w:sz="4" w:space="0"/>
              <w:left w:val="single" w:color="000000" w:sz="6" w:space="0"/>
              <w:bottom w:val="single" w:color="000000" w:sz="4" w:space="0"/>
              <w:right w:val="single" w:color="000000" w:sz="6" w:space="0"/>
            </w:tcBorders>
            <w:vAlign w:val="center"/>
          </w:tcPr>
          <w:p>
            <w:pPr>
              <w:pStyle w:val="4069"/>
              <w:spacing w:before="61"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991.92</w:t>
            </w:r>
          </w:p>
        </w:tc>
      </w:tr>
      <w:tr>
        <w:tblPrEx>
          <w:tblCellMar>
            <w:top w:w="0" w:type="dxa"/>
            <w:left w:w="0" w:type="dxa"/>
            <w:bottom w:w="0" w:type="dxa"/>
            <w:right w:w="0" w:type="dxa"/>
          </w:tblCellMar>
        </w:tblPrEx>
        <w:trPr>
          <w:trHeight w:val="324" w:hRule="exact"/>
        </w:trPr>
        <w:tc>
          <w:tcPr>
            <w:tcW w:w="425" w:type="pct"/>
            <w:tcBorders>
              <w:top w:val="single" w:color="000000" w:sz="4" w:space="0"/>
              <w:left w:val="single" w:color="000000" w:sz="4" w:space="0"/>
              <w:bottom w:val="single" w:color="000000" w:sz="6" w:space="0"/>
              <w:right w:val="single" w:color="000000" w:sz="4" w:space="0"/>
            </w:tcBorders>
            <w:vAlign w:val="center"/>
          </w:tcPr>
          <w:p>
            <w:pPr>
              <w:pStyle w:val="4069"/>
              <w:spacing w:before="35" w:line="240" w:lineRule="auto"/>
              <w:ind w:right="316"/>
              <w:jc w:val="center"/>
              <w:rPr>
                <w:rFonts w:hint="eastAsia" w:ascii="Times New Roman" w:hAnsi="Times New Roman" w:eastAsia="宋体" w:cs="Times New Roman"/>
                <w:sz w:val="21"/>
                <w:szCs w:val="21"/>
                <w:lang w:eastAsia="zh-CN"/>
              </w:rPr>
            </w:pPr>
            <w:r>
              <w:rPr>
                <w:rFonts w:hint="eastAsia" w:ascii="Times New Roman" w:eastAsia="宋体"/>
                <w:sz w:val="21"/>
                <w:lang w:val="en-US" w:eastAsia="zh-CN"/>
              </w:rPr>
              <w:t>6</w:t>
            </w:r>
          </w:p>
        </w:tc>
        <w:tc>
          <w:tcPr>
            <w:tcW w:w="3096" w:type="pct"/>
            <w:gridSpan w:val="4"/>
            <w:tcBorders>
              <w:top w:val="single" w:color="000000" w:sz="4" w:space="0"/>
              <w:left w:val="single" w:color="000000" w:sz="4" w:space="0"/>
              <w:bottom w:val="single" w:color="000000" w:sz="6" w:space="0"/>
              <w:right w:val="single" w:color="000000" w:sz="6" w:space="0"/>
            </w:tcBorders>
            <w:vAlign w:val="center"/>
          </w:tcPr>
          <w:p>
            <w:pPr>
              <w:pStyle w:val="4069"/>
              <w:spacing w:line="261" w:lineRule="exact"/>
              <w:ind w:right="2"/>
              <w:jc w:val="center"/>
              <w:rPr>
                <w:rFonts w:ascii="宋体" w:hAnsi="宋体" w:eastAsia="宋体" w:cs="宋体"/>
                <w:sz w:val="21"/>
                <w:szCs w:val="21"/>
              </w:rPr>
            </w:pPr>
            <w:r>
              <w:rPr>
                <w:rFonts w:ascii="宋体" w:hAnsi="宋体" w:eastAsia="宋体" w:cs="宋体"/>
                <w:spacing w:val="-1"/>
                <w:sz w:val="21"/>
                <w:szCs w:val="21"/>
              </w:rPr>
              <w:t>合计</w:t>
            </w:r>
          </w:p>
        </w:tc>
        <w:tc>
          <w:tcPr>
            <w:tcW w:w="661" w:type="pct"/>
            <w:tcBorders>
              <w:top w:val="single" w:color="000000" w:sz="4" w:space="0"/>
              <w:left w:val="single" w:color="000000" w:sz="6" w:space="0"/>
              <w:bottom w:val="single" w:color="000000" w:sz="6" w:space="0"/>
              <w:right w:val="single" w:color="000000" w:sz="6" w:space="0"/>
            </w:tcBorders>
            <w:vAlign w:val="center"/>
          </w:tcPr>
          <w:p>
            <w:pPr>
              <w:pStyle w:val="4069"/>
              <w:spacing w:before="35"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57.84</w:t>
            </w:r>
          </w:p>
        </w:tc>
        <w:tc>
          <w:tcPr>
            <w:tcW w:w="816" w:type="pct"/>
            <w:tcBorders>
              <w:top w:val="single" w:color="000000" w:sz="4" w:space="0"/>
              <w:left w:val="single" w:color="000000" w:sz="6" w:space="0"/>
              <w:bottom w:val="single" w:color="000000" w:sz="6" w:space="0"/>
              <w:right w:val="single" w:color="000000" w:sz="6" w:space="0"/>
            </w:tcBorders>
            <w:vAlign w:val="center"/>
          </w:tcPr>
          <w:p>
            <w:pPr>
              <w:pStyle w:val="4069"/>
              <w:spacing w:before="35"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20830.32</w:t>
            </w:r>
          </w:p>
        </w:tc>
      </w:tr>
      <w:tr>
        <w:tblPrEx>
          <w:tblCellMar>
            <w:top w:w="0" w:type="dxa"/>
            <w:left w:w="0" w:type="dxa"/>
            <w:bottom w:w="0" w:type="dxa"/>
            <w:right w:w="0" w:type="dxa"/>
          </w:tblCellMar>
        </w:tblPrEx>
        <w:trPr>
          <w:trHeight w:val="327" w:hRule="exact"/>
        </w:trPr>
        <w:tc>
          <w:tcPr>
            <w:tcW w:w="3522" w:type="pct"/>
            <w:gridSpan w:val="5"/>
            <w:tcBorders>
              <w:top w:val="single" w:color="000000" w:sz="6" w:space="0"/>
              <w:left w:val="single" w:color="000000" w:sz="4" w:space="0"/>
              <w:bottom w:val="single" w:color="000000" w:sz="6" w:space="0"/>
              <w:right w:val="single" w:color="000000" w:sz="6" w:space="0"/>
            </w:tcBorders>
            <w:vAlign w:val="center"/>
          </w:tcPr>
          <w:p>
            <w:pPr>
              <w:pStyle w:val="4069"/>
              <w:spacing w:line="261" w:lineRule="exact"/>
              <w:ind w:left="0" w:right="0"/>
              <w:jc w:val="center"/>
              <w:rPr>
                <w:rFonts w:ascii="宋体" w:hAnsi="宋体" w:eastAsia="宋体" w:cs="宋体"/>
                <w:sz w:val="21"/>
                <w:szCs w:val="21"/>
              </w:rPr>
            </w:pPr>
            <w:r>
              <w:rPr>
                <w:rFonts w:ascii="宋体" w:hAnsi="宋体" w:eastAsia="宋体" w:cs="宋体"/>
                <w:sz w:val="21"/>
                <w:szCs w:val="21"/>
              </w:rPr>
              <w:t>消防用水</w:t>
            </w:r>
          </w:p>
        </w:tc>
        <w:tc>
          <w:tcPr>
            <w:tcW w:w="661" w:type="pct"/>
            <w:tcBorders>
              <w:top w:val="single" w:color="000000" w:sz="6" w:space="0"/>
              <w:left w:val="single" w:color="000000" w:sz="6" w:space="0"/>
              <w:bottom w:val="single" w:color="000000" w:sz="6" w:space="0"/>
              <w:right w:val="single" w:color="000000" w:sz="6" w:space="0"/>
            </w:tcBorders>
            <w:vAlign w:val="center"/>
          </w:tcPr>
          <w:p>
            <w:pPr>
              <w:jc w:val="center"/>
            </w:pPr>
          </w:p>
        </w:tc>
        <w:tc>
          <w:tcPr>
            <w:tcW w:w="816" w:type="pct"/>
            <w:tcBorders>
              <w:top w:val="single" w:color="000000" w:sz="6" w:space="0"/>
              <w:left w:val="single" w:color="000000" w:sz="6" w:space="0"/>
              <w:bottom w:val="single" w:color="000000" w:sz="6" w:space="0"/>
              <w:right w:val="single" w:color="000000" w:sz="6" w:space="0"/>
            </w:tcBorders>
            <w:vAlign w:val="center"/>
          </w:tcPr>
          <w:p>
            <w:pPr>
              <w:pStyle w:val="4069"/>
              <w:spacing w:line="276" w:lineRule="exact"/>
              <w:ind w:right="0"/>
              <w:jc w:val="center"/>
              <w:rPr>
                <w:rFonts w:ascii="宋体" w:hAnsi="宋体" w:eastAsia="宋体" w:cs="宋体"/>
                <w:sz w:val="21"/>
                <w:szCs w:val="21"/>
              </w:rPr>
            </w:pPr>
            <w:r>
              <w:rPr>
                <w:rFonts w:hint="eastAsia" w:ascii="Times New Roman" w:hAnsi="Times New Roman" w:eastAsia="宋体" w:cs="Times New Roman"/>
                <w:spacing w:val="-1"/>
                <w:sz w:val="21"/>
                <w:szCs w:val="21"/>
                <w:lang w:val="en-US" w:eastAsia="zh-CN"/>
              </w:rPr>
              <w:t>756</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sz w:val="21"/>
                <w:szCs w:val="21"/>
              </w:rPr>
              <w:t>/</w:t>
            </w:r>
            <w:r>
              <w:rPr>
                <w:rFonts w:ascii="宋体" w:hAnsi="宋体" w:eastAsia="宋体" w:cs="宋体"/>
                <w:spacing w:val="-1"/>
                <w:sz w:val="21"/>
                <w:szCs w:val="21"/>
              </w:rPr>
              <w:t>次</w:t>
            </w:r>
          </w:p>
        </w:tc>
      </w:tr>
    </w:tbl>
    <w:p>
      <w:pPr>
        <w:pStyle w:val="7"/>
        <w:ind w:left="0" w:firstLine="0"/>
      </w:pPr>
      <w:bookmarkStart w:id="141" w:name="_Toc15936"/>
      <w:r>
        <w:rPr>
          <w:rFonts w:hint="eastAsia"/>
          <w:lang w:eastAsia="zh-CN"/>
        </w:rPr>
        <w:t>排水工程</w:t>
      </w:r>
      <w:bookmarkEnd w:id="141"/>
    </w:p>
    <w:p>
      <w:pPr>
        <w:pStyle w:val="2"/>
        <w:rPr>
          <w:rFonts w:hint="eastAsia"/>
          <w:color w:val="auto"/>
          <w:kern w:val="0"/>
          <w:sz w:val="24"/>
          <w:lang w:eastAsia="zh-CN"/>
        </w:rPr>
      </w:pPr>
      <w:r>
        <w:rPr>
          <w:rFonts w:hint="eastAsia"/>
          <w:color w:val="auto"/>
          <w:kern w:val="0"/>
          <w:sz w:val="24"/>
          <w:lang w:eastAsia="zh-CN"/>
        </w:rPr>
        <w:t>本项目排水包括职工生活污水、食堂废水、肉牛屠宰废水、车辆清洗污水、道路场地清洗污水以及不可预见污水，厂区内实行“清污分流”及“雨污分流”原则。污水经处理达到GB13457-92表 3 中一级标准后排入万屯污水处理厂，最终汇入马岭河。根据《屠宰与肉类加工废水治理工程技术规范》（HJ2004-2010），本项目肉牛屠宰废水量取</w:t>
      </w:r>
      <w:r>
        <w:rPr>
          <w:rFonts w:hint="eastAsia"/>
          <w:color w:val="auto"/>
          <w:kern w:val="0"/>
          <w:sz w:val="24"/>
          <w:lang w:val="en-US" w:eastAsia="zh-CN"/>
        </w:rPr>
        <w:t>0.4</w:t>
      </w:r>
      <w:r>
        <w:rPr>
          <w:rFonts w:hint="eastAsia"/>
          <w:color w:val="auto"/>
          <w:kern w:val="0"/>
          <w:sz w:val="24"/>
          <w:lang w:eastAsia="zh-CN"/>
        </w:rPr>
        <w:t>m</w:t>
      </w:r>
      <w:r>
        <w:rPr>
          <w:rFonts w:hint="eastAsia"/>
          <w:color w:val="auto"/>
          <w:kern w:val="0"/>
          <w:sz w:val="24"/>
          <w:vertAlign w:val="superscript"/>
          <w:lang w:eastAsia="zh-CN"/>
        </w:rPr>
        <w:t>3</w:t>
      </w:r>
      <w:r>
        <w:rPr>
          <w:rFonts w:hint="eastAsia"/>
          <w:color w:val="auto"/>
          <w:kern w:val="0"/>
          <w:sz w:val="24"/>
          <w:lang w:eastAsia="zh-CN"/>
        </w:rPr>
        <w:t>/头。</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2</w:t>
      </w:r>
      <w:r>
        <w:rPr>
          <w:b/>
          <w:sz w:val="24"/>
        </w:rPr>
        <w:t>-</w:t>
      </w:r>
      <w:r>
        <w:rPr>
          <w:rFonts w:hint="eastAsia"/>
          <w:b/>
          <w:sz w:val="24"/>
          <w:lang w:val="en-US" w:eastAsia="zh-CN"/>
        </w:rPr>
        <w:t>9</w:t>
      </w:r>
      <w:r>
        <w:rPr>
          <w:b/>
          <w:sz w:val="24"/>
        </w:rPr>
        <w:t xml:space="preserve"> </w:t>
      </w:r>
      <w:r>
        <w:rPr>
          <w:rFonts w:hint="eastAsia"/>
          <w:b/>
          <w:sz w:val="24"/>
          <w:lang w:val="en-US" w:eastAsia="zh-CN"/>
        </w:rPr>
        <w:t xml:space="preserve">  项目用水量汇总表</w:t>
      </w:r>
    </w:p>
    <w:tbl>
      <w:tblPr>
        <w:tblStyle w:val="88"/>
        <w:tblW w:w="4997" w:type="pct"/>
        <w:tblInd w:w="0" w:type="dxa"/>
        <w:tblLayout w:type="autofit"/>
        <w:tblCellMar>
          <w:top w:w="0" w:type="dxa"/>
          <w:left w:w="0" w:type="dxa"/>
          <w:bottom w:w="0" w:type="dxa"/>
          <w:right w:w="0" w:type="dxa"/>
        </w:tblCellMar>
      </w:tblPr>
      <w:tblGrid>
        <w:gridCol w:w="685"/>
        <w:gridCol w:w="1971"/>
        <w:gridCol w:w="1514"/>
        <w:gridCol w:w="981"/>
        <w:gridCol w:w="1068"/>
        <w:gridCol w:w="800"/>
        <w:gridCol w:w="1304"/>
      </w:tblGrid>
      <w:tr>
        <w:tblPrEx>
          <w:tblCellMar>
            <w:top w:w="0" w:type="dxa"/>
            <w:left w:w="0" w:type="dxa"/>
            <w:bottom w:w="0" w:type="dxa"/>
            <w:right w:w="0" w:type="dxa"/>
          </w:tblCellMar>
        </w:tblPrEx>
        <w:trPr>
          <w:trHeight w:val="634" w:hRule="exact"/>
        </w:trPr>
        <w:tc>
          <w:tcPr>
            <w:tcW w:w="411" w:type="pct"/>
            <w:tcBorders>
              <w:top w:val="single" w:color="000000" w:sz="4" w:space="0"/>
              <w:left w:val="single" w:color="000000" w:sz="6" w:space="0"/>
              <w:bottom w:val="single" w:color="000000" w:sz="4" w:space="0"/>
              <w:right w:val="single" w:color="000000" w:sz="4" w:space="0"/>
            </w:tcBorders>
            <w:vAlign w:val="center"/>
          </w:tcPr>
          <w:p>
            <w:pPr>
              <w:pStyle w:val="4069"/>
              <w:spacing w:before="144" w:line="240" w:lineRule="auto"/>
              <w:ind w:right="0"/>
              <w:jc w:val="center"/>
              <w:rPr>
                <w:rFonts w:ascii="宋体" w:hAnsi="宋体" w:eastAsia="宋体" w:cs="宋体"/>
                <w:sz w:val="21"/>
                <w:szCs w:val="21"/>
              </w:rPr>
            </w:pPr>
            <w:r>
              <w:rPr>
                <w:rFonts w:ascii="宋体" w:hAnsi="宋体" w:eastAsia="宋体" w:cs="宋体"/>
                <w:b/>
                <w:bCs/>
                <w:spacing w:val="2"/>
                <w:sz w:val="21"/>
                <w:szCs w:val="21"/>
              </w:rPr>
              <w:t>序</w:t>
            </w:r>
            <w:r>
              <w:rPr>
                <w:rFonts w:ascii="宋体" w:hAnsi="宋体" w:eastAsia="宋体" w:cs="宋体"/>
                <w:b/>
                <w:bCs/>
                <w:sz w:val="21"/>
                <w:szCs w:val="21"/>
              </w:rPr>
              <w:t>号</w:t>
            </w:r>
          </w:p>
        </w:tc>
        <w:tc>
          <w:tcPr>
            <w:tcW w:w="1183" w:type="pct"/>
            <w:tcBorders>
              <w:top w:val="single" w:color="000000" w:sz="4" w:space="0"/>
              <w:left w:val="single" w:color="000000" w:sz="4" w:space="0"/>
              <w:bottom w:val="single" w:color="000000" w:sz="4" w:space="0"/>
              <w:right w:val="single" w:color="000000" w:sz="6" w:space="0"/>
            </w:tcBorders>
            <w:vAlign w:val="center"/>
          </w:tcPr>
          <w:p>
            <w:pPr>
              <w:pStyle w:val="4069"/>
              <w:spacing w:before="144" w:line="240" w:lineRule="auto"/>
              <w:ind w:right="0"/>
              <w:jc w:val="center"/>
              <w:rPr>
                <w:rFonts w:ascii="宋体" w:hAnsi="宋体" w:eastAsia="宋体" w:cs="宋体"/>
                <w:sz w:val="21"/>
                <w:szCs w:val="21"/>
              </w:rPr>
            </w:pPr>
            <w:r>
              <w:rPr>
                <w:rFonts w:ascii="宋体" w:hAnsi="宋体" w:eastAsia="宋体" w:cs="宋体"/>
                <w:b/>
                <w:bCs/>
                <w:spacing w:val="2"/>
                <w:sz w:val="21"/>
                <w:szCs w:val="21"/>
              </w:rPr>
              <w:t>项</w:t>
            </w:r>
            <w:r>
              <w:rPr>
                <w:rFonts w:ascii="宋体" w:hAnsi="宋体" w:eastAsia="宋体" w:cs="宋体"/>
                <w:b/>
                <w:bCs/>
                <w:sz w:val="21"/>
                <w:szCs w:val="21"/>
              </w:rPr>
              <w:t>目</w:t>
            </w:r>
          </w:p>
        </w:tc>
        <w:tc>
          <w:tcPr>
            <w:tcW w:w="909" w:type="pct"/>
            <w:tcBorders>
              <w:top w:val="single" w:color="000000" w:sz="4" w:space="0"/>
              <w:left w:val="single" w:color="000000" w:sz="6" w:space="0"/>
              <w:bottom w:val="single" w:color="000000" w:sz="4" w:space="0"/>
              <w:right w:val="single" w:color="000000" w:sz="6" w:space="0"/>
            </w:tcBorders>
            <w:vAlign w:val="center"/>
          </w:tcPr>
          <w:p>
            <w:pPr>
              <w:pStyle w:val="4069"/>
              <w:spacing w:before="144" w:line="240" w:lineRule="auto"/>
              <w:ind w:right="0"/>
              <w:jc w:val="center"/>
              <w:rPr>
                <w:rFonts w:ascii="宋体" w:hAnsi="宋体" w:eastAsia="宋体" w:cs="宋体"/>
                <w:sz w:val="21"/>
                <w:szCs w:val="21"/>
              </w:rPr>
            </w:pPr>
            <w:r>
              <w:rPr>
                <w:rFonts w:ascii="宋体" w:hAnsi="宋体" w:eastAsia="宋体" w:cs="宋体"/>
                <w:b/>
                <w:bCs/>
                <w:sz w:val="21"/>
                <w:szCs w:val="21"/>
              </w:rPr>
              <w:t>用水量（</w:t>
            </w:r>
            <w:r>
              <w:rPr>
                <w:rFonts w:ascii="Times New Roman" w:hAnsi="Times New Roman" w:eastAsia="Times New Roman" w:cs="Times New Roman"/>
                <w:b/>
                <w:bCs/>
                <w:sz w:val="21"/>
                <w:szCs w:val="21"/>
              </w:rPr>
              <w:t>m</w:t>
            </w:r>
            <w:r>
              <w:rPr>
                <w:rFonts w:ascii="Times New Roman" w:hAnsi="Times New Roman" w:eastAsia="Times New Roman" w:cs="Times New Roman"/>
                <w:b/>
                <w:bCs/>
                <w:position w:val="7"/>
                <w:sz w:val="13"/>
                <w:szCs w:val="13"/>
              </w:rPr>
              <w:t>3</w:t>
            </w:r>
            <w:r>
              <w:rPr>
                <w:rFonts w:ascii="Times New Roman" w:hAnsi="Times New Roman" w:eastAsia="Times New Roman" w:cs="Times New Roman"/>
                <w:b/>
                <w:bCs/>
                <w:sz w:val="21"/>
                <w:szCs w:val="21"/>
              </w:rPr>
              <w:t>/d</w:t>
            </w:r>
            <w:r>
              <w:rPr>
                <w:rFonts w:ascii="宋体" w:hAnsi="宋体" w:eastAsia="宋体" w:cs="宋体"/>
                <w:b/>
                <w:bCs/>
                <w:sz w:val="21"/>
                <w:szCs w:val="21"/>
              </w:rPr>
              <w:t>）</w:t>
            </w:r>
          </w:p>
        </w:tc>
        <w:tc>
          <w:tcPr>
            <w:tcW w:w="589" w:type="pct"/>
            <w:tcBorders>
              <w:top w:val="single" w:color="000000" w:sz="4" w:space="0"/>
              <w:left w:val="single" w:color="000000" w:sz="6" w:space="0"/>
              <w:bottom w:val="single" w:color="000000" w:sz="4" w:space="0"/>
              <w:right w:val="single" w:color="000000" w:sz="6" w:space="0"/>
            </w:tcBorders>
            <w:vAlign w:val="center"/>
          </w:tcPr>
          <w:p>
            <w:pPr>
              <w:pStyle w:val="4069"/>
              <w:spacing w:before="144" w:line="240" w:lineRule="auto"/>
              <w:ind w:right="0"/>
              <w:jc w:val="center"/>
              <w:rPr>
                <w:rFonts w:ascii="宋体" w:hAnsi="宋体" w:eastAsia="宋体" w:cs="宋体"/>
                <w:sz w:val="21"/>
                <w:szCs w:val="21"/>
              </w:rPr>
            </w:pPr>
            <w:r>
              <w:rPr>
                <w:rFonts w:ascii="宋体" w:hAnsi="宋体" w:eastAsia="宋体" w:cs="宋体"/>
                <w:b/>
                <w:bCs/>
                <w:spacing w:val="1"/>
                <w:sz w:val="21"/>
                <w:szCs w:val="21"/>
              </w:rPr>
              <w:t>产污系数</w:t>
            </w:r>
          </w:p>
        </w:tc>
        <w:tc>
          <w:tcPr>
            <w:tcW w:w="641" w:type="pct"/>
            <w:tcBorders>
              <w:top w:val="single" w:color="000000" w:sz="4" w:space="0"/>
              <w:left w:val="single" w:color="000000" w:sz="6" w:space="0"/>
              <w:bottom w:val="single" w:color="000000" w:sz="4" w:space="0"/>
              <w:right w:val="single" w:color="000000" w:sz="4" w:space="0"/>
            </w:tcBorders>
            <w:vAlign w:val="center"/>
          </w:tcPr>
          <w:p>
            <w:pPr>
              <w:pStyle w:val="4069"/>
              <w:spacing w:line="260" w:lineRule="exact"/>
              <w:ind w:right="3"/>
              <w:jc w:val="center"/>
              <w:rPr>
                <w:rFonts w:ascii="宋体" w:hAnsi="宋体" w:eastAsia="宋体" w:cs="宋体"/>
                <w:sz w:val="21"/>
                <w:szCs w:val="21"/>
              </w:rPr>
            </w:pPr>
            <w:r>
              <w:rPr>
                <w:rFonts w:ascii="宋体" w:hAnsi="宋体" w:eastAsia="宋体" w:cs="宋体"/>
                <w:b/>
                <w:bCs/>
                <w:spacing w:val="1"/>
                <w:sz w:val="21"/>
                <w:szCs w:val="21"/>
              </w:rPr>
              <w:t>污水量</w:t>
            </w:r>
          </w:p>
          <w:p>
            <w:pPr>
              <w:pStyle w:val="4069"/>
              <w:spacing w:before="40" w:line="240" w:lineRule="auto"/>
              <w:ind w:right="3"/>
              <w:jc w:val="center"/>
              <w:rPr>
                <w:rFonts w:ascii="宋体" w:hAnsi="宋体" w:eastAsia="宋体" w:cs="宋体"/>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m</w:t>
            </w:r>
            <w:r>
              <w:rPr>
                <w:rFonts w:ascii="Times New Roman" w:hAnsi="Times New Roman" w:eastAsia="Times New Roman" w:cs="Times New Roman"/>
                <w:b/>
                <w:bCs/>
                <w:position w:val="7"/>
                <w:sz w:val="13"/>
                <w:szCs w:val="13"/>
              </w:rPr>
              <w:t>3</w:t>
            </w:r>
            <w:r>
              <w:rPr>
                <w:rFonts w:ascii="Times New Roman" w:hAnsi="Times New Roman" w:eastAsia="Times New Roman" w:cs="Times New Roman"/>
                <w:b/>
                <w:bCs/>
                <w:sz w:val="21"/>
                <w:szCs w:val="21"/>
              </w:rPr>
              <w:t>/d</w:t>
            </w:r>
            <w:r>
              <w:rPr>
                <w:rFonts w:ascii="宋体" w:hAnsi="宋体" w:eastAsia="宋体" w:cs="宋体"/>
                <w:b/>
                <w:bCs/>
                <w:sz w:val="21"/>
                <w:szCs w:val="21"/>
              </w:rPr>
              <w:t>）</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4069"/>
              <w:spacing w:before="144" w:line="240" w:lineRule="auto"/>
              <w:ind w:right="0"/>
              <w:jc w:val="center"/>
              <w:rPr>
                <w:rFonts w:ascii="宋体" w:hAnsi="宋体" w:eastAsia="宋体" w:cs="宋体"/>
                <w:sz w:val="21"/>
                <w:szCs w:val="21"/>
              </w:rPr>
            </w:pPr>
            <w:r>
              <w:rPr>
                <w:rFonts w:ascii="宋体" w:hAnsi="宋体" w:eastAsia="宋体" w:cs="宋体"/>
                <w:b/>
                <w:bCs/>
                <w:spacing w:val="2"/>
                <w:sz w:val="21"/>
                <w:szCs w:val="21"/>
              </w:rPr>
              <w:t>时</w:t>
            </w:r>
            <w:r>
              <w:rPr>
                <w:rFonts w:ascii="宋体" w:hAnsi="宋体" w:eastAsia="宋体" w:cs="宋体"/>
                <w:b/>
                <w:bCs/>
                <w:sz w:val="21"/>
                <w:szCs w:val="21"/>
              </w:rPr>
              <w:t>间</w:t>
            </w:r>
          </w:p>
        </w:tc>
        <w:tc>
          <w:tcPr>
            <w:tcW w:w="783" w:type="pct"/>
            <w:tcBorders>
              <w:top w:val="single" w:color="000000" w:sz="4" w:space="0"/>
              <w:left w:val="single" w:color="000000" w:sz="4" w:space="0"/>
              <w:bottom w:val="single" w:color="000000" w:sz="4" w:space="0"/>
              <w:right w:val="single" w:color="000000" w:sz="6" w:space="0"/>
            </w:tcBorders>
            <w:vAlign w:val="center"/>
          </w:tcPr>
          <w:p>
            <w:pPr>
              <w:pStyle w:val="4069"/>
              <w:spacing w:line="260" w:lineRule="exact"/>
              <w:ind w:right="0"/>
              <w:jc w:val="center"/>
              <w:rPr>
                <w:rFonts w:ascii="宋体" w:hAnsi="宋体" w:eastAsia="宋体" w:cs="宋体"/>
                <w:sz w:val="21"/>
                <w:szCs w:val="21"/>
              </w:rPr>
            </w:pPr>
            <w:r>
              <w:rPr>
                <w:rFonts w:ascii="宋体" w:hAnsi="宋体" w:eastAsia="宋体" w:cs="宋体"/>
                <w:b/>
                <w:bCs/>
                <w:spacing w:val="1"/>
                <w:sz w:val="21"/>
                <w:szCs w:val="21"/>
              </w:rPr>
              <w:t>年废水量</w:t>
            </w:r>
          </w:p>
          <w:p>
            <w:pPr>
              <w:pStyle w:val="4069"/>
              <w:spacing w:before="40" w:line="240" w:lineRule="auto"/>
              <w:ind w:right="0"/>
              <w:jc w:val="center"/>
              <w:rPr>
                <w:rFonts w:ascii="宋体" w:hAnsi="宋体" w:eastAsia="宋体" w:cs="宋体"/>
                <w:sz w:val="21"/>
                <w:szCs w:val="21"/>
              </w:rPr>
            </w:pPr>
            <w:r>
              <w:rPr>
                <w:rFonts w:ascii="宋体" w:hAnsi="宋体" w:eastAsia="宋体" w:cs="宋体"/>
                <w:b/>
                <w:bCs/>
                <w:sz w:val="21"/>
                <w:szCs w:val="21"/>
              </w:rPr>
              <w:t>（</w:t>
            </w:r>
            <w:r>
              <w:rPr>
                <w:rFonts w:ascii="Times New Roman" w:hAnsi="Times New Roman" w:eastAsia="Times New Roman" w:cs="Times New Roman"/>
                <w:b/>
                <w:bCs/>
                <w:sz w:val="21"/>
                <w:szCs w:val="21"/>
              </w:rPr>
              <w:t>m</w:t>
            </w:r>
            <w:r>
              <w:rPr>
                <w:rFonts w:ascii="Times New Roman" w:hAnsi="Times New Roman" w:eastAsia="Times New Roman" w:cs="Times New Roman"/>
                <w:b/>
                <w:bCs/>
                <w:position w:val="7"/>
                <w:sz w:val="13"/>
                <w:szCs w:val="13"/>
              </w:rPr>
              <w:t>3</w:t>
            </w:r>
            <w:r>
              <w:rPr>
                <w:rFonts w:ascii="Times New Roman" w:hAnsi="Times New Roman" w:eastAsia="Times New Roman" w:cs="Times New Roman"/>
                <w:b/>
                <w:bCs/>
                <w:sz w:val="21"/>
                <w:szCs w:val="21"/>
              </w:rPr>
              <w:t>/a</w:t>
            </w:r>
            <w:r>
              <w:rPr>
                <w:rFonts w:ascii="宋体" w:hAnsi="宋体" w:eastAsia="宋体" w:cs="宋体"/>
                <w:b/>
                <w:bCs/>
                <w:sz w:val="21"/>
                <w:szCs w:val="21"/>
              </w:rPr>
              <w:t>）</w:t>
            </w:r>
          </w:p>
        </w:tc>
      </w:tr>
      <w:tr>
        <w:tblPrEx>
          <w:tblCellMar>
            <w:top w:w="0" w:type="dxa"/>
            <w:left w:w="0" w:type="dxa"/>
            <w:bottom w:w="0" w:type="dxa"/>
            <w:right w:w="0" w:type="dxa"/>
          </w:tblCellMar>
        </w:tblPrEx>
        <w:trPr>
          <w:trHeight w:val="634" w:hRule="exact"/>
        </w:trPr>
        <w:tc>
          <w:tcPr>
            <w:tcW w:w="411" w:type="pct"/>
            <w:tcBorders>
              <w:top w:val="single" w:color="000000" w:sz="4" w:space="0"/>
              <w:left w:val="single" w:color="000000" w:sz="6" w:space="0"/>
              <w:bottom w:val="single" w:color="000000" w:sz="4" w:space="0"/>
              <w:right w:val="single" w:color="000000" w:sz="4" w:space="0"/>
            </w:tcBorders>
            <w:vAlign w:val="center"/>
          </w:tcPr>
          <w:p>
            <w:pPr>
              <w:pStyle w:val="4069"/>
              <w:spacing w:line="240" w:lineRule="auto"/>
              <w:ind w:right="301"/>
              <w:jc w:val="center"/>
              <w:rPr>
                <w:rFonts w:ascii="Times New Roman" w:hAnsi="Times New Roman" w:eastAsia="Times New Roman" w:cs="Times New Roman"/>
                <w:sz w:val="21"/>
                <w:szCs w:val="21"/>
              </w:rPr>
            </w:pPr>
            <w:r>
              <w:rPr>
                <w:rFonts w:ascii="Times New Roman"/>
                <w:sz w:val="21"/>
              </w:rPr>
              <w:t>1</w:t>
            </w:r>
          </w:p>
        </w:tc>
        <w:tc>
          <w:tcPr>
            <w:tcW w:w="1183" w:type="pct"/>
            <w:tcBorders>
              <w:top w:val="single" w:color="000000" w:sz="4" w:space="0"/>
              <w:left w:val="single" w:color="000000" w:sz="4" w:space="0"/>
              <w:bottom w:val="single" w:color="000000" w:sz="4" w:space="0"/>
              <w:right w:val="single" w:color="000000" w:sz="6" w:space="0"/>
            </w:tcBorders>
            <w:vAlign w:val="center"/>
          </w:tcPr>
          <w:p>
            <w:pPr>
              <w:pStyle w:val="4069"/>
              <w:spacing w:line="275" w:lineRule="exact"/>
              <w:ind w:right="0"/>
              <w:jc w:val="center"/>
              <w:rPr>
                <w:rFonts w:ascii="宋体" w:hAnsi="宋体" w:eastAsia="宋体" w:cs="宋体"/>
                <w:sz w:val="21"/>
                <w:szCs w:val="21"/>
              </w:rPr>
            </w:pPr>
            <w:r>
              <w:rPr>
                <w:rFonts w:ascii="宋体" w:hAnsi="宋体" w:eastAsia="宋体" w:cs="宋体"/>
                <w:sz w:val="21"/>
                <w:szCs w:val="21"/>
              </w:rPr>
              <w:t>职工生活用水</w:t>
            </w:r>
            <w:r>
              <w:rPr>
                <w:rFonts w:ascii="Times New Roman" w:hAnsi="Times New Roman" w:eastAsia="Times New Roman" w:cs="Times New Roman"/>
                <w:sz w:val="21"/>
                <w:szCs w:val="21"/>
              </w:rPr>
              <w:t>(</w:t>
            </w:r>
            <w:r>
              <w:rPr>
                <w:rFonts w:ascii="宋体" w:hAnsi="宋体" w:eastAsia="宋体" w:cs="宋体"/>
                <w:sz w:val="21"/>
                <w:szCs w:val="21"/>
              </w:rPr>
              <w:t>含办</w:t>
            </w:r>
          </w:p>
          <w:p>
            <w:pPr>
              <w:pStyle w:val="4069"/>
              <w:spacing w:before="24" w:line="240" w:lineRule="auto"/>
              <w:ind w:left="4" w:right="0"/>
              <w:jc w:val="center"/>
              <w:rPr>
                <w:rFonts w:ascii="Times New Roman" w:hAnsi="Times New Roman" w:eastAsia="Times New Roman" w:cs="Times New Roman"/>
                <w:sz w:val="21"/>
                <w:szCs w:val="21"/>
              </w:rPr>
            </w:pPr>
            <w:r>
              <w:rPr>
                <w:rFonts w:ascii="宋体" w:hAnsi="宋体" w:eastAsia="宋体" w:cs="宋体"/>
                <w:sz w:val="21"/>
                <w:szCs w:val="21"/>
              </w:rPr>
              <w:t>公、淋浴废水</w:t>
            </w:r>
            <w:r>
              <w:rPr>
                <w:rFonts w:ascii="Times New Roman" w:hAnsi="Times New Roman" w:eastAsia="Times New Roman" w:cs="Times New Roman"/>
                <w:sz w:val="21"/>
                <w:szCs w:val="21"/>
              </w:rPr>
              <w:t>)</w:t>
            </w:r>
          </w:p>
        </w:tc>
        <w:tc>
          <w:tcPr>
            <w:tcW w:w="909" w:type="pct"/>
            <w:tcBorders>
              <w:top w:val="single" w:color="000000" w:sz="4" w:space="0"/>
              <w:left w:val="single" w:color="000000" w:sz="6" w:space="0"/>
              <w:bottom w:val="single" w:color="000000" w:sz="4" w:space="0"/>
              <w:right w:val="single" w:color="000000" w:sz="6" w:space="0"/>
            </w:tcBorders>
            <w:vAlign w:val="center"/>
          </w:tcPr>
          <w:p>
            <w:pPr>
              <w:pStyle w:val="4069"/>
              <w:spacing w:line="240" w:lineRule="auto"/>
              <w:ind w:right="677"/>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6.96</w:t>
            </w:r>
          </w:p>
        </w:tc>
        <w:tc>
          <w:tcPr>
            <w:tcW w:w="589" w:type="pct"/>
            <w:tcBorders>
              <w:top w:val="single" w:color="000000" w:sz="4" w:space="0"/>
              <w:left w:val="single" w:color="000000" w:sz="6" w:space="0"/>
              <w:bottom w:val="single" w:color="000000" w:sz="4" w:space="0"/>
              <w:right w:val="single" w:color="000000" w:sz="6" w:space="0"/>
            </w:tcBorders>
            <w:vAlign w:val="center"/>
          </w:tcPr>
          <w:p>
            <w:pPr>
              <w:pStyle w:val="4069"/>
              <w:spacing w:line="240" w:lineRule="auto"/>
              <w:ind w:right="381"/>
              <w:jc w:val="center"/>
              <w:rPr>
                <w:rFonts w:ascii="Times New Roman" w:hAnsi="Times New Roman" w:eastAsia="Times New Roman" w:cs="Times New Roman"/>
                <w:sz w:val="21"/>
                <w:szCs w:val="21"/>
              </w:rPr>
            </w:pPr>
            <w:r>
              <w:rPr>
                <w:rFonts w:ascii="Times New Roman"/>
                <w:sz w:val="21"/>
              </w:rPr>
              <w:t>0.8</w:t>
            </w:r>
          </w:p>
        </w:tc>
        <w:tc>
          <w:tcPr>
            <w:tcW w:w="641" w:type="pct"/>
            <w:tcBorders>
              <w:top w:val="single" w:color="000000" w:sz="4" w:space="0"/>
              <w:left w:val="single" w:color="000000" w:sz="6" w:space="0"/>
              <w:bottom w:val="single" w:color="000000" w:sz="4" w:space="0"/>
              <w:right w:val="single" w:color="000000" w:sz="4" w:space="0"/>
            </w:tcBorders>
            <w:vAlign w:val="center"/>
          </w:tcPr>
          <w:p>
            <w:pPr>
              <w:pStyle w:val="4069"/>
              <w:spacing w:line="240" w:lineRule="auto"/>
              <w:ind w:right="38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5.57</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4069"/>
              <w:spacing w:line="240" w:lineRule="auto"/>
              <w:ind w:right="0"/>
              <w:jc w:val="center"/>
              <w:rPr>
                <w:rFonts w:ascii="Times New Roman" w:hAnsi="Times New Roman" w:eastAsia="Times New Roman" w:cs="Times New Roman"/>
                <w:sz w:val="21"/>
                <w:szCs w:val="21"/>
              </w:rPr>
            </w:pPr>
            <w:r>
              <w:rPr>
                <w:rFonts w:ascii="Times New Roman"/>
                <w:sz w:val="21"/>
              </w:rPr>
              <w:t>360d</w:t>
            </w:r>
          </w:p>
        </w:tc>
        <w:tc>
          <w:tcPr>
            <w:tcW w:w="783" w:type="pct"/>
            <w:tcBorders>
              <w:top w:val="single" w:color="000000" w:sz="4" w:space="0"/>
              <w:left w:val="single" w:color="000000" w:sz="4" w:space="0"/>
              <w:bottom w:val="single" w:color="000000" w:sz="4" w:space="0"/>
              <w:right w:val="single" w:color="000000" w:sz="6" w:space="0"/>
            </w:tcBorders>
            <w:vAlign w:val="center"/>
          </w:tcPr>
          <w:p>
            <w:pPr>
              <w:pStyle w:val="4069"/>
              <w:spacing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2005.2</w:t>
            </w:r>
          </w:p>
        </w:tc>
      </w:tr>
      <w:tr>
        <w:tblPrEx>
          <w:tblCellMar>
            <w:top w:w="0" w:type="dxa"/>
            <w:left w:w="0" w:type="dxa"/>
            <w:bottom w:w="0" w:type="dxa"/>
            <w:right w:w="0" w:type="dxa"/>
          </w:tblCellMar>
        </w:tblPrEx>
        <w:trPr>
          <w:trHeight w:val="322" w:hRule="exact"/>
        </w:trPr>
        <w:tc>
          <w:tcPr>
            <w:tcW w:w="411" w:type="pct"/>
            <w:tcBorders>
              <w:top w:val="single" w:color="000000" w:sz="4" w:space="0"/>
              <w:left w:val="single" w:color="000000" w:sz="6" w:space="0"/>
              <w:bottom w:val="single" w:color="000000" w:sz="4" w:space="0"/>
              <w:right w:val="single" w:color="000000" w:sz="4" w:space="0"/>
            </w:tcBorders>
            <w:vAlign w:val="center"/>
          </w:tcPr>
          <w:p>
            <w:pPr>
              <w:pStyle w:val="4069"/>
              <w:spacing w:before="33" w:line="240" w:lineRule="auto"/>
              <w:ind w:right="301"/>
              <w:jc w:val="center"/>
              <w:rPr>
                <w:rFonts w:ascii="Times New Roman" w:hAnsi="Times New Roman" w:eastAsia="Times New Roman" w:cs="Times New Roman"/>
                <w:sz w:val="21"/>
                <w:szCs w:val="21"/>
              </w:rPr>
            </w:pPr>
            <w:r>
              <w:rPr>
                <w:rFonts w:ascii="Times New Roman"/>
                <w:sz w:val="21"/>
              </w:rPr>
              <w:t>2</w:t>
            </w:r>
          </w:p>
        </w:tc>
        <w:tc>
          <w:tcPr>
            <w:tcW w:w="1183" w:type="pct"/>
            <w:tcBorders>
              <w:top w:val="single" w:color="000000" w:sz="4" w:space="0"/>
              <w:left w:val="single" w:color="000000" w:sz="4" w:space="0"/>
              <w:bottom w:val="single" w:color="000000" w:sz="4" w:space="0"/>
              <w:right w:val="single" w:color="000000" w:sz="6" w:space="0"/>
            </w:tcBorders>
            <w:vAlign w:val="center"/>
          </w:tcPr>
          <w:p>
            <w:pPr>
              <w:pStyle w:val="4069"/>
              <w:spacing w:line="259" w:lineRule="exact"/>
              <w:ind w:right="0"/>
              <w:jc w:val="center"/>
              <w:rPr>
                <w:rFonts w:ascii="宋体" w:hAnsi="宋体" w:eastAsia="宋体" w:cs="宋体"/>
                <w:sz w:val="21"/>
                <w:szCs w:val="21"/>
              </w:rPr>
            </w:pPr>
            <w:r>
              <w:rPr>
                <w:rFonts w:ascii="宋体" w:hAnsi="宋体" w:eastAsia="宋体" w:cs="宋体"/>
                <w:sz w:val="21"/>
                <w:szCs w:val="21"/>
              </w:rPr>
              <w:t>食堂用水</w:t>
            </w:r>
          </w:p>
        </w:tc>
        <w:tc>
          <w:tcPr>
            <w:tcW w:w="909" w:type="pct"/>
            <w:tcBorders>
              <w:top w:val="single" w:color="000000" w:sz="4" w:space="0"/>
              <w:left w:val="single" w:color="000000" w:sz="6" w:space="0"/>
              <w:bottom w:val="single" w:color="000000" w:sz="4" w:space="0"/>
              <w:right w:val="single" w:color="000000" w:sz="6" w:space="0"/>
            </w:tcBorders>
            <w:vAlign w:val="center"/>
          </w:tcPr>
          <w:p>
            <w:pPr>
              <w:pStyle w:val="4069"/>
              <w:spacing w:before="33" w:line="240" w:lineRule="auto"/>
              <w:ind w:right="677"/>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3.48</w:t>
            </w:r>
          </w:p>
        </w:tc>
        <w:tc>
          <w:tcPr>
            <w:tcW w:w="589" w:type="pct"/>
            <w:tcBorders>
              <w:top w:val="single" w:color="000000" w:sz="4" w:space="0"/>
              <w:left w:val="single" w:color="000000" w:sz="6" w:space="0"/>
              <w:bottom w:val="single" w:color="000000" w:sz="4" w:space="0"/>
              <w:right w:val="single" w:color="000000" w:sz="6" w:space="0"/>
            </w:tcBorders>
            <w:vAlign w:val="center"/>
          </w:tcPr>
          <w:p>
            <w:pPr>
              <w:pStyle w:val="4069"/>
              <w:spacing w:before="33" w:line="240" w:lineRule="auto"/>
              <w:ind w:right="381"/>
              <w:jc w:val="center"/>
              <w:rPr>
                <w:rFonts w:ascii="Times New Roman" w:hAnsi="Times New Roman" w:eastAsia="Times New Roman" w:cs="Times New Roman"/>
                <w:sz w:val="21"/>
                <w:szCs w:val="21"/>
              </w:rPr>
            </w:pPr>
            <w:r>
              <w:rPr>
                <w:rFonts w:ascii="Times New Roman"/>
                <w:sz w:val="21"/>
              </w:rPr>
              <w:t>0.8</w:t>
            </w:r>
          </w:p>
        </w:tc>
        <w:tc>
          <w:tcPr>
            <w:tcW w:w="641" w:type="pct"/>
            <w:tcBorders>
              <w:top w:val="single" w:color="000000" w:sz="4" w:space="0"/>
              <w:left w:val="single" w:color="000000" w:sz="6" w:space="0"/>
              <w:bottom w:val="single" w:color="000000" w:sz="4" w:space="0"/>
              <w:right w:val="single" w:color="000000" w:sz="4" w:space="0"/>
            </w:tcBorders>
            <w:vAlign w:val="center"/>
          </w:tcPr>
          <w:p>
            <w:pPr>
              <w:pStyle w:val="4069"/>
              <w:spacing w:before="33" w:line="240" w:lineRule="auto"/>
              <w:ind w:right="38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2.78</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4069"/>
              <w:spacing w:before="33" w:line="240" w:lineRule="auto"/>
              <w:ind w:right="0"/>
              <w:jc w:val="center"/>
              <w:rPr>
                <w:rFonts w:ascii="Times New Roman" w:hAnsi="Times New Roman" w:eastAsia="Times New Roman" w:cs="Times New Roman"/>
                <w:sz w:val="21"/>
                <w:szCs w:val="21"/>
              </w:rPr>
            </w:pPr>
            <w:r>
              <w:rPr>
                <w:rFonts w:ascii="Times New Roman"/>
                <w:sz w:val="21"/>
              </w:rPr>
              <w:t>360d</w:t>
            </w:r>
          </w:p>
        </w:tc>
        <w:tc>
          <w:tcPr>
            <w:tcW w:w="783" w:type="pct"/>
            <w:tcBorders>
              <w:top w:val="single" w:color="000000" w:sz="4" w:space="0"/>
              <w:left w:val="single" w:color="000000" w:sz="4" w:space="0"/>
              <w:bottom w:val="single" w:color="000000" w:sz="4" w:space="0"/>
              <w:right w:val="single" w:color="000000" w:sz="6" w:space="0"/>
            </w:tcBorders>
            <w:vAlign w:val="center"/>
          </w:tcPr>
          <w:p>
            <w:pPr>
              <w:pStyle w:val="4069"/>
              <w:spacing w:before="33"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1000.8</w:t>
            </w:r>
          </w:p>
        </w:tc>
      </w:tr>
      <w:tr>
        <w:tblPrEx>
          <w:tblCellMar>
            <w:top w:w="0" w:type="dxa"/>
            <w:left w:w="0" w:type="dxa"/>
            <w:bottom w:w="0" w:type="dxa"/>
            <w:right w:w="0" w:type="dxa"/>
          </w:tblCellMar>
        </w:tblPrEx>
        <w:trPr>
          <w:trHeight w:val="322" w:hRule="exact"/>
        </w:trPr>
        <w:tc>
          <w:tcPr>
            <w:tcW w:w="411" w:type="pct"/>
            <w:tcBorders>
              <w:top w:val="single" w:color="000000" w:sz="4" w:space="0"/>
              <w:left w:val="single" w:color="000000" w:sz="6" w:space="0"/>
              <w:bottom w:val="single" w:color="000000" w:sz="4" w:space="0"/>
              <w:right w:val="single" w:color="000000" w:sz="4" w:space="0"/>
            </w:tcBorders>
            <w:vAlign w:val="center"/>
          </w:tcPr>
          <w:p>
            <w:pPr>
              <w:pStyle w:val="4069"/>
              <w:spacing w:before="33" w:line="240" w:lineRule="auto"/>
              <w:ind w:right="301"/>
              <w:jc w:val="center"/>
              <w:rPr>
                <w:rFonts w:ascii="Times New Roman" w:hAnsi="Times New Roman" w:eastAsia="Times New Roman" w:cs="Times New Roman"/>
                <w:sz w:val="21"/>
                <w:szCs w:val="21"/>
              </w:rPr>
            </w:pPr>
            <w:r>
              <w:rPr>
                <w:rFonts w:ascii="Times New Roman"/>
                <w:sz w:val="21"/>
              </w:rPr>
              <w:t>3</w:t>
            </w:r>
          </w:p>
        </w:tc>
        <w:tc>
          <w:tcPr>
            <w:tcW w:w="1183" w:type="pct"/>
            <w:tcBorders>
              <w:top w:val="single" w:color="000000" w:sz="4" w:space="0"/>
              <w:left w:val="single" w:color="000000" w:sz="4" w:space="0"/>
              <w:bottom w:val="single" w:color="000000" w:sz="4" w:space="0"/>
              <w:right w:val="single" w:color="000000" w:sz="6" w:space="0"/>
            </w:tcBorders>
            <w:vAlign w:val="center"/>
          </w:tcPr>
          <w:p>
            <w:pPr>
              <w:pStyle w:val="4069"/>
              <w:spacing w:line="259" w:lineRule="exact"/>
              <w:ind w:right="0"/>
              <w:jc w:val="center"/>
              <w:rPr>
                <w:rFonts w:ascii="宋体" w:hAnsi="宋体" w:eastAsia="宋体" w:cs="宋体"/>
                <w:sz w:val="21"/>
                <w:szCs w:val="21"/>
              </w:rPr>
            </w:pPr>
            <w:r>
              <w:rPr>
                <w:rFonts w:ascii="宋体" w:hAnsi="宋体" w:eastAsia="宋体" w:cs="宋体"/>
                <w:sz w:val="21"/>
                <w:szCs w:val="21"/>
              </w:rPr>
              <w:t>肉牛屠宰用水</w:t>
            </w:r>
          </w:p>
        </w:tc>
        <w:tc>
          <w:tcPr>
            <w:tcW w:w="909" w:type="pct"/>
            <w:tcBorders>
              <w:top w:val="single" w:color="000000" w:sz="4" w:space="0"/>
              <w:left w:val="single" w:color="000000" w:sz="6" w:space="0"/>
              <w:bottom w:val="single" w:color="000000" w:sz="4" w:space="0"/>
              <w:right w:val="single" w:color="000000" w:sz="6" w:space="0"/>
            </w:tcBorders>
            <w:vAlign w:val="center"/>
          </w:tcPr>
          <w:p>
            <w:pPr>
              <w:pStyle w:val="4069"/>
              <w:spacing w:before="33" w:line="240" w:lineRule="auto"/>
              <w:ind w:right="572"/>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41.65</w:t>
            </w:r>
          </w:p>
        </w:tc>
        <w:tc>
          <w:tcPr>
            <w:tcW w:w="589" w:type="pct"/>
            <w:tcBorders>
              <w:top w:val="single" w:color="000000" w:sz="4" w:space="0"/>
              <w:left w:val="single" w:color="000000" w:sz="6" w:space="0"/>
              <w:bottom w:val="single" w:color="000000" w:sz="4" w:space="0"/>
              <w:right w:val="single" w:color="000000" w:sz="6" w:space="0"/>
            </w:tcBorders>
            <w:vAlign w:val="center"/>
          </w:tcPr>
          <w:p>
            <w:pPr>
              <w:pStyle w:val="4069"/>
              <w:spacing w:line="275" w:lineRule="exact"/>
              <w:ind w:right="0"/>
              <w:jc w:val="center"/>
              <w:rPr>
                <w:rFonts w:ascii="宋体" w:hAnsi="宋体" w:eastAsia="宋体" w:cs="宋体"/>
                <w:sz w:val="21"/>
                <w:szCs w:val="21"/>
              </w:rPr>
            </w:pPr>
            <w:r>
              <w:rPr>
                <w:rFonts w:hint="eastAsia" w:ascii="Times New Roman" w:hAnsi="Times New Roman" w:eastAsia="宋体" w:cs="Times New Roman"/>
                <w:spacing w:val="-1"/>
                <w:sz w:val="21"/>
                <w:szCs w:val="21"/>
                <w:lang w:val="en-US" w:eastAsia="zh-CN"/>
              </w:rPr>
              <w:t>0.4</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sz w:val="21"/>
                <w:szCs w:val="21"/>
              </w:rPr>
              <w:t>/</w:t>
            </w:r>
            <w:r>
              <w:rPr>
                <w:rFonts w:ascii="宋体" w:hAnsi="宋体" w:eastAsia="宋体" w:cs="宋体"/>
                <w:spacing w:val="-1"/>
                <w:sz w:val="21"/>
                <w:szCs w:val="21"/>
              </w:rPr>
              <w:t>头</w:t>
            </w:r>
          </w:p>
        </w:tc>
        <w:tc>
          <w:tcPr>
            <w:tcW w:w="641" w:type="pct"/>
            <w:tcBorders>
              <w:top w:val="single" w:color="000000" w:sz="4" w:space="0"/>
              <w:left w:val="single" w:color="000000" w:sz="6" w:space="0"/>
              <w:bottom w:val="single" w:color="000000" w:sz="4" w:space="0"/>
              <w:right w:val="single" w:color="000000" w:sz="4" w:space="0"/>
            </w:tcBorders>
            <w:vAlign w:val="center"/>
          </w:tcPr>
          <w:p>
            <w:pPr>
              <w:pStyle w:val="4069"/>
              <w:spacing w:before="33" w:line="240" w:lineRule="auto"/>
              <w:ind w:right="432"/>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33.32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4069"/>
              <w:spacing w:before="33" w:line="240" w:lineRule="auto"/>
              <w:ind w:right="0"/>
              <w:jc w:val="center"/>
              <w:rPr>
                <w:rFonts w:ascii="Times New Roman" w:hAnsi="Times New Roman" w:eastAsia="Times New Roman" w:cs="Times New Roman"/>
                <w:sz w:val="21"/>
                <w:szCs w:val="21"/>
              </w:rPr>
            </w:pPr>
            <w:r>
              <w:rPr>
                <w:rFonts w:ascii="Times New Roman"/>
                <w:sz w:val="21"/>
              </w:rPr>
              <w:t>360d</w:t>
            </w:r>
          </w:p>
        </w:tc>
        <w:tc>
          <w:tcPr>
            <w:tcW w:w="783" w:type="pct"/>
            <w:tcBorders>
              <w:top w:val="single" w:color="000000" w:sz="4" w:space="0"/>
              <w:left w:val="single" w:color="000000" w:sz="4" w:space="0"/>
              <w:bottom w:val="single" w:color="000000" w:sz="4" w:space="0"/>
              <w:right w:val="single" w:color="000000" w:sz="6" w:space="0"/>
            </w:tcBorders>
            <w:vAlign w:val="center"/>
          </w:tcPr>
          <w:p>
            <w:pPr>
              <w:pStyle w:val="4069"/>
              <w:spacing w:before="33" w:line="240" w:lineRule="auto"/>
              <w:ind w:right="481"/>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11995.2</w:t>
            </w:r>
          </w:p>
        </w:tc>
      </w:tr>
      <w:tr>
        <w:tblPrEx>
          <w:tblCellMar>
            <w:top w:w="0" w:type="dxa"/>
            <w:left w:w="0" w:type="dxa"/>
            <w:bottom w:w="0" w:type="dxa"/>
            <w:right w:w="0" w:type="dxa"/>
          </w:tblCellMar>
        </w:tblPrEx>
        <w:trPr>
          <w:trHeight w:val="322" w:hRule="exact"/>
        </w:trPr>
        <w:tc>
          <w:tcPr>
            <w:tcW w:w="411" w:type="pct"/>
            <w:tcBorders>
              <w:top w:val="single" w:color="000000" w:sz="4" w:space="0"/>
              <w:left w:val="single" w:color="000000" w:sz="6" w:space="0"/>
              <w:bottom w:val="single" w:color="000000" w:sz="4" w:space="0"/>
              <w:right w:val="single" w:color="000000" w:sz="4" w:space="0"/>
            </w:tcBorders>
            <w:vAlign w:val="center"/>
          </w:tcPr>
          <w:p>
            <w:pPr>
              <w:pStyle w:val="4069"/>
              <w:spacing w:before="34" w:line="240" w:lineRule="auto"/>
              <w:ind w:right="301"/>
              <w:jc w:val="center"/>
              <w:rPr>
                <w:rFonts w:hint="eastAsia" w:ascii="Times New Roman" w:hAnsi="Times New Roman" w:eastAsia="宋体" w:cs="Times New Roman"/>
                <w:sz w:val="21"/>
                <w:szCs w:val="21"/>
                <w:lang w:eastAsia="zh-CN"/>
              </w:rPr>
            </w:pPr>
            <w:r>
              <w:rPr>
                <w:rFonts w:hint="eastAsia" w:ascii="Times New Roman" w:eastAsia="宋体"/>
                <w:sz w:val="21"/>
                <w:lang w:val="en-US" w:eastAsia="zh-CN"/>
              </w:rPr>
              <w:t>4</w:t>
            </w:r>
          </w:p>
        </w:tc>
        <w:tc>
          <w:tcPr>
            <w:tcW w:w="1183" w:type="pct"/>
            <w:tcBorders>
              <w:top w:val="single" w:color="000000" w:sz="4" w:space="0"/>
              <w:left w:val="single" w:color="000000" w:sz="4" w:space="0"/>
              <w:bottom w:val="single" w:color="000000" w:sz="4" w:space="0"/>
              <w:right w:val="single" w:color="000000" w:sz="6" w:space="0"/>
            </w:tcBorders>
            <w:vAlign w:val="center"/>
          </w:tcPr>
          <w:p>
            <w:pPr>
              <w:pStyle w:val="4069"/>
              <w:spacing w:line="260" w:lineRule="exact"/>
              <w:ind w:right="0"/>
              <w:jc w:val="center"/>
              <w:rPr>
                <w:rFonts w:ascii="宋体" w:hAnsi="宋体" w:eastAsia="宋体" w:cs="宋体"/>
                <w:sz w:val="21"/>
                <w:szCs w:val="21"/>
              </w:rPr>
            </w:pPr>
            <w:r>
              <w:rPr>
                <w:rFonts w:ascii="宋体" w:hAnsi="宋体" w:eastAsia="宋体" w:cs="宋体"/>
                <w:sz w:val="21"/>
                <w:szCs w:val="21"/>
              </w:rPr>
              <w:t>车辆清洗用水</w:t>
            </w:r>
          </w:p>
        </w:tc>
        <w:tc>
          <w:tcPr>
            <w:tcW w:w="909" w:type="pct"/>
            <w:tcBorders>
              <w:top w:val="single" w:color="000000" w:sz="4" w:space="0"/>
              <w:left w:val="single" w:color="000000" w:sz="6" w:space="0"/>
              <w:bottom w:val="single" w:color="000000" w:sz="4" w:space="0"/>
              <w:right w:val="single" w:color="000000" w:sz="6" w:space="0"/>
            </w:tcBorders>
            <w:vAlign w:val="center"/>
          </w:tcPr>
          <w:p>
            <w:pPr>
              <w:pStyle w:val="4069"/>
              <w:spacing w:before="34" w:line="240" w:lineRule="auto"/>
              <w:ind w:right="677"/>
              <w:jc w:val="center"/>
              <w:rPr>
                <w:rFonts w:ascii="Times New Roman" w:hAnsi="Times New Roman" w:eastAsia="Times New Roman" w:cs="Times New Roman"/>
                <w:sz w:val="21"/>
                <w:szCs w:val="21"/>
              </w:rPr>
            </w:pPr>
            <w:r>
              <w:rPr>
                <w:rFonts w:ascii="Times New Roman"/>
                <w:sz w:val="21"/>
              </w:rPr>
              <w:t>3</w:t>
            </w:r>
          </w:p>
        </w:tc>
        <w:tc>
          <w:tcPr>
            <w:tcW w:w="589" w:type="pct"/>
            <w:tcBorders>
              <w:top w:val="single" w:color="000000" w:sz="4" w:space="0"/>
              <w:left w:val="single" w:color="000000" w:sz="6" w:space="0"/>
              <w:bottom w:val="single" w:color="000000" w:sz="4" w:space="0"/>
              <w:right w:val="single" w:color="000000" w:sz="6" w:space="0"/>
            </w:tcBorders>
            <w:vAlign w:val="center"/>
          </w:tcPr>
          <w:p>
            <w:pPr>
              <w:pStyle w:val="4069"/>
              <w:spacing w:before="34" w:line="240" w:lineRule="auto"/>
              <w:ind w:right="381"/>
              <w:jc w:val="center"/>
              <w:rPr>
                <w:rFonts w:ascii="Times New Roman" w:hAnsi="Times New Roman" w:eastAsia="Times New Roman" w:cs="Times New Roman"/>
                <w:sz w:val="21"/>
                <w:szCs w:val="21"/>
              </w:rPr>
            </w:pPr>
            <w:r>
              <w:rPr>
                <w:rFonts w:ascii="Times New Roman"/>
                <w:sz w:val="21"/>
              </w:rPr>
              <w:t>0.8</w:t>
            </w:r>
          </w:p>
        </w:tc>
        <w:tc>
          <w:tcPr>
            <w:tcW w:w="641" w:type="pct"/>
            <w:tcBorders>
              <w:top w:val="single" w:color="000000" w:sz="4" w:space="0"/>
              <w:left w:val="single" w:color="000000" w:sz="6" w:space="0"/>
              <w:bottom w:val="single" w:color="000000" w:sz="4" w:space="0"/>
              <w:right w:val="single" w:color="000000" w:sz="4" w:space="0"/>
            </w:tcBorders>
            <w:vAlign w:val="center"/>
          </w:tcPr>
          <w:p>
            <w:pPr>
              <w:pStyle w:val="4069"/>
              <w:spacing w:before="34" w:line="240" w:lineRule="auto"/>
              <w:ind w:right="432"/>
              <w:jc w:val="center"/>
              <w:rPr>
                <w:rFonts w:ascii="Times New Roman" w:hAnsi="Times New Roman" w:eastAsia="Times New Roman" w:cs="Times New Roman"/>
                <w:sz w:val="21"/>
                <w:szCs w:val="21"/>
              </w:rPr>
            </w:pPr>
            <w:r>
              <w:rPr>
                <w:rFonts w:ascii="Times New Roman"/>
                <w:sz w:val="21"/>
              </w:rPr>
              <w:t>2.4</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4069"/>
              <w:spacing w:before="34" w:line="240" w:lineRule="auto"/>
              <w:ind w:right="0"/>
              <w:jc w:val="center"/>
              <w:rPr>
                <w:rFonts w:ascii="Times New Roman" w:hAnsi="Times New Roman" w:eastAsia="Times New Roman" w:cs="Times New Roman"/>
                <w:sz w:val="21"/>
                <w:szCs w:val="21"/>
              </w:rPr>
            </w:pPr>
            <w:r>
              <w:rPr>
                <w:rFonts w:ascii="Times New Roman"/>
                <w:sz w:val="21"/>
              </w:rPr>
              <w:t>360d</w:t>
            </w:r>
          </w:p>
        </w:tc>
        <w:tc>
          <w:tcPr>
            <w:tcW w:w="783" w:type="pct"/>
            <w:tcBorders>
              <w:top w:val="single" w:color="000000" w:sz="4" w:space="0"/>
              <w:left w:val="single" w:color="000000" w:sz="4" w:space="0"/>
              <w:bottom w:val="single" w:color="000000" w:sz="4" w:space="0"/>
              <w:right w:val="single" w:color="000000" w:sz="6" w:space="0"/>
            </w:tcBorders>
            <w:vAlign w:val="center"/>
          </w:tcPr>
          <w:p>
            <w:pPr>
              <w:pStyle w:val="4069"/>
              <w:spacing w:before="34" w:line="240" w:lineRule="auto"/>
              <w:ind w:right="481"/>
              <w:jc w:val="center"/>
              <w:rPr>
                <w:rFonts w:ascii="Times New Roman" w:hAnsi="Times New Roman" w:eastAsia="Times New Roman" w:cs="Times New Roman"/>
                <w:sz w:val="21"/>
                <w:szCs w:val="21"/>
              </w:rPr>
            </w:pPr>
            <w:r>
              <w:rPr>
                <w:rFonts w:ascii="Times New Roman"/>
                <w:sz w:val="21"/>
              </w:rPr>
              <w:t>864</w:t>
            </w:r>
          </w:p>
        </w:tc>
      </w:tr>
      <w:tr>
        <w:tblPrEx>
          <w:tblCellMar>
            <w:top w:w="0" w:type="dxa"/>
            <w:left w:w="0" w:type="dxa"/>
            <w:bottom w:w="0" w:type="dxa"/>
            <w:right w:w="0" w:type="dxa"/>
          </w:tblCellMar>
        </w:tblPrEx>
        <w:trPr>
          <w:trHeight w:val="322" w:hRule="exact"/>
        </w:trPr>
        <w:tc>
          <w:tcPr>
            <w:tcW w:w="411" w:type="pct"/>
            <w:tcBorders>
              <w:top w:val="single" w:color="000000" w:sz="4" w:space="0"/>
              <w:left w:val="single" w:color="000000" w:sz="6" w:space="0"/>
              <w:bottom w:val="single" w:color="000000" w:sz="4" w:space="0"/>
              <w:right w:val="single" w:color="000000" w:sz="4" w:space="0"/>
            </w:tcBorders>
            <w:vAlign w:val="center"/>
          </w:tcPr>
          <w:p>
            <w:pPr>
              <w:pStyle w:val="4069"/>
              <w:spacing w:before="34" w:line="240" w:lineRule="auto"/>
              <w:ind w:right="301"/>
              <w:jc w:val="center"/>
              <w:rPr>
                <w:rFonts w:hint="eastAsia" w:ascii="Times New Roman" w:hAnsi="Times New Roman" w:eastAsia="宋体" w:cs="Times New Roman"/>
                <w:sz w:val="21"/>
                <w:szCs w:val="21"/>
                <w:lang w:eastAsia="zh-CN"/>
              </w:rPr>
            </w:pPr>
            <w:r>
              <w:rPr>
                <w:rFonts w:hint="eastAsia" w:ascii="Times New Roman" w:eastAsia="宋体"/>
                <w:sz w:val="21"/>
                <w:lang w:val="en-US" w:eastAsia="zh-CN"/>
              </w:rPr>
              <w:t>5</w:t>
            </w:r>
          </w:p>
        </w:tc>
        <w:tc>
          <w:tcPr>
            <w:tcW w:w="1183" w:type="pct"/>
            <w:tcBorders>
              <w:top w:val="single" w:color="000000" w:sz="4" w:space="0"/>
              <w:left w:val="single" w:color="000000" w:sz="4" w:space="0"/>
              <w:bottom w:val="single" w:color="000000" w:sz="4" w:space="0"/>
              <w:right w:val="single" w:color="000000" w:sz="6" w:space="0"/>
            </w:tcBorders>
            <w:vAlign w:val="center"/>
          </w:tcPr>
          <w:p>
            <w:pPr>
              <w:pStyle w:val="4069"/>
              <w:spacing w:line="260" w:lineRule="exact"/>
              <w:ind w:right="0"/>
              <w:jc w:val="center"/>
              <w:rPr>
                <w:rFonts w:ascii="宋体" w:hAnsi="宋体" w:eastAsia="宋体" w:cs="宋体"/>
                <w:sz w:val="21"/>
                <w:szCs w:val="21"/>
              </w:rPr>
            </w:pPr>
            <w:r>
              <w:rPr>
                <w:rFonts w:ascii="宋体" w:hAnsi="宋体" w:eastAsia="宋体" w:cs="宋体"/>
                <w:sz w:val="21"/>
                <w:szCs w:val="21"/>
              </w:rPr>
              <w:t>不可预见用水</w:t>
            </w:r>
          </w:p>
        </w:tc>
        <w:tc>
          <w:tcPr>
            <w:tcW w:w="909" w:type="pct"/>
            <w:tcBorders>
              <w:top w:val="single" w:color="000000" w:sz="4" w:space="0"/>
              <w:left w:val="single" w:color="000000" w:sz="6" w:space="0"/>
              <w:bottom w:val="single" w:color="000000" w:sz="4" w:space="0"/>
              <w:right w:val="single" w:color="000000" w:sz="6" w:space="0"/>
            </w:tcBorders>
            <w:vAlign w:val="center"/>
          </w:tcPr>
          <w:p>
            <w:pPr>
              <w:pStyle w:val="4069"/>
              <w:spacing w:before="34" w:line="240" w:lineRule="auto"/>
              <w:ind w:right="572"/>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2.75</w:t>
            </w:r>
          </w:p>
        </w:tc>
        <w:tc>
          <w:tcPr>
            <w:tcW w:w="589" w:type="pct"/>
            <w:tcBorders>
              <w:top w:val="single" w:color="000000" w:sz="4" w:space="0"/>
              <w:left w:val="single" w:color="000000" w:sz="6" w:space="0"/>
              <w:bottom w:val="single" w:color="000000" w:sz="4" w:space="0"/>
              <w:right w:val="single" w:color="000000" w:sz="6" w:space="0"/>
            </w:tcBorders>
            <w:vAlign w:val="center"/>
          </w:tcPr>
          <w:p>
            <w:pPr>
              <w:pStyle w:val="4069"/>
              <w:spacing w:before="34" w:line="240" w:lineRule="auto"/>
              <w:ind w:right="381"/>
              <w:jc w:val="center"/>
              <w:rPr>
                <w:rFonts w:ascii="Times New Roman" w:hAnsi="Times New Roman" w:eastAsia="Times New Roman" w:cs="Times New Roman"/>
                <w:sz w:val="21"/>
                <w:szCs w:val="21"/>
              </w:rPr>
            </w:pPr>
            <w:r>
              <w:rPr>
                <w:rFonts w:ascii="Times New Roman"/>
                <w:sz w:val="21"/>
              </w:rPr>
              <w:t>0.8</w:t>
            </w:r>
          </w:p>
        </w:tc>
        <w:tc>
          <w:tcPr>
            <w:tcW w:w="641" w:type="pct"/>
            <w:tcBorders>
              <w:top w:val="single" w:color="000000" w:sz="4" w:space="0"/>
              <w:left w:val="single" w:color="000000" w:sz="6" w:space="0"/>
              <w:bottom w:val="single" w:color="000000" w:sz="4" w:space="0"/>
              <w:right w:val="single" w:color="000000" w:sz="4" w:space="0"/>
            </w:tcBorders>
            <w:vAlign w:val="center"/>
          </w:tcPr>
          <w:p>
            <w:pPr>
              <w:pStyle w:val="4069"/>
              <w:spacing w:before="34"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2.2</w:t>
            </w:r>
          </w:p>
        </w:tc>
        <w:tc>
          <w:tcPr>
            <w:tcW w:w="480" w:type="pct"/>
            <w:tcBorders>
              <w:top w:val="single" w:color="000000" w:sz="4" w:space="0"/>
              <w:left w:val="single" w:color="000000" w:sz="4" w:space="0"/>
              <w:bottom w:val="single" w:color="000000" w:sz="4" w:space="0"/>
              <w:right w:val="single" w:color="000000" w:sz="4" w:space="0"/>
            </w:tcBorders>
            <w:vAlign w:val="center"/>
          </w:tcPr>
          <w:p>
            <w:pPr>
              <w:pStyle w:val="4069"/>
              <w:spacing w:before="34" w:line="240" w:lineRule="auto"/>
              <w:ind w:right="0"/>
              <w:jc w:val="center"/>
              <w:rPr>
                <w:rFonts w:ascii="Times New Roman" w:hAnsi="Times New Roman" w:eastAsia="Times New Roman" w:cs="Times New Roman"/>
                <w:sz w:val="21"/>
                <w:szCs w:val="21"/>
              </w:rPr>
            </w:pPr>
            <w:r>
              <w:rPr>
                <w:rFonts w:ascii="Times New Roman"/>
                <w:sz w:val="21"/>
              </w:rPr>
              <w:t>360d</w:t>
            </w:r>
          </w:p>
        </w:tc>
        <w:tc>
          <w:tcPr>
            <w:tcW w:w="783" w:type="pct"/>
            <w:tcBorders>
              <w:top w:val="single" w:color="000000" w:sz="4" w:space="0"/>
              <w:left w:val="single" w:color="000000" w:sz="4" w:space="0"/>
              <w:bottom w:val="single" w:color="000000" w:sz="4" w:space="0"/>
              <w:right w:val="single" w:color="000000" w:sz="6" w:space="0"/>
            </w:tcBorders>
            <w:vAlign w:val="center"/>
          </w:tcPr>
          <w:p>
            <w:pPr>
              <w:pStyle w:val="4069"/>
              <w:spacing w:before="34"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792</w:t>
            </w:r>
          </w:p>
        </w:tc>
      </w:tr>
      <w:tr>
        <w:tblPrEx>
          <w:tblCellMar>
            <w:top w:w="0" w:type="dxa"/>
            <w:left w:w="0" w:type="dxa"/>
            <w:bottom w:w="0" w:type="dxa"/>
            <w:right w:w="0" w:type="dxa"/>
          </w:tblCellMar>
        </w:tblPrEx>
        <w:trPr>
          <w:trHeight w:val="324" w:hRule="exact"/>
        </w:trPr>
        <w:tc>
          <w:tcPr>
            <w:tcW w:w="1594" w:type="pct"/>
            <w:gridSpan w:val="2"/>
            <w:tcBorders>
              <w:top w:val="single" w:color="000000" w:sz="4" w:space="0"/>
              <w:left w:val="single" w:color="000000" w:sz="6" w:space="0"/>
              <w:bottom w:val="single" w:color="000000" w:sz="6" w:space="0"/>
              <w:right w:val="single" w:color="000000" w:sz="6" w:space="0"/>
            </w:tcBorders>
            <w:vAlign w:val="center"/>
          </w:tcPr>
          <w:p>
            <w:pPr>
              <w:pStyle w:val="4069"/>
              <w:spacing w:line="259" w:lineRule="exact"/>
              <w:ind w:right="2"/>
              <w:jc w:val="center"/>
              <w:rPr>
                <w:rFonts w:ascii="宋体" w:hAnsi="宋体" w:eastAsia="宋体" w:cs="宋体"/>
                <w:sz w:val="21"/>
                <w:szCs w:val="21"/>
              </w:rPr>
            </w:pPr>
            <w:r>
              <w:rPr>
                <w:rFonts w:ascii="宋体" w:hAnsi="宋体" w:eastAsia="宋体" w:cs="宋体"/>
                <w:spacing w:val="-1"/>
                <w:sz w:val="21"/>
                <w:szCs w:val="21"/>
              </w:rPr>
              <w:t>总计</w:t>
            </w:r>
          </w:p>
        </w:tc>
        <w:tc>
          <w:tcPr>
            <w:tcW w:w="909" w:type="pct"/>
            <w:tcBorders>
              <w:top w:val="single" w:color="000000" w:sz="4" w:space="0"/>
              <w:left w:val="single" w:color="000000" w:sz="6" w:space="0"/>
              <w:bottom w:val="single" w:color="000000" w:sz="6" w:space="0"/>
              <w:right w:val="single" w:color="000000" w:sz="6" w:space="0"/>
            </w:tcBorders>
            <w:vAlign w:val="center"/>
          </w:tcPr>
          <w:p>
            <w:pPr>
              <w:pStyle w:val="4069"/>
              <w:spacing w:before="35" w:line="240" w:lineRule="auto"/>
              <w:ind w:right="0"/>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57.84</w:t>
            </w:r>
          </w:p>
        </w:tc>
        <w:tc>
          <w:tcPr>
            <w:tcW w:w="589" w:type="pct"/>
            <w:tcBorders>
              <w:top w:val="single" w:color="000000" w:sz="4" w:space="0"/>
              <w:left w:val="single" w:color="000000" w:sz="6" w:space="0"/>
              <w:bottom w:val="single" w:color="000000" w:sz="6" w:space="0"/>
              <w:right w:val="single" w:color="000000" w:sz="6" w:space="0"/>
            </w:tcBorders>
            <w:vAlign w:val="center"/>
          </w:tcPr>
          <w:p>
            <w:pPr>
              <w:pStyle w:val="4069"/>
              <w:spacing w:before="17" w:line="240" w:lineRule="auto"/>
              <w:ind w:right="1"/>
              <w:jc w:val="center"/>
              <w:rPr>
                <w:rFonts w:ascii="Times New Roman" w:hAnsi="Times New Roman" w:eastAsia="Times New Roman" w:cs="Times New Roman"/>
                <w:sz w:val="24"/>
                <w:szCs w:val="24"/>
              </w:rPr>
            </w:pPr>
            <w:r>
              <w:rPr>
                <w:rFonts w:ascii="Times New Roman"/>
                <w:sz w:val="24"/>
              </w:rPr>
              <w:t>/</w:t>
            </w:r>
          </w:p>
        </w:tc>
        <w:tc>
          <w:tcPr>
            <w:tcW w:w="641" w:type="pct"/>
            <w:tcBorders>
              <w:top w:val="single" w:color="000000" w:sz="4" w:space="0"/>
              <w:left w:val="single" w:color="000000" w:sz="6" w:space="0"/>
              <w:bottom w:val="single" w:color="000000" w:sz="6" w:space="0"/>
              <w:right w:val="single" w:color="000000" w:sz="4" w:space="0"/>
            </w:tcBorders>
            <w:vAlign w:val="center"/>
          </w:tcPr>
          <w:p>
            <w:pPr>
              <w:pStyle w:val="4069"/>
              <w:spacing w:before="35"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46.27</w:t>
            </w:r>
          </w:p>
        </w:tc>
        <w:tc>
          <w:tcPr>
            <w:tcW w:w="480" w:type="pct"/>
            <w:tcBorders>
              <w:top w:val="single" w:color="000000" w:sz="4" w:space="0"/>
              <w:left w:val="single" w:color="000000" w:sz="4" w:space="0"/>
              <w:bottom w:val="single" w:color="000000" w:sz="6" w:space="0"/>
              <w:right w:val="single" w:color="000000" w:sz="4" w:space="0"/>
            </w:tcBorders>
            <w:vAlign w:val="center"/>
          </w:tcPr>
          <w:p>
            <w:pPr>
              <w:pStyle w:val="4069"/>
              <w:spacing w:before="17" w:line="240" w:lineRule="auto"/>
              <w:ind w:right="0"/>
              <w:jc w:val="center"/>
              <w:rPr>
                <w:rFonts w:ascii="Times New Roman" w:hAnsi="Times New Roman" w:eastAsia="Times New Roman" w:cs="Times New Roman"/>
                <w:sz w:val="24"/>
                <w:szCs w:val="24"/>
              </w:rPr>
            </w:pPr>
            <w:r>
              <w:rPr>
                <w:rFonts w:ascii="Times New Roman"/>
                <w:sz w:val="24"/>
              </w:rPr>
              <w:t>/</w:t>
            </w:r>
          </w:p>
        </w:tc>
        <w:tc>
          <w:tcPr>
            <w:tcW w:w="783" w:type="pct"/>
            <w:tcBorders>
              <w:top w:val="single" w:color="000000" w:sz="4" w:space="0"/>
              <w:left w:val="single" w:color="000000" w:sz="4" w:space="0"/>
              <w:bottom w:val="single" w:color="000000" w:sz="6" w:space="0"/>
              <w:right w:val="single" w:color="000000" w:sz="6" w:space="0"/>
            </w:tcBorders>
            <w:vAlign w:val="center"/>
          </w:tcPr>
          <w:p>
            <w:pPr>
              <w:pStyle w:val="4069"/>
              <w:spacing w:before="33" w:line="240" w:lineRule="auto"/>
              <w:ind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16657.2</w:t>
            </w:r>
          </w:p>
        </w:tc>
      </w:tr>
    </w:tbl>
    <w:p>
      <w:pPr>
        <w:pStyle w:val="7"/>
        <w:ind w:left="0" w:firstLine="0"/>
        <w:rPr>
          <w:rFonts w:hint="eastAsia"/>
          <w:lang w:eastAsia="zh-CN"/>
        </w:rPr>
      </w:pPr>
      <w:bookmarkStart w:id="142" w:name="_Toc5732"/>
      <w:r>
        <w:rPr>
          <w:rFonts w:hint="eastAsia"/>
          <w:lang w:eastAsia="zh-CN"/>
        </w:rPr>
        <w:t>供气</w:t>
      </w:r>
      <w:bookmarkEnd w:id="142"/>
    </w:p>
    <w:p>
      <w:pPr>
        <w:pStyle w:val="2"/>
        <w:rPr>
          <w:rFonts w:hint="eastAsia"/>
          <w:color w:val="auto"/>
          <w:kern w:val="0"/>
          <w:sz w:val="24"/>
          <w:lang w:eastAsia="zh-CN"/>
        </w:rPr>
      </w:pPr>
      <w:r>
        <w:rPr>
          <w:rFonts w:hint="eastAsia"/>
          <w:color w:val="auto"/>
          <w:kern w:val="0"/>
          <w:sz w:val="24"/>
          <w:lang w:eastAsia="zh-CN"/>
        </w:rPr>
        <w:t>本项目拟设置1台2t/h的燃气锅炉，天然气耗量840m</w:t>
      </w:r>
      <w:r>
        <w:rPr>
          <w:rFonts w:hint="eastAsia"/>
          <w:color w:val="auto"/>
          <w:kern w:val="0"/>
          <w:sz w:val="24"/>
          <w:vertAlign w:val="superscript"/>
          <w:lang w:eastAsia="zh-CN"/>
        </w:rPr>
        <w:t>3</w:t>
      </w:r>
      <w:r>
        <w:rPr>
          <w:rFonts w:hint="eastAsia"/>
          <w:color w:val="auto"/>
          <w:kern w:val="0"/>
          <w:sz w:val="24"/>
          <w:lang w:eastAsia="zh-CN"/>
        </w:rPr>
        <w:t>/h，预计每日运行8h，年耗气量84万m</w:t>
      </w:r>
      <w:r>
        <w:rPr>
          <w:rFonts w:hint="eastAsia"/>
          <w:color w:val="auto"/>
          <w:kern w:val="0"/>
          <w:sz w:val="24"/>
          <w:vertAlign w:val="superscript"/>
          <w:lang w:eastAsia="zh-CN"/>
        </w:rPr>
        <w:t>3</w:t>
      </w:r>
      <w:r>
        <w:rPr>
          <w:rFonts w:hint="eastAsia"/>
          <w:color w:val="auto"/>
          <w:kern w:val="0"/>
          <w:sz w:val="24"/>
          <w:lang w:eastAsia="zh-CN"/>
        </w:rPr>
        <w:t>。项目天然气由园区天然气管道引入。</w:t>
      </w:r>
    </w:p>
    <w:p>
      <w:pPr>
        <w:pStyle w:val="7"/>
        <w:ind w:left="0" w:firstLine="0"/>
        <w:rPr>
          <w:rFonts w:hint="eastAsia"/>
          <w:lang w:eastAsia="zh-CN"/>
        </w:rPr>
      </w:pPr>
      <w:bookmarkStart w:id="143" w:name="_Toc12028"/>
      <w:r>
        <w:rPr>
          <w:rFonts w:hint="eastAsia"/>
          <w:lang w:eastAsia="zh-CN"/>
        </w:rPr>
        <w:t>制冷系统</w:t>
      </w:r>
      <w:bookmarkEnd w:id="143"/>
    </w:p>
    <w:p>
      <w:pPr>
        <w:pStyle w:val="2"/>
        <w:rPr>
          <w:rFonts w:hint="eastAsia"/>
          <w:color w:val="auto"/>
          <w:kern w:val="0"/>
          <w:sz w:val="24"/>
          <w:lang w:eastAsia="zh-CN"/>
        </w:rPr>
      </w:pPr>
      <w:r>
        <w:rPr>
          <w:rFonts w:hint="eastAsia"/>
          <w:color w:val="auto"/>
          <w:kern w:val="0"/>
          <w:sz w:val="24"/>
          <w:lang w:eastAsia="zh-CN"/>
        </w:rPr>
        <w:t>本项目用氨作制冷剂，采用蒸汽压缩重力供液循环系统，结冻、冷藏采用一个蒸 发温度，并合用一个氨液分离器，以气、液调节阀控制库温度。本项目生猪屠宰间冷 藏、冷冻库容分别为 80t、20t，牛羊屠宰间冷藏、冷冻库容分别为30t、10t。本项目不在场内贮存液氨，厂区不设置液氨储罐，液氨直接填充至屠宰线氨机房管道系统中，一次性充装液氨总计约1t，在设备液氨不足时临时采购进行补充。</w:t>
      </w:r>
    </w:p>
    <w:p>
      <w:pPr>
        <w:pStyle w:val="7"/>
        <w:ind w:left="0" w:firstLine="0"/>
        <w:rPr>
          <w:rFonts w:hint="eastAsia"/>
          <w:lang w:eastAsia="zh-CN"/>
        </w:rPr>
      </w:pPr>
      <w:bookmarkStart w:id="144" w:name="_Toc4633"/>
      <w:r>
        <w:rPr>
          <w:rFonts w:hint="eastAsia"/>
          <w:lang w:eastAsia="zh-CN"/>
        </w:rPr>
        <w:t>贮运工程</w:t>
      </w:r>
      <w:bookmarkEnd w:id="144"/>
    </w:p>
    <w:p>
      <w:pPr>
        <w:tabs>
          <w:tab w:val="left" w:pos="540"/>
          <w:tab w:val="left" w:pos="900"/>
        </w:tabs>
        <w:spacing w:line="360" w:lineRule="auto"/>
        <w:ind w:firstLine="540"/>
        <w:rPr>
          <w:color w:val="auto"/>
          <w:sz w:val="24"/>
          <w:lang w:val="zh-CN"/>
        </w:rPr>
      </w:pPr>
      <w:r>
        <w:rPr>
          <w:color w:val="auto"/>
          <w:sz w:val="24"/>
          <w:lang w:val="zh-CN"/>
        </w:rPr>
        <w:t>项目牲畜及成品运输均通过公路运输，项目配置 6 台机动车辆，厂区内设置待宰牛圈1座。厂区设置有仓库，且仓库进行防渗处理，用于存放内脏、皮、牛蹄、毛等物品。</w:t>
      </w:r>
    </w:p>
    <w:p>
      <w:pPr>
        <w:pStyle w:val="7"/>
        <w:ind w:left="0" w:firstLine="0"/>
        <w:rPr>
          <w:rFonts w:hint="eastAsia"/>
          <w:lang w:eastAsia="zh-CN"/>
        </w:rPr>
      </w:pPr>
      <w:bookmarkStart w:id="145" w:name="_Toc29248"/>
      <w:r>
        <w:rPr>
          <w:rFonts w:hint="eastAsia"/>
          <w:lang w:eastAsia="zh-CN"/>
        </w:rPr>
        <w:t>检验检疫</w:t>
      </w:r>
      <w:bookmarkEnd w:id="145"/>
    </w:p>
    <w:p>
      <w:pPr>
        <w:tabs>
          <w:tab w:val="left" w:pos="540"/>
          <w:tab w:val="left" w:pos="900"/>
        </w:tabs>
        <w:spacing w:line="360" w:lineRule="auto"/>
        <w:ind w:firstLine="540"/>
        <w:rPr>
          <w:rFonts w:eastAsia="宋体"/>
          <w:color w:val="auto"/>
          <w:sz w:val="24"/>
          <w:lang w:val="zh-CN"/>
        </w:rPr>
      </w:pPr>
      <w:r>
        <w:rPr>
          <w:rFonts w:eastAsia="宋体"/>
          <w:color w:val="auto"/>
          <w:sz w:val="24"/>
          <w:lang w:val="zh-CN"/>
        </w:rPr>
        <w:t>项目设置宰前检疫室，对运输进来的牛进行检验，发现传染性疾病、寄生虫和中毒性疾病的牲畜，即当场进入隔离间，并进行急宰处理，急宰后运送至厂区无害化处理车间进行处理。</w:t>
      </w:r>
    </w:p>
    <w:p>
      <w:pPr>
        <w:pStyle w:val="5"/>
        <w:spacing w:before="120" w:after="120"/>
      </w:pPr>
      <w:bookmarkStart w:id="146" w:name="_Toc17603"/>
      <w:r>
        <w:rPr>
          <w:rFonts w:hint="eastAsia"/>
          <w:lang w:eastAsia="zh-CN"/>
        </w:rPr>
        <w:t>工程分析</w:t>
      </w:r>
      <w:bookmarkEnd w:id="146"/>
    </w:p>
    <w:p>
      <w:pPr>
        <w:pStyle w:val="6"/>
        <w:rPr>
          <w:rFonts w:hint="eastAsia"/>
          <w:lang w:eastAsia="zh-CN"/>
        </w:rPr>
      </w:pPr>
      <w:bookmarkStart w:id="147" w:name="_Toc1536"/>
      <w:r>
        <w:rPr>
          <w:rFonts w:hint="eastAsia"/>
          <w:lang w:eastAsia="zh-CN"/>
        </w:rPr>
        <w:t>施工期工程分析</w:t>
      </w:r>
      <w:bookmarkEnd w:id="147"/>
    </w:p>
    <w:p>
      <w:pPr>
        <w:pStyle w:val="7"/>
        <w:ind w:left="0" w:firstLine="0"/>
        <w:rPr>
          <w:rFonts w:hint="eastAsia"/>
          <w:lang w:eastAsia="zh-CN"/>
        </w:rPr>
      </w:pPr>
      <w:bookmarkStart w:id="148" w:name="_Toc8936"/>
      <w:r>
        <w:rPr>
          <w:rFonts w:hint="eastAsia"/>
          <w:lang w:eastAsia="zh-CN"/>
        </w:rPr>
        <w:t>施工期施工工序</w:t>
      </w:r>
      <w:bookmarkEnd w:id="148"/>
    </w:p>
    <w:p>
      <w:pPr>
        <w:pStyle w:val="1659"/>
      </w:pPr>
      <w:r>
        <w:t>工程施工期对环境的影响主要表现为施工作业扬尘、运输车辆扬尘、施工机械、车辆排放尾气，施工机械噪声，建筑垃圾及施工人员生活污水、生活垃圾，装修时油 漆和涂料喷涂产生废气，施工作业对项目区生态环境的破坏等。其流程及产污环节见图</w:t>
      </w:r>
      <w:r>
        <w:rPr>
          <w:rFonts w:hint="eastAsia"/>
          <w:lang w:val="en-US" w:eastAsia="zh-CN"/>
        </w:rPr>
        <w:t>3.3</w:t>
      </w:r>
      <w:r>
        <w:t>-1。</w:t>
      </w:r>
    </w:p>
    <w:p>
      <w:pPr>
        <w:pStyle w:val="1659"/>
        <w:ind w:left="0" w:leftChars="0" w:firstLine="0" w:firstLineChars="0"/>
      </w:pPr>
      <w:r>
        <w:drawing>
          <wp:inline distT="0" distB="0" distL="114300" distR="114300">
            <wp:extent cx="5448935" cy="2621915"/>
            <wp:effectExtent l="0" t="0" r="18415" b="6985"/>
            <wp:docPr id="3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8"/>
                    <pic:cNvPicPr>
                      <a:picLocks noChangeAspect="1"/>
                    </pic:cNvPicPr>
                  </pic:nvPicPr>
                  <pic:blipFill>
                    <a:blip r:embed="rId20"/>
                    <a:stretch>
                      <a:fillRect/>
                    </a:stretch>
                  </pic:blipFill>
                  <pic:spPr>
                    <a:xfrm>
                      <a:off x="0" y="0"/>
                      <a:ext cx="5448935" cy="2621915"/>
                    </a:xfrm>
                    <a:prstGeom prst="rect">
                      <a:avLst/>
                    </a:prstGeom>
                    <a:noFill/>
                    <a:ln>
                      <a:noFill/>
                    </a:ln>
                  </pic:spPr>
                </pic:pic>
              </a:graphicData>
            </a:graphic>
          </wp:inline>
        </w:drawing>
      </w:r>
    </w:p>
    <w:p>
      <w:pPr>
        <w:pStyle w:val="1659"/>
        <w:jc w:val="center"/>
        <w:rPr>
          <w:rFonts w:eastAsia="宋体"/>
          <w:b/>
          <w:bCs/>
        </w:rPr>
      </w:pPr>
      <w:r>
        <w:rPr>
          <w:rFonts w:eastAsia="宋体"/>
          <w:b/>
          <w:bCs/>
        </w:rPr>
        <w:t>图</w:t>
      </w:r>
      <w:r>
        <w:rPr>
          <w:rFonts w:hint="eastAsia" w:eastAsia="宋体"/>
          <w:b/>
          <w:bCs/>
          <w:lang w:val="en-US" w:eastAsia="zh-CN"/>
        </w:rPr>
        <w:t xml:space="preserve">3.3-1  </w:t>
      </w:r>
      <w:r>
        <w:rPr>
          <w:rFonts w:eastAsia="宋体"/>
          <w:b/>
          <w:bCs/>
        </w:rPr>
        <w:t>项目施工期流及产污位置图</w:t>
      </w:r>
    </w:p>
    <w:p>
      <w:pPr>
        <w:pStyle w:val="7"/>
        <w:ind w:left="0" w:firstLine="0"/>
        <w:rPr>
          <w:rFonts w:hint="eastAsia"/>
          <w:lang w:eastAsia="zh-CN"/>
        </w:rPr>
      </w:pPr>
      <w:bookmarkStart w:id="149" w:name="_Toc18821"/>
      <w:r>
        <w:rPr>
          <w:rFonts w:hint="eastAsia"/>
          <w:lang w:eastAsia="zh-CN"/>
        </w:rPr>
        <w:t>施工期污染源强分析</w:t>
      </w:r>
      <w:bookmarkEnd w:id="149"/>
    </w:p>
    <w:p>
      <w:pPr>
        <w:pStyle w:val="1659"/>
      </w:pPr>
      <w:r>
        <w:t>（1）施工期废气</w:t>
      </w:r>
    </w:p>
    <w:p>
      <w:pPr>
        <w:pStyle w:val="1659"/>
      </w:pPr>
      <w:r>
        <w:t>①施工扬尘 施工产生的扬尘主要集中在土建施工阶段。按起尘的原因，施工扬尘可分为风力起尘和动力起尘，均为无组织排放。其中风力起尘主要是由于露天堆放的建材（如黄沙、水泥等）及裸露的施工区表层浮尘由于天气干燥及大风，产生风力扬尘；而动力起尘，主要是在建材的装卸、搅拌过程中，由于外力而产生的尘粒再悬浮而造成，其中车辆行驶造成的扬尘最为严重。据有关文献资料介绍，车辆行驶产生的扬尘占总扬尘的60%以上。车辆行驶产生的扬尘，在完全干燥的情况下，可按下列经验公式计算：</w:t>
      </w:r>
    </w:p>
    <w:p>
      <w:pPr>
        <w:pStyle w:val="1659"/>
      </w:pPr>
      <w:r>
        <w:t>Q=0.123（V/5）（W/6.8）0.85（P/0.5）0.75</w:t>
      </w:r>
    </w:p>
    <w:p>
      <w:pPr>
        <w:pStyle w:val="1659"/>
      </w:pPr>
      <w:r>
        <w:t>式中：Q——汽车行驶产生的扬尘，kg/km·辆；</w:t>
      </w:r>
    </w:p>
    <w:p>
      <w:pPr>
        <w:pStyle w:val="1659"/>
        <w:ind w:firstLine="1200" w:firstLineChars="500"/>
      </w:pPr>
      <w:r>
        <w:t>V——汽车行驶速度，km/h；</w:t>
      </w:r>
    </w:p>
    <w:p>
      <w:pPr>
        <w:pStyle w:val="1659"/>
        <w:ind w:firstLine="1200" w:firstLineChars="500"/>
      </w:pPr>
      <w:r>
        <w:t>W——汽车载重量，t；</w:t>
      </w:r>
    </w:p>
    <w:p>
      <w:pPr>
        <w:pStyle w:val="1659"/>
        <w:ind w:firstLine="1200" w:firstLineChars="500"/>
      </w:pPr>
      <w:r>
        <w:t>P——道路表面粉尘量，kg/m</w:t>
      </w:r>
      <w:r>
        <w:rPr>
          <w:vertAlign w:val="superscript"/>
        </w:rPr>
        <w:t>2</w:t>
      </w:r>
      <w:r>
        <w:t>。</w:t>
      </w:r>
    </w:p>
    <w:p>
      <w:pPr>
        <w:pStyle w:val="1659"/>
      </w:pPr>
      <w:r>
        <w:t>由上式可知，车辆行驶时的扬尘产生量与车辆行驶速度、汽车载重量和道路表面粉尘量有关，表</w:t>
      </w:r>
      <w:r>
        <w:rPr>
          <w:rFonts w:hint="eastAsia"/>
          <w:lang w:val="en-US" w:eastAsia="zh-CN"/>
        </w:rPr>
        <w:t>3.3-1</w:t>
      </w:r>
      <w:r>
        <w:t>为一辆10t卡车，通过一段长度为1km的路面时，不同路面清洁程度、不同行驶速度情况下的扬尘产生量。</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3-1</w:t>
      </w:r>
      <w:r>
        <w:rPr>
          <w:b/>
          <w:sz w:val="24"/>
        </w:rPr>
        <w:t xml:space="preserve"> </w:t>
      </w:r>
      <w:r>
        <w:rPr>
          <w:rFonts w:hint="eastAsia"/>
          <w:b/>
          <w:sz w:val="24"/>
          <w:lang w:val="en-US" w:eastAsia="zh-CN"/>
        </w:rPr>
        <w:t xml:space="preserve">  不同车速和地面清洁程度时的汽车扬尘产生量</w:t>
      </w:r>
      <w:r>
        <w:rPr>
          <w:rFonts w:hint="eastAsia"/>
          <w:b/>
          <w:sz w:val="24"/>
          <w:lang w:val="en-US" w:eastAsia="zh-CN"/>
        </w:rPr>
        <w:tab/>
      </w:r>
      <w:r>
        <w:rPr>
          <w:rFonts w:hint="eastAsia"/>
          <w:b/>
          <w:sz w:val="24"/>
          <w:lang w:val="en-US" w:eastAsia="zh-CN"/>
        </w:rPr>
        <w:t>单位：kg/辆•km</w:t>
      </w:r>
    </w:p>
    <w:tbl>
      <w:tblPr>
        <w:tblStyle w:val="88"/>
        <w:tblW w:w="4997"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1156"/>
        <w:gridCol w:w="1164"/>
        <w:gridCol w:w="1261"/>
        <w:gridCol w:w="1261"/>
        <w:gridCol w:w="1162"/>
        <w:gridCol w:w="1164"/>
        <w:gridCol w:w="115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exact"/>
        </w:trPr>
        <w:tc>
          <w:tcPr>
            <w:tcW w:w="711" w:type="pct"/>
            <w:tcBorders>
              <w:tl2br w:val="nil"/>
              <w:tr2bl w:val="nil"/>
            </w:tcBorders>
          </w:tcPr>
          <w:p>
            <w:pPr>
              <w:pStyle w:val="4069"/>
              <w:spacing w:line="242" w:lineRule="exact"/>
              <w:ind w:left="631" w:right="0"/>
              <w:jc w:val="left"/>
              <w:rPr>
                <w:rFonts w:ascii="宋体" w:hAnsi="宋体" w:eastAsia="宋体" w:cs="宋体"/>
                <w:sz w:val="21"/>
                <w:szCs w:val="21"/>
              </w:rPr>
            </w:pPr>
            <w:r>
              <w:rPr>
                <w:rFonts w:ascii="宋体" w:hAnsi="宋体" w:eastAsia="宋体" w:cs="宋体"/>
                <w:sz w:val="21"/>
                <w:szCs w:val="21"/>
              </w:rPr>
              <w:t>粉尘量</w:t>
            </w:r>
          </w:p>
        </w:tc>
        <w:tc>
          <w:tcPr>
            <w:tcW w:w="715" w:type="pct"/>
            <w:tcBorders>
              <w:tl2br w:val="nil"/>
              <w:tr2bl w:val="nil"/>
            </w:tcBorders>
          </w:tcPr>
          <w:p>
            <w:pPr>
              <w:pStyle w:val="4069"/>
              <w:spacing w:line="241" w:lineRule="exact"/>
              <w:ind w:left="2" w:right="0"/>
              <w:jc w:val="center"/>
              <w:rPr>
                <w:rFonts w:ascii="Times New Roman" w:hAnsi="Times New Roman" w:eastAsia="Times New Roman" w:cs="Times New Roman"/>
                <w:sz w:val="21"/>
                <w:szCs w:val="21"/>
              </w:rPr>
            </w:pPr>
            <w:r>
              <w:rPr>
                <w:rFonts w:ascii="Times New Roman"/>
                <w:sz w:val="21"/>
              </w:rPr>
              <w:t>0.1</w:t>
            </w:r>
          </w:p>
        </w:tc>
        <w:tc>
          <w:tcPr>
            <w:tcW w:w="714" w:type="pct"/>
            <w:tcBorders>
              <w:tl2br w:val="nil"/>
              <w:tr2bl w:val="nil"/>
            </w:tcBorders>
          </w:tcPr>
          <w:p>
            <w:pPr>
              <w:pStyle w:val="4069"/>
              <w:spacing w:line="241" w:lineRule="exact"/>
              <w:ind w:left="489" w:right="489"/>
              <w:jc w:val="center"/>
              <w:rPr>
                <w:rFonts w:ascii="Times New Roman" w:hAnsi="Times New Roman" w:eastAsia="Times New Roman" w:cs="Times New Roman"/>
                <w:sz w:val="21"/>
                <w:szCs w:val="21"/>
              </w:rPr>
            </w:pPr>
            <w:r>
              <w:rPr>
                <w:rFonts w:ascii="Times New Roman"/>
                <w:sz w:val="21"/>
              </w:rPr>
              <w:t>0.2</w:t>
            </w:r>
          </w:p>
        </w:tc>
        <w:tc>
          <w:tcPr>
            <w:tcW w:w="714" w:type="pct"/>
            <w:tcBorders>
              <w:tl2br w:val="nil"/>
              <w:tr2bl w:val="nil"/>
            </w:tcBorders>
          </w:tcPr>
          <w:p>
            <w:pPr>
              <w:pStyle w:val="4069"/>
              <w:spacing w:line="241" w:lineRule="exact"/>
              <w:ind w:left="488" w:right="490"/>
              <w:jc w:val="center"/>
              <w:rPr>
                <w:rFonts w:ascii="Times New Roman" w:hAnsi="Times New Roman" w:eastAsia="Times New Roman" w:cs="Times New Roman"/>
                <w:sz w:val="21"/>
                <w:szCs w:val="21"/>
              </w:rPr>
            </w:pPr>
            <w:r>
              <w:rPr>
                <w:rFonts w:ascii="Times New Roman"/>
                <w:sz w:val="21"/>
              </w:rPr>
              <w:t>0.3</w:t>
            </w:r>
          </w:p>
        </w:tc>
        <w:tc>
          <w:tcPr>
            <w:tcW w:w="714" w:type="pct"/>
            <w:tcBorders>
              <w:tl2br w:val="nil"/>
              <w:tr2bl w:val="nil"/>
            </w:tcBorders>
          </w:tcPr>
          <w:p>
            <w:pPr>
              <w:pStyle w:val="4069"/>
              <w:spacing w:line="241" w:lineRule="exact"/>
              <w:ind w:left="0" w:right="0"/>
              <w:jc w:val="center"/>
              <w:rPr>
                <w:rFonts w:ascii="Times New Roman" w:hAnsi="Times New Roman" w:eastAsia="Times New Roman" w:cs="Times New Roman"/>
                <w:sz w:val="21"/>
                <w:szCs w:val="21"/>
              </w:rPr>
            </w:pPr>
            <w:r>
              <w:rPr>
                <w:rFonts w:ascii="Times New Roman"/>
                <w:sz w:val="21"/>
              </w:rPr>
              <w:t>0.4</w:t>
            </w:r>
          </w:p>
        </w:tc>
        <w:tc>
          <w:tcPr>
            <w:tcW w:w="715" w:type="pct"/>
            <w:tcBorders>
              <w:tl2br w:val="nil"/>
              <w:tr2bl w:val="nil"/>
            </w:tcBorders>
          </w:tcPr>
          <w:p>
            <w:pPr>
              <w:pStyle w:val="4069"/>
              <w:spacing w:line="241" w:lineRule="exact"/>
              <w:ind w:left="2" w:right="0"/>
              <w:jc w:val="center"/>
              <w:rPr>
                <w:rFonts w:ascii="Times New Roman" w:hAnsi="Times New Roman" w:eastAsia="Times New Roman" w:cs="Times New Roman"/>
                <w:sz w:val="21"/>
                <w:szCs w:val="21"/>
              </w:rPr>
            </w:pPr>
            <w:r>
              <w:rPr>
                <w:rFonts w:ascii="Times New Roman"/>
                <w:sz w:val="21"/>
              </w:rPr>
              <w:t>0.5</w:t>
            </w:r>
          </w:p>
        </w:tc>
        <w:tc>
          <w:tcPr>
            <w:tcW w:w="712" w:type="pct"/>
            <w:tcBorders>
              <w:tl2br w:val="nil"/>
              <w:tr2bl w:val="nil"/>
            </w:tcBorders>
          </w:tcPr>
          <w:p>
            <w:pPr>
              <w:pStyle w:val="4069"/>
              <w:spacing w:line="241" w:lineRule="exact"/>
              <w:ind w:left="1" w:right="0"/>
              <w:jc w:val="center"/>
              <w:rPr>
                <w:rFonts w:ascii="Times New Roman" w:hAnsi="Times New Roman" w:eastAsia="Times New Roman" w:cs="Times New Roman"/>
                <w:sz w:val="21"/>
                <w:szCs w:val="21"/>
              </w:rPr>
            </w:pPr>
            <w:r>
              <w:rPr>
                <w:rFonts w:ascii="Times New Roman"/>
                <w:sz w:val="21"/>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1" w:hRule="exact"/>
        </w:trPr>
        <w:tc>
          <w:tcPr>
            <w:tcW w:w="711" w:type="pct"/>
            <w:tcBorders>
              <w:tl2br w:val="nil"/>
              <w:tr2bl w:val="nil"/>
            </w:tcBorders>
          </w:tcPr>
          <w:p>
            <w:pPr>
              <w:pStyle w:val="4069"/>
              <w:spacing w:line="254" w:lineRule="exact"/>
              <w:ind w:left="0" w:right="0"/>
              <w:jc w:val="left"/>
              <w:rPr>
                <w:rFonts w:ascii="宋体" w:hAnsi="宋体" w:eastAsia="宋体" w:cs="宋体"/>
                <w:sz w:val="21"/>
                <w:szCs w:val="21"/>
              </w:rPr>
            </w:pPr>
            <w:r>
              <w:rPr>
                <w:rFonts w:ascii="宋体" w:hAnsi="宋体" w:eastAsia="宋体" w:cs="宋体"/>
                <w:spacing w:val="-1"/>
                <w:sz w:val="21"/>
                <w:szCs w:val="21"/>
              </w:rPr>
              <w:t>车速</w:t>
            </w:r>
          </w:p>
        </w:tc>
        <w:tc>
          <w:tcPr>
            <w:tcW w:w="715" w:type="pct"/>
            <w:tcBorders>
              <w:tl2br w:val="nil"/>
              <w:tr2bl w:val="nil"/>
            </w:tcBorders>
          </w:tcPr>
          <w:p>
            <w:pPr>
              <w:pStyle w:val="4069"/>
              <w:spacing w:line="269" w:lineRule="exact"/>
              <w:ind w:left="154" w:right="0"/>
              <w:jc w:val="left"/>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1"/>
                <w:szCs w:val="21"/>
              </w:rPr>
              <w:t>kg/m</w:t>
            </w:r>
            <w:r>
              <w:rPr>
                <w:rFonts w:ascii="Times New Roman" w:hAnsi="Times New Roman" w:eastAsia="Times New Roman" w:cs="Times New Roman"/>
                <w:spacing w:val="-1"/>
                <w:position w:val="7"/>
                <w:sz w:val="13"/>
                <w:szCs w:val="13"/>
              </w:rPr>
              <w:t>2</w:t>
            </w:r>
            <w:r>
              <w:rPr>
                <w:rFonts w:ascii="宋体" w:hAnsi="宋体" w:eastAsia="宋体" w:cs="宋体"/>
                <w:spacing w:val="-1"/>
                <w:sz w:val="24"/>
                <w:szCs w:val="24"/>
              </w:rPr>
              <w:t>）</w:t>
            </w:r>
          </w:p>
        </w:tc>
        <w:tc>
          <w:tcPr>
            <w:tcW w:w="714" w:type="pct"/>
            <w:tcBorders>
              <w:tl2br w:val="nil"/>
              <w:tr2bl w:val="nil"/>
            </w:tcBorders>
          </w:tcPr>
          <w:p>
            <w:pPr>
              <w:pStyle w:val="4069"/>
              <w:spacing w:line="269" w:lineRule="exact"/>
              <w:ind w:left="152" w:right="0"/>
              <w:jc w:val="left"/>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1"/>
                <w:szCs w:val="21"/>
              </w:rPr>
              <w:t>kg/m</w:t>
            </w:r>
            <w:r>
              <w:rPr>
                <w:rFonts w:ascii="Times New Roman" w:hAnsi="Times New Roman" w:eastAsia="Times New Roman" w:cs="Times New Roman"/>
                <w:position w:val="7"/>
                <w:sz w:val="13"/>
                <w:szCs w:val="13"/>
              </w:rPr>
              <w:t>2</w:t>
            </w:r>
            <w:r>
              <w:rPr>
                <w:rFonts w:ascii="宋体" w:hAnsi="宋体" w:eastAsia="宋体" w:cs="宋体"/>
                <w:sz w:val="24"/>
                <w:szCs w:val="24"/>
              </w:rPr>
              <w:t>）</w:t>
            </w:r>
          </w:p>
        </w:tc>
        <w:tc>
          <w:tcPr>
            <w:tcW w:w="714" w:type="pct"/>
            <w:tcBorders>
              <w:tl2br w:val="nil"/>
              <w:tr2bl w:val="nil"/>
            </w:tcBorders>
          </w:tcPr>
          <w:p>
            <w:pPr>
              <w:pStyle w:val="4069"/>
              <w:spacing w:line="269" w:lineRule="exact"/>
              <w:ind w:left="153" w:right="0"/>
              <w:jc w:val="left"/>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1"/>
                <w:szCs w:val="21"/>
              </w:rPr>
              <w:t>kg/m</w:t>
            </w:r>
            <w:r>
              <w:rPr>
                <w:rFonts w:ascii="Times New Roman" w:hAnsi="Times New Roman" w:eastAsia="Times New Roman" w:cs="Times New Roman"/>
                <w:spacing w:val="-1"/>
                <w:position w:val="7"/>
                <w:sz w:val="13"/>
                <w:szCs w:val="13"/>
              </w:rPr>
              <w:t>2</w:t>
            </w:r>
            <w:r>
              <w:rPr>
                <w:rFonts w:ascii="宋体" w:hAnsi="宋体" w:eastAsia="宋体" w:cs="宋体"/>
                <w:spacing w:val="-1"/>
                <w:sz w:val="24"/>
                <w:szCs w:val="24"/>
              </w:rPr>
              <w:t>）</w:t>
            </w:r>
          </w:p>
        </w:tc>
        <w:tc>
          <w:tcPr>
            <w:tcW w:w="714" w:type="pct"/>
            <w:tcBorders>
              <w:tl2br w:val="nil"/>
              <w:tr2bl w:val="nil"/>
            </w:tcBorders>
          </w:tcPr>
          <w:p>
            <w:pPr>
              <w:pStyle w:val="4069"/>
              <w:spacing w:line="269" w:lineRule="exact"/>
              <w:ind w:left="152" w:right="0"/>
              <w:jc w:val="left"/>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1"/>
                <w:szCs w:val="21"/>
              </w:rPr>
              <w:t>kg/m</w:t>
            </w:r>
            <w:r>
              <w:rPr>
                <w:rFonts w:ascii="Times New Roman" w:hAnsi="Times New Roman" w:eastAsia="Times New Roman" w:cs="Times New Roman"/>
                <w:position w:val="7"/>
                <w:sz w:val="13"/>
                <w:szCs w:val="13"/>
              </w:rPr>
              <w:t>2</w:t>
            </w:r>
            <w:r>
              <w:rPr>
                <w:rFonts w:ascii="宋体" w:hAnsi="宋体" w:eastAsia="宋体" w:cs="宋体"/>
                <w:sz w:val="24"/>
                <w:szCs w:val="24"/>
              </w:rPr>
              <w:t>）</w:t>
            </w:r>
          </w:p>
        </w:tc>
        <w:tc>
          <w:tcPr>
            <w:tcW w:w="715" w:type="pct"/>
            <w:tcBorders>
              <w:tl2br w:val="nil"/>
              <w:tr2bl w:val="nil"/>
            </w:tcBorders>
          </w:tcPr>
          <w:p>
            <w:pPr>
              <w:pStyle w:val="4069"/>
              <w:spacing w:line="269" w:lineRule="exact"/>
              <w:ind w:left="153" w:right="0"/>
              <w:jc w:val="left"/>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1"/>
                <w:szCs w:val="21"/>
              </w:rPr>
              <w:t>kg/m</w:t>
            </w:r>
            <w:r>
              <w:rPr>
                <w:rFonts w:ascii="Times New Roman" w:hAnsi="Times New Roman" w:eastAsia="Times New Roman" w:cs="Times New Roman"/>
                <w:position w:val="7"/>
                <w:sz w:val="13"/>
                <w:szCs w:val="13"/>
              </w:rPr>
              <w:t>2</w:t>
            </w:r>
            <w:r>
              <w:rPr>
                <w:rFonts w:ascii="宋体" w:hAnsi="宋体" w:eastAsia="宋体" w:cs="宋体"/>
                <w:sz w:val="24"/>
                <w:szCs w:val="24"/>
              </w:rPr>
              <w:t>）</w:t>
            </w:r>
          </w:p>
        </w:tc>
        <w:tc>
          <w:tcPr>
            <w:tcW w:w="712" w:type="pct"/>
            <w:tcBorders>
              <w:tl2br w:val="nil"/>
              <w:tr2bl w:val="nil"/>
            </w:tcBorders>
          </w:tcPr>
          <w:p>
            <w:pPr>
              <w:pStyle w:val="4069"/>
              <w:spacing w:line="269" w:lineRule="exact"/>
              <w:ind w:left="147" w:right="0"/>
              <w:jc w:val="left"/>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1"/>
                <w:szCs w:val="21"/>
              </w:rPr>
              <w:t>kg/m</w:t>
            </w:r>
            <w:r>
              <w:rPr>
                <w:rFonts w:ascii="Times New Roman" w:hAnsi="Times New Roman" w:eastAsia="Times New Roman" w:cs="Times New Roman"/>
                <w:spacing w:val="-1"/>
                <w:position w:val="7"/>
                <w:sz w:val="13"/>
                <w:szCs w:val="13"/>
              </w:rPr>
              <w:t>2</w:t>
            </w:r>
            <w:r>
              <w:rPr>
                <w:rFonts w:ascii="宋体" w:hAnsi="宋体" w:eastAsia="宋体" w:cs="宋体"/>
                <w:spacing w:val="-1"/>
                <w:sz w:val="24"/>
                <w:szCs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exact"/>
        </w:trPr>
        <w:tc>
          <w:tcPr>
            <w:tcW w:w="711" w:type="pct"/>
            <w:tcBorders>
              <w:tl2br w:val="nil"/>
              <w:tr2bl w:val="nil"/>
            </w:tcBorders>
          </w:tcPr>
          <w:p>
            <w:pPr>
              <w:pStyle w:val="4069"/>
              <w:spacing w:before="16" w:line="240" w:lineRule="auto"/>
              <w:ind w:left="141" w:right="0"/>
              <w:jc w:val="left"/>
              <w:rPr>
                <w:rFonts w:ascii="宋体" w:hAnsi="宋体" w:eastAsia="宋体" w:cs="宋体"/>
                <w:sz w:val="24"/>
                <w:szCs w:val="24"/>
              </w:rPr>
            </w:pPr>
            <w:r>
              <w:rPr>
                <w:rFonts w:ascii="Times New Roman" w:hAnsi="Times New Roman" w:eastAsia="Times New Roman" w:cs="Times New Roman"/>
                <w:sz w:val="21"/>
                <w:szCs w:val="21"/>
              </w:rPr>
              <w:t>5</w:t>
            </w:r>
            <w:r>
              <w:rPr>
                <w:rFonts w:ascii="宋体" w:hAnsi="宋体" w:eastAsia="宋体" w:cs="宋体"/>
                <w:sz w:val="21"/>
                <w:szCs w:val="21"/>
              </w:rPr>
              <w:t>（</w:t>
            </w:r>
            <w:r>
              <w:rPr>
                <w:rFonts w:ascii="Times New Roman" w:hAnsi="Times New Roman" w:eastAsia="Times New Roman" w:cs="Times New Roman"/>
                <w:sz w:val="21"/>
                <w:szCs w:val="21"/>
              </w:rPr>
              <w:t>km/h</w:t>
            </w:r>
            <w:r>
              <w:rPr>
                <w:rFonts w:ascii="宋体" w:hAnsi="宋体" w:eastAsia="宋体" w:cs="宋体"/>
                <w:sz w:val="24"/>
                <w:szCs w:val="24"/>
              </w:rPr>
              <w:t>）</w:t>
            </w:r>
          </w:p>
        </w:tc>
        <w:tc>
          <w:tcPr>
            <w:tcW w:w="715" w:type="pct"/>
            <w:tcBorders>
              <w:tl2br w:val="nil"/>
              <w:tr2bl w:val="nil"/>
            </w:tcBorders>
          </w:tcPr>
          <w:p>
            <w:pPr>
              <w:pStyle w:val="4069"/>
              <w:spacing w:before="86" w:line="240" w:lineRule="auto"/>
              <w:ind w:left="247" w:right="0"/>
              <w:jc w:val="left"/>
              <w:rPr>
                <w:rFonts w:ascii="Times New Roman" w:hAnsi="Times New Roman" w:eastAsia="Times New Roman" w:cs="Times New Roman"/>
                <w:sz w:val="21"/>
                <w:szCs w:val="21"/>
              </w:rPr>
            </w:pPr>
            <w:r>
              <w:rPr>
                <w:rFonts w:ascii="Times New Roman"/>
                <w:sz w:val="21"/>
              </w:rPr>
              <w:t>0.051056</w:t>
            </w:r>
          </w:p>
        </w:tc>
        <w:tc>
          <w:tcPr>
            <w:tcW w:w="714" w:type="pct"/>
            <w:tcBorders>
              <w:tl2br w:val="nil"/>
              <w:tr2bl w:val="nil"/>
            </w:tcBorders>
          </w:tcPr>
          <w:p>
            <w:pPr>
              <w:pStyle w:val="4069"/>
              <w:spacing w:before="86" w:line="240" w:lineRule="auto"/>
              <w:ind w:left="248" w:right="0"/>
              <w:jc w:val="left"/>
              <w:rPr>
                <w:rFonts w:ascii="Times New Roman" w:hAnsi="Times New Roman" w:eastAsia="Times New Roman" w:cs="Times New Roman"/>
                <w:sz w:val="21"/>
                <w:szCs w:val="21"/>
              </w:rPr>
            </w:pPr>
            <w:r>
              <w:rPr>
                <w:rFonts w:ascii="Times New Roman"/>
                <w:sz w:val="21"/>
              </w:rPr>
              <w:t>0.085865</w:t>
            </w:r>
          </w:p>
        </w:tc>
        <w:tc>
          <w:tcPr>
            <w:tcW w:w="714" w:type="pct"/>
            <w:tcBorders>
              <w:tl2br w:val="nil"/>
              <w:tr2bl w:val="nil"/>
            </w:tcBorders>
          </w:tcPr>
          <w:p>
            <w:pPr>
              <w:pStyle w:val="4069"/>
              <w:spacing w:before="86" w:line="240" w:lineRule="auto"/>
              <w:ind w:left="273" w:right="0"/>
              <w:jc w:val="left"/>
              <w:rPr>
                <w:rFonts w:ascii="Times New Roman" w:hAnsi="Times New Roman" w:eastAsia="Times New Roman" w:cs="Times New Roman"/>
                <w:sz w:val="21"/>
                <w:szCs w:val="21"/>
              </w:rPr>
            </w:pPr>
            <w:r>
              <w:rPr>
                <w:rFonts w:ascii="Times New Roman"/>
                <w:w w:val="95"/>
                <w:sz w:val="21"/>
              </w:rPr>
              <w:t>0.116382</w:t>
            </w:r>
          </w:p>
        </w:tc>
        <w:tc>
          <w:tcPr>
            <w:tcW w:w="714" w:type="pct"/>
            <w:tcBorders>
              <w:tl2br w:val="nil"/>
              <w:tr2bl w:val="nil"/>
            </w:tcBorders>
          </w:tcPr>
          <w:p>
            <w:pPr>
              <w:pStyle w:val="4069"/>
              <w:spacing w:before="86" w:line="240" w:lineRule="auto"/>
              <w:ind w:left="248" w:right="0"/>
              <w:jc w:val="left"/>
              <w:rPr>
                <w:rFonts w:ascii="Times New Roman" w:hAnsi="Times New Roman" w:eastAsia="Times New Roman" w:cs="Times New Roman"/>
                <w:sz w:val="21"/>
                <w:szCs w:val="21"/>
              </w:rPr>
            </w:pPr>
            <w:r>
              <w:rPr>
                <w:rFonts w:ascii="Times New Roman"/>
                <w:sz w:val="21"/>
              </w:rPr>
              <w:t>0.144408</w:t>
            </w:r>
          </w:p>
        </w:tc>
        <w:tc>
          <w:tcPr>
            <w:tcW w:w="715" w:type="pct"/>
            <w:tcBorders>
              <w:tl2br w:val="nil"/>
              <w:tr2bl w:val="nil"/>
            </w:tcBorders>
          </w:tcPr>
          <w:p>
            <w:pPr>
              <w:pStyle w:val="4069"/>
              <w:spacing w:before="86" w:line="240" w:lineRule="auto"/>
              <w:ind w:left="247" w:right="0"/>
              <w:jc w:val="left"/>
              <w:rPr>
                <w:rFonts w:ascii="Times New Roman" w:hAnsi="Times New Roman" w:eastAsia="Times New Roman" w:cs="Times New Roman"/>
                <w:sz w:val="21"/>
                <w:szCs w:val="21"/>
              </w:rPr>
            </w:pPr>
            <w:r>
              <w:rPr>
                <w:rFonts w:ascii="Times New Roman"/>
                <w:sz w:val="21"/>
              </w:rPr>
              <w:t>0.170715</w:t>
            </w:r>
          </w:p>
        </w:tc>
        <w:tc>
          <w:tcPr>
            <w:tcW w:w="712" w:type="pct"/>
            <w:tcBorders>
              <w:tl2br w:val="nil"/>
              <w:tr2bl w:val="nil"/>
            </w:tcBorders>
          </w:tcPr>
          <w:p>
            <w:pPr>
              <w:pStyle w:val="4069"/>
              <w:spacing w:before="86" w:line="240" w:lineRule="auto"/>
              <w:ind w:left="240" w:right="0"/>
              <w:jc w:val="left"/>
              <w:rPr>
                <w:rFonts w:ascii="Times New Roman" w:hAnsi="Times New Roman" w:eastAsia="Times New Roman" w:cs="Times New Roman"/>
                <w:sz w:val="21"/>
                <w:szCs w:val="21"/>
              </w:rPr>
            </w:pPr>
            <w:r>
              <w:rPr>
                <w:rFonts w:ascii="Times New Roman"/>
                <w:sz w:val="21"/>
              </w:rPr>
              <w:t>0.287108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exact"/>
        </w:trPr>
        <w:tc>
          <w:tcPr>
            <w:tcW w:w="711" w:type="pct"/>
            <w:tcBorders>
              <w:tl2br w:val="nil"/>
              <w:tr2bl w:val="nil"/>
            </w:tcBorders>
          </w:tcPr>
          <w:p>
            <w:pPr>
              <w:pStyle w:val="4069"/>
              <w:spacing w:before="16" w:line="240" w:lineRule="auto"/>
              <w:ind w:left="74" w:right="0"/>
              <w:jc w:val="left"/>
              <w:rPr>
                <w:rFonts w:ascii="宋体" w:hAnsi="宋体" w:eastAsia="宋体" w:cs="宋体"/>
                <w:sz w:val="24"/>
                <w:szCs w:val="24"/>
              </w:rPr>
            </w:pPr>
            <w:r>
              <w:rPr>
                <w:rFonts w:ascii="Times New Roman" w:hAnsi="Times New Roman" w:eastAsia="Times New Roman" w:cs="Times New Roman"/>
                <w:sz w:val="21"/>
                <w:szCs w:val="21"/>
              </w:rPr>
              <w:t>10</w:t>
            </w:r>
            <w:r>
              <w:rPr>
                <w:rFonts w:ascii="宋体" w:hAnsi="宋体" w:eastAsia="宋体" w:cs="宋体"/>
                <w:sz w:val="24"/>
                <w:szCs w:val="24"/>
              </w:rPr>
              <w:t>（</w:t>
            </w:r>
            <w:r>
              <w:rPr>
                <w:rFonts w:ascii="Times New Roman" w:hAnsi="Times New Roman" w:eastAsia="Times New Roman" w:cs="Times New Roman"/>
                <w:sz w:val="21"/>
                <w:szCs w:val="21"/>
              </w:rPr>
              <w:t>km/h</w:t>
            </w:r>
            <w:r>
              <w:rPr>
                <w:rFonts w:ascii="宋体" w:hAnsi="宋体" w:eastAsia="宋体" w:cs="宋体"/>
                <w:sz w:val="24"/>
                <w:szCs w:val="24"/>
              </w:rPr>
              <w:t>）</w:t>
            </w:r>
          </w:p>
        </w:tc>
        <w:tc>
          <w:tcPr>
            <w:tcW w:w="715" w:type="pct"/>
            <w:tcBorders>
              <w:tl2br w:val="nil"/>
              <w:tr2bl w:val="nil"/>
            </w:tcBorders>
          </w:tcPr>
          <w:p>
            <w:pPr>
              <w:pStyle w:val="4069"/>
              <w:spacing w:before="85" w:line="240" w:lineRule="auto"/>
              <w:ind w:left="252" w:right="0"/>
              <w:jc w:val="left"/>
              <w:rPr>
                <w:rFonts w:ascii="Times New Roman" w:hAnsi="Times New Roman" w:eastAsia="Times New Roman" w:cs="Times New Roman"/>
                <w:sz w:val="21"/>
                <w:szCs w:val="21"/>
              </w:rPr>
            </w:pPr>
            <w:r>
              <w:rPr>
                <w:rFonts w:ascii="Times New Roman"/>
                <w:spacing w:val="-1"/>
                <w:sz w:val="21"/>
              </w:rPr>
              <w:t>0.102112</w:t>
            </w:r>
          </w:p>
        </w:tc>
        <w:tc>
          <w:tcPr>
            <w:tcW w:w="714" w:type="pct"/>
            <w:tcBorders>
              <w:tl2br w:val="nil"/>
              <w:tr2bl w:val="nil"/>
            </w:tcBorders>
          </w:tcPr>
          <w:p>
            <w:pPr>
              <w:pStyle w:val="4069"/>
              <w:spacing w:before="85" w:line="240" w:lineRule="auto"/>
              <w:ind w:left="248" w:right="0"/>
              <w:jc w:val="left"/>
              <w:rPr>
                <w:rFonts w:ascii="Times New Roman" w:hAnsi="Times New Roman" w:eastAsia="Times New Roman" w:cs="Times New Roman"/>
                <w:sz w:val="21"/>
                <w:szCs w:val="21"/>
              </w:rPr>
            </w:pPr>
            <w:r>
              <w:rPr>
                <w:rFonts w:ascii="Times New Roman"/>
                <w:sz w:val="21"/>
              </w:rPr>
              <w:t>0.171731</w:t>
            </w:r>
          </w:p>
        </w:tc>
        <w:tc>
          <w:tcPr>
            <w:tcW w:w="714" w:type="pct"/>
            <w:tcBorders>
              <w:tl2br w:val="nil"/>
              <w:tr2bl w:val="nil"/>
            </w:tcBorders>
          </w:tcPr>
          <w:p>
            <w:pPr>
              <w:pStyle w:val="4069"/>
              <w:spacing w:before="85" w:line="240" w:lineRule="auto"/>
              <w:ind w:left="268" w:right="0"/>
              <w:jc w:val="left"/>
              <w:rPr>
                <w:rFonts w:ascii="Times New Roman" w:hAnsi="Times New Roman" w:eastAsia="Times New Roman" w:cs="Times New Roman"/>
                <w:sz w:val="21"/>
                <w:szCs w:val="21"/>
              </w:rPr>
            </w:pPr>
            <w:r>
              <w:rPr>
                <w:rFonts w:ascii="Times New Roman"/>
                <w:w w:val="95"/>
                <w:sz w:val="21"/>
              </w:rPr>
              <w:t>0.232764</w:t>
            </w:r>
          </w:p>
        </w:tc>
        <w:tc>
          <w:tcPr>
            <w:tcW w:w="714" w:type="pct"/>
            <w:tcBorders>
              <w:tl2br w:val="nil"/>
              <w:tr2bl w:val="nil"/>
            </w:tcBorders>
          </w:tcPr>
          <w:p>
            <w:pPr>
              <w:pStyle w:val="4069"/>
              <w:spacing w:before="85" w:line="240" w:lineRule="auto"/>
              <w:ind w:left="248" w:right="0"/>
              <w:jc w:val="left"/>
              <w:rPr>
                <w:rFonts w:ascii="Times New Roman" w:hAnsi="Times New Roman" w:eastAsia="Times New Roman" w:cs="Times New Roman"/>
                <w:sz w:val="21"/>
                <w:szCs w:val="21"/>
              </w:rPr>
            </w:pPr>
            <w:r>
              <w:rPr>
                <w:rFonts w:ascii="Times New Roman"/>
                <w:sz w:val="21"/>
              </w:rPr>
              <w:t>0.288815</w:t>
            </w:r>
          </w:p>
        </w:tc>
        <w:tc>
          <w:tcPr>
            <w:tcW w:w="715" w:type="pct"/>
            <w:tcBorders>
              <w:tl2br w:val="nil"/>
              <w:tr2bl w:val="nil"/>
            </w:tcBorders>
          </w:tcPr>
          <w:p>
            <w:pPr>
              <w:pStyle w:val="4069"/>
              <w:spacing w:before="85" w:line="240" w:lineRule="auto"/>
              <w:ind w:left="252" w:right="0"/>
              <w:jc w:val="left"/>
              <w:rPr>
                <w:rFonts w:ascii="Times New Roman" w:hAnsi="Times New Roman" w:eastAsia="Times New Roman" w:cs="Times New Roman"/>
                <w:sz w:val="21"/>
                <w:szCs w:val="21"/>
              </w:rPr>
            </w:pPr>
            <w:r>
              <w:rPr>
                <w:rFonts w:ascii="Times New Roman"/>
                <w:spacing w:val="-1"/>
                <w:sz w:val="21"/>
              </w:rPr>
              <w:t>0.311431</w:t>
            </w:r>
          </w:p>
        </w:tc>
        <w:tc>
          <w:tcPr>
            <w:tcW w:w="712" w:type="pct"/>
            <w:tcBorders>
              <w:tl2br w:val="nil"/>
              <w:tr2bl w:val="nil"/>
            </w:tcBorders>
          </w:tcPr>
          <w:p>
            <w:pPr>
              <w:pStyle w:val="4069"/>
              <w:spacing w:before="85" w:line="240" w:lineRule="auto"/>
              <w:ind w:left="240" w:right="0"/>
              <w:jc w:val="left"/>
              <w:rPr>
                <w:rFonts w:ascii="Times New Roman" w:hAnsi="Times New Roman" w:eastAsia="Times New Roman" w:cs="Times New Roman"/>
                <w:sz w:val="21"/>
                <w:szCs w:val="21"/>
              </w:rPr>
            </w:pPr>
            <w:r>
              <w:rPr>
                <w:rFonts w:ascii="Times New Roman"/>
                <w:sz w:val="21"/>
              </w:rPr>
              <w:t>0.574216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exact"/>
        </w:trPr>
        <w:tc>
          <w:tcPr>
            <w:tcW w:w="711" w:type="pct"/>
            <w:tcBorders>
              <w:tl2br w:val="nil"/>
              <w:tr2bl w:val="nil"/>
            </w:tcBorders>
          </w:tcPr>
          <w:p>
            <w:pPr>
              <w:pStyle w:val="4069"/>
              <w:spacing w:before="15" w:line="240" w:lineRule="auto"/>
              <w:ind w:left="74" w:right="0"/>
              <w:jc w:val="left"/>
              <w:rPr>
                <w:rFonts w:ascii="宋体" w:hAnsi="宋体" w:eastAsia="宋体" w:cs="宋体"/>
                <w:sz w:val="24"/>
                <w:szCs w:val="24"/>
              </w:rPr>
            </w:pPr>
            <w:r>
              <w:rPr>
                <w:rFonts w:ascii="Times New Roman" w:hAnsi="Times New Roman" w:eastAsia="Times New Roman" w:cs="Times New Roman"/>
                <w:sz w:val="21"/>
                <w:szCs w:val="21"/>
              </w:rPr>
              <w:t>15</w:t>
            </w:r>
            <w:r>
              <w:rPr>
                <w:rFonts w:ascii="宋体" w:hAnsi="宋体" w:eastAsia="宋体" w:cs="宋体"/>
                <w:sz w:val="24"/>
                <w:szCs w:val="24"/>
              </w:rPr>
              <w:t>（</w:t>
            </w:r>
            <w:r>
              <w:rPr>
                <w:rFonts w:ascii="Times New Roman" w:hAnsi="Times New Roman" w:eastAsia="Times New Roman" w:cs="Times New Roman"/>
                <w:sz w:val="21"/>
                <w:szCs w:val="21"/>
              </w:rPr>
              <w:t>km/h</w:t>
            </w:r>
            <w:r>
              <w:rPr>
                <w:rFonts w:ascii="宋体" w:hAnsi="宋体" w:eastAsia="宋体" w:cs="宋体"/>
                <w:sz w:val="24"/>
                <w:szCs w:val="24"/>
              </w:rPr>
              <w:t>）</w:t>
            </w:r>
          </w:p>
        </w:tc>
        <w:tc>
          <w:tcPr>
            <w:tcW w:w="715" w:type="pct"/>
            <w:tcBorders>
              <w:tl2br w:val="nil"/>
              <w:tr2bl w:val="nil"/>
            </w:tcBorders>
          </w:tcPr>
          <w:p>
            <w:pPr>
              <w:pStyle w:val="4069"/>
              <w:spacing w:before="86" w:line="240" w:lineRule="auto"/>
              <w:ind w:left="247" w:right="0"/>
              <w:jc w:val="left"/>
              <w:rPr>
                <w:rFonts w:ascii="Times New Roman" w:hAnsi="Times New Roman" w:eastAsia="Times New Roman" w:cs="Times New Roman"/>
                <w:sz w:val="21"/>
                <w:szCs w:val="21"/>
              </w:rPr>
            </w:pPr>
            <w:r>
              <w:rPr>
                <w:rFonts w:ascii="Times New Roman"/>
                <w:sz w:val="21"/>
              </w:rPr>
              <w:t>0.153167</w:t>
            </w:r>
          </w:p>
        </w:tc>
        <w:tc>
          <w:tcPr>
            <w:tcW w:w="714" w:type="pct"/>
            <w:tcBorders>
              <w:tl2br w:val="nil"/>
              <w:tr2bl w:val="nil"/>
            </w:tcBorders>
          </w:tcPr>
          <w:p>
            <w:pPr>
              <w:pStyle w:val="4069"/>
              <w:spacing w:before="86" w:line="240" w:lineRule="auto"/>
              <w:ind w:left="248" w:right="0"/>
              <w:jc w:val="left"/>
              <w:rPr>
                <w:rFonts w:ascii="Times New Roman" w:hAnsi="Times New Roman" w:eastAsia="Times New Roman" w:cs="Times New Roman"/>
                <w:sz w:val="21"/>
                <w:szCs w:val="21"/>
              </w:rPr>
            </w:pPr>
            <w:r>
              <w:rPr>
                <w:rFonts w:ascii="Times New Roman"/>
                <w:sz w:val="21"/>
              </w:rPr>
              <w:t>0.257596</w:t>
            </w:r>
          </w:p>
        </w:tc>
        <w:tc>
          <w:tcPr>
            <w:tcW w:w="714" w:type="pct"/>
            <w:tcBorders>
              <w:tl2br w:val="nil"/>
              <w:tr2bl w:val="nil"/>
            </w:tcBorders>
          </w:tcPr>
          <w:p>
            <w:pPr>
              <w:pStyle w:val="4069"/>
              <w:spacing w:before="86" w:line="240" w:lineRule="auto"/>
              <w:ind w:left="268" w:right="0"/>
              <w:jc w:val="left"/>
              <w:rPr>
                <w:rFonts w:ascii="Times New Roman" w:hAnsi="Times New Roman" w:eastAsia="Times New Roman" w:cs="Times New Roman"/>
                <w:sz w:val="21"/>
                <w:szCs w:val="21"/>
              </w:rPr>
            </w:pPr>
            <w:r>
              <w:rPr>
                <w:rFonts w:ascii="Times New Roman"/>
                <w:w w:val="95"/>
                <w:sz w:val="21"/>
              </w:rPr>
              <w:t>0.349146</w:t>
            </w:r>
          </w:p>
        </w:tc>
        <w:tc>
          <w:tcPr>
            <w:tcW w:w="714" w:type="pct"/>
            <w:tcBorders>
              <w:tl2br w:val="nil"/>
              <w:tr2bl w:val="nil"/>
            </w:tcBorders>
          </w:tcPr>
          <w:p>
            <w:pPr>
              <w:pStyle w:val="4069"/>
              <w:spacing w:before="86" w:line="240" w:lineRule="auto"/>
              <w:ind w:left="248" w:right="0"/>
              <w:jc w:val="left"/>
              <w:rPr>
                <w:rFonts w:ascii="Times New Roman" w:hAnsi="Times New Roman" w:eastAsia="Times New Roman" w:cs="Times New Roman"/>
                <w:sz w:val="21"/>
                <w:szCs w:val="21"/>
              </w:rPr>
            </w:pPr>
            <w:r>
              <w:rPr>
                <w:rFonts w:ascii="Times New Roman"/>
                <w:sz w:val="21"/>
              </w:rPr>
              <w:t>0.433223</w:t>
            </w:r>
          </w:p>
        </w:tc>
        <w:tc>
          <w:tcPr>
            <w:tcW w:w="715" w:type="pct"/>
            <w:tcBorders>
              <w:tl2br w:val="nil"/>
              <w:tr2bl w:val="nil"/>
            </w:tcBorders>
          </w:tcPr>
          <w:p>
            <w:pPr>
              <w:pStyle w:val="4069"/>
              <w:spacing w:before="86" w:line="240" w:lineRule="auto"/>
              <w:ind w:left="247" w:right="0"/>
              <w:jc w:val="left"/>
              <w:rPr>
                <w:rFonts w:ascii="Times New Roman" w:hAnsi="Times New Roman" w:eastAsia="Times New Roman" w:cs="Times New Roman"/>
                <w:sz w:val="21"/>
                <w:szCs w:val="21"/>
              </w:rPr>
            </w:pPr>
            <w:r>
              <w:rPr>
                <w:rFonts w:ascii="Times New Roman"/>
                <w:sz w:val="21"/>
              </w:rPr>
              <w:t>0.512146</w:t>
            </w:r>
          </w:p>
        </w:tc>
        <w:tc>
          <w:tcPr>
            <w:tcW w:w="712" w:type="pct"/>
            <w:tcBorders>
              <w:tl2br w:val="nil"/>
              <w:tr2bl w:val="nil"/>
            </w:tcBorders>
          </w:tcPr>
          <w:p>
            <w:pPr>
              <w:pStyle w:val="4069"/>
              <w:spacing w:before="86" w:line="240" w:lineRule="auto"/>
              <w:ind w:left="240" w:right="0"/>
              <w:jc w:val="left"/>
              <w:rPr>
                <w:rFonts w:ascii="Times New Roman" w:hAnsi="Times New Roman" w:eastAsia="Times New Roman" w:cs="Times New Roman"/>
                <w:sz w:val="21"/>
                <w:szCs w:val="21"/>
              </w:rPr>
            </w:pPr>
            <w:r>
              <w:rPr>
                <w:rFonts w:ascii="Times New Roman"/>
                <w:sz w:val="21"/>
              </w:rPr>
              <w:t>0.861323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exact"/>
        </w:trPr>
        <w:tc>
          <w:tcPr>
            <w:tcW w:w="711" w:type="pct"/>
            <w:tcBorders>
              <w:tl2br w:val="nil"/>
              <w:tr2bl w:val="nil"/>
            </w:tcBorders>
          </w:tcPr>
          <w:p>
            <w:pPr>
              <w:pStyle w:val="4069"/>
              <w:spacing w:before="15" w:line="240" w:lineRule="auto"/>
              <w:ind w:left="74" w:right="0"/>
              <w:jc w:val="left"/>
              <w:rPr>
                <w:rFonts w:ascii="宋体" w:hAnsi="宋体" w:eastAsia="宋体" w:cs="宋体"/>
                <w:sz w:val="24"/>
                <w:szCs w:val="24"/>
              </w:rPr>
            </w:pPr>
            <w:r>
              <w:rPr>
                <w:rFonts w:ascii="Times New Roman" w:hAnsi="Times New Roman" w:eastAsia="Times New Roman" w:cs="Times New Roman"/>
                <w:sz w:val="21"/>
                <w:szCs w:val="21"/>
              </w:rPr>
              <w:t>25</w:t>
            </w:r>
            <w:r>
              <w:rPr>
                <w:rFonts w:ascii="宋体" w:hAnsi="宋体" w:eastAsia="宋体" w:cs="宋体"/>
                <w:sz w:val="24"/>
                <w:szCs w:val="24"/>
              </w:rPr>
              <w:t>（</w:t>
            </w:r>
            <w:r>
              <w:rPr>
                <w:rFonts w:ascii="Times New Roman" w:hAnsi="Times New Roman" w:eastAsia="Times New Roman" w:cs="Times New Roman"/>
                <w:sz w:val="21"/>
                <w:szCs w:val="21"/>
              </w:rPr>
              <w:t>km/h</w:t>
            </w:r>
            <w:r>
              <w:rPr>
                <w:rFonts w:ascii="宋体" w:hAnsi="宋体" w:eastAsia="宋体" w:cs="宋体"/>
                <w:sz w:val="24"/>
                <w:szCs w:val="24"/>
              </w:rPr>
              <w:t>）</w:t>
            </w:r>
          </w:p>
        </w:tc>
        <w:tc>
          <w:tcPr>
            <w:tcW w:w="715" w:type="pct"/>
            <w:tcBorders>
              <w:tl2br w:val="nil"/>
              <w:tr2bl w:val="nil"/>
            </w:tcBorders>
          </w:tcPr>
          <w:p>
            <w:pPr>
              <w:pStyle w:val="4069"/>
              <w:spacing w:before="85" w:line="240" w:lineRule="auto"/>
              <w:ind w:left="247" w:right="0"/>
              <w:jc w:val="left"/>
              <w:rPr>
                <w:rFonts w:ascii="Times New Roman" w:hAnsi="Times New Roman" w:eastAsia="Times New Roman" w:cs="Times New Roman"/>
                <w:sz w:val="21"/>
                <w:szCs w:val="21"/>
              </w:rPr>
            </w:pPr>
            <w:r>
              <w:rPr>
                <w:rFonts w:ascii="Times New Roman"/>
                <w:sz w:val="21"/>
              </w:rPr>
              <w:t>0.255279</w:t>
            </w:r>
          </w:p>
        </w:tc>
        <w:tc>
          <w:tcPr>
            <w:tcW w:w="714" w:type="pct"/>
            <w:tcBorders>
              <w:tl2br w:val="nil"/>
              <w:tr2bl w:val="nil"/>
            </w:tcBorders>
          </w:tcPr>
          <w:p>
            <w:pPr>
              <w:pStyle w:val="4069"/>
              <w:spacing w:before="85" w:line="240" w:lineRule="auto"/>
              <w:ind w:left="248" w:right="0"/>
              <w:jc w:val="left"/>
              <w:rPr>
                <w:rFonts w:ascii="Times New Roman" w:hAnsi="Times New Roman" w:eastAsia="Times New Roman" w:cs="Times New Roman"/>
                <w:sz w:val="21"/>
                <w:szCs w:val="21"/>
              </w:rPr>
            </w:pPr>
            <w:r>
              <w:rPr>
                <w:rFonts w:ascii="Times New Roman"/>
                <w:sz w:val="21"/>
              </w:rPr>
              <w:t>0.429326</w:t>
            </w:r>
          </w:p>
        </w:tc>
        <w:tc>
          <w:tcPr>
            <w:tcW w:w="714" w:type="pct"/>
            <w:tcBorders>
              <w:tl2br w:val="nil"/>
              <w:tr2bl w:val="nil"/>
            </w:tcBorders>
          </w:tcPr>
          <w:p>
            <w:pPr>
              <w:pStyle w:val="4069"/>
              <w:spacing w:before="85" w:line="240" w:lineRule="auto"/>
              <w:ind w:left="319" w:right="0"/>
              <w:jc w:val="left"/>
              <w:rPr>
                <w:rFonts w:ascii="Times New Roman" w:hAnsi="Times New Roman" w:eastAsia="Times New Roman" w:cs="Times New Roman"/>
                <w:sz w:val="21"/>
                <w:szCs w:val="21"/>
              </w:rPr>
            </w:pPr>
            <w:r>
              <w:rPr>
                <w:rFonts w:ascii="Times New Roman"/>
                <w:w w:val="95"/>
                <w:sz w:val="21"/>
              </w:rPr>
              <w:t>0.58191</w:t>
            </w:r>
          </w:p>
        </w:tc>
        <w:tc>
          <w:tcPr>
            <w:tcW w:w="714" w:type="pct"/>
            <w:tcBorders>
              <w:tl2br w:val="nil"/>
              <w:tr2bl w:val="nil"/>
            </w:tcBorders>
          </w:tcPr>
          <w:p>
            <w:pPr>
              <w:pStyle w:val="4069"/>
              <w:spacing w:before="85" w:line="240" w:lineRule="auto"/>
              <w:ind w:left="248" w:right="0"/>
              <w:jc w:val="left"/>
              <w:rPr>
                <w:rFonts w:ascii="Times New Roman" w:hAnsi="Times New Roman" w:eastAsia="Times New Roman" w:cs="Times New Roman"/>
                <w:sz w:val="21"/>
                <w:szCs w:val="21"/>
              </w:rPr>
            </w:pPr>
            <w:r>
              <w:rPr>
                <w:rFonts w:ascii="Times New Roman"/>
                <w:sz w:val="21"/>
              </w:rPr>
              <w:t>0.722038</w:t>
            </w:r>
          </w:p>
        </w:tc>
        <w:tc>
          <w:tcPr>
            <w:tcW w:w="715" w:type="pct"/>
            <w:tcBorders>
              <w:tl2br w:val="nil"/>
              <w:tr2bl w:val="nil"/>
            </w:tcBorders>
          </w:tcPr>
          <w:p>
            <w:pPr>
              <w:pStyle w:val="4069"/>
              <w:spacing w:before="85" w:line="240" w:lineRule="auto"/>
              <w:ind w:left="247" w:right="0"/>
              <w:jc w:val="left"/>
              <w:rPr>
                <w:rFonts w:ascii="Times New Roman" w:hAnsi="Times New Roman" w:eastAsia="Times New Roman" w:cs="Times New Roman"/>
                <w:sz w:val="21"/>
                <w:szCs w:val="21"/>
              </w:rPr>
            </w:pPr>
            <w:r>
              <w:rPr>
                <w:rFonts w:ascii="Times New Roman"/>
                <w:sz w:val="21"/>
              </w:rPr>
              <w:t>0.853577</w:t>
            </w:r>
          </w:p>
        </w:tc>
        <w:tc>
          <w:tcPr>
            <w:tcW w:w="712" w:type="pct"/>
            <w:tcBorders>
              <w:tl2br w:val="nil"/>
              <w:tr2bl w:val="nil"/>
            </w:tcBorders>
          </w:tcPr>
          <w:p>
            <w:pPr>
              <w:pStyle w:val="4069"/>
              <w:spacing w:before="85" w:line="240" w:lineRule="auto"/>
              <w:ind w:left="240" w:right="0"/>
              <w:jc w:val="left"/>
              <w:rPr>
                <w:rFonts w:ascii="Times New Roman" w:hAnsi="Times New Roman" w:eastAsia="Times New Roman" w:cs="Times New Roman"/>
                <w:sz w:val="21"/>
                <w:szCs w:val="21"/>
              </w:rPr>
            </w:pPr>
            <w:r>
              <w:rPr>
                <w:rFonts w:ascii="Times New Roman"/>
                <w:sz w:val="21"/>
              </w:rPr>
              <w:t>1.435539</w:t>
            </w:r>
          </w:p>
        </w:tc>
      </w:tr>
    </w:tbl>
    <w:p>
      <w:pPr>
        <w:pStyle w:val="1659"/>
      </w:pPr>
      <w:r>
        <w:t>由表</w:t>
      </w:r>
      <w:r>
        <w:rPr>
          <w:rFonts w:hint="eastAsia"/>
          <w:lang w:val="en-US" w:eastAsia="zh-CN"/>
        </w:rPr>
        <w:t>3.3</w:t>
      </w:r>
      <w:r>
        <w:t>-1可知，在同样路面清洁程度下，车速越快，扬尘量越大；而在同样车速情况下，路面越脏，扬尘量越大。因此，限速行驶及保持路面的清洁是减少汽车扬尘 的有效手段。</w:t>
      </w:r>
    </w:p>
    <w:p>
      <w:pPr>
        <w:pStyle w:val="1659"/>
      </w:pPr>
      <w:r>
        <w:t>施工期扬尘的另一个主要原因是露天堆场和裸露场地的风力扬尘。由于施工的需要，一些建材需露天堆放；一些施工点表层土壤需人工开挖、堆放，在气候干燥又有 风的情况下，会产生扬尘，其扬尘量可按堆场起尘的经验公式计算：</w:t>
      </w:r>
    </w:p>
    <w:p>
      <w:pPr>
        <w:tabs>
          <w:tab w:val="left" w:pos="3377"/>
          <w:tab w:val="left" w:pos="4779"/>
          <w:tab w:val="left" w:pos="5273"/>
        </w:tabs>
        <w:spacing w:before="0"/>
        <w:ind w:left="2842" w:right="0" w:firstLine="0"/>
        <w:jc w:val="left"/>
        <w:rPr>
          <w:rFonts w:ascii="Times New Roman" w:hAnsi="Times New Roman" w:eastAsia="Times New Roman" w:cs="Times New Roman"/>
          <w:sz w:val="14"/>
          <w:szCs w:val="14"/>
        </w:rPr>
      </w:pPr>
      <w:r>
        <w:rPr>
          <w:rFonts w:ascii="Times New Roman"/>
          <w:i/>
          <w:w w:val="95"/>
          <w:position w:val="2"/>
          <w:sz w:val="24"/>
        </w:rPr>
        <w:t>Q</w:t>
      </w:r>
      <w:r>
        <w:rPr>
          <w:rFonts w:ascii="Times New Roman"/>
          <w:i/>
          <w:w w:val="95"/>
          <w:position w:val="2"/>
          <w:sz w:val="24"/>
        </w:rPr>
        <w:tab/>
      </w:r>
      <w:r>
        <w:rPr>
          <w:rFonts w:ascii="Times New Roman"/>
          <w:w w:val="95"/>
          <w:position w:val="2"/>
          <w:sz w:val="24"/>
        </w:rPr>
        <w:t xml:space="preserve">2.1  </w:t>
      </w:r>
      <w:r>
        <w:rPr>
          <w:rFonts w:ascii="Times New Roman"/>
          <w:spacing w:val="21"/>
          <w:w w:val="95"/>
          <w:position w:val="2"/>
          <w:sz w:val="24"/>
        </w:rPr>
        <w:t xml:space="preserve"> </w:t>
      </w:r>
      <w:r>
        <w:rPr>
          <w:rFonts w:ascii="Times New Roman"/>
          <w:i/>
          <w:w w:val="95"/>
          <w:position w:val="2"/>
          <w:sz w:val="24"/>
        </w:rPr>
        <w:t>V</w:t>
      </w:r>
      <w:r>
        <w:rPr>
          <w:rFonts w:ascii="Times New Roman"/>
          <w:i/>
          <w:w w:val="95"/>
          <w:sz w:val="15"/>
        </w:rPr>
        <w:t>50</w:t>
      </w:r>
      <w:r>
        <w:rPr>
          <w:rFonts w:ascii="Times New Roman"/>
          <w:i/>
          <w:w w:val="95"/>
          <w:sz w:val="15"/>
        </w:rPr>
        <w:tab/>
      </w:r>
      <w:r>
        <w:rPr>
          <w:rFonts w:ascii="Times New Roman"/>
          <w:i/>
          <w:w w:val="95"/>
          <w:position w:val="2"/>
          <w:sz w:val="24"/>
        </w:rPr>
        <w:t>V</w:t>
      </w:r>
      <w:r>
        <w:rPr>
          <w:rFonts w:ascii="Times New Roman"/>
          <w:i/>
          <w:w w:val="95"/>
          <w:sz w:val="15"/>
        </w:rPr>
        <w:t>0</w:t>
      </w:r>
      <w:r>
        <w:rPr>
          <w:rFonts w:ascii="Times New Roman"/>
          <w:i/>
          <w:w w:val="95"/>
          <w:sz w:val="15"/>
        </w:rPr>
        <w:tab/>
      </w:r>
      <w:r>
        <w:rPr>
          <w:rFonts w:ascii="Times New Roman"/>
          <w:w w:val="95"/>
          <w:position w:val="14"/>
          <w:sz w:val="14"/>
        </w:rPr>
        <w:t>3</w:t>
      </w:r>
      <w:r>
        <w:rPr>
          <w:rFonts w:ascii="Times New Roman"/>
          <w:spacing w:val="7"/>
          <w:w w:val="95"/>
          <w:position w:val="14"/>
          <w:sz w:val="14"/>
        </w:rPr>
        <w:t xml:space="preserve"> </w:t>
      </w:r>
      <w:r>
        <w:rPr>
          <w:rFonts w:ascii="Times New Roman"/>
          <w:i/>
          <w:w w:val="95"/>
          <w:position w:val="2"/>
          <w:sz w:val="24"/>
        </w:rPr>
        <w:t xml:space="preserve">e </w:t>
      </w:r>
      <w:r>
        <w:rPr>
          <w:rFonts w:ascii="Times New Roman"/>
          <w:i/>
          <w:spacing w:val="44"/>
          <w:w w:val="95"/>
          <w:position w:val="2"/>
          <w:sz w:val="24"/>
        </w:rPr>
        <w:t xml:space="preserve"> </w:t>
      </w:r>
      <w:r>
        <w:rPr>
          <w:rFonts w:ascii="Times New Roman"/>
          <w:spacing w:val="1"/>
          <w:w w:val="95"/>
          <w:position w:val="13"/>
          <w:sz w:val="14"/>
        </w:rPr>
        <w:t>1.023</w:t>
      </w:r>
      <w:r>
        <w:rPr>
          <w:rFonts w:ascii="Times New Roman"/>
          <w:i/>
          <w:spacing w:val="1"/>
          <w:w w:val="95"/>
          <w:position w:val="13"/>
          <w:sz w:val="14"/>
        </w:rPr>
        <w:t>W</w:t>
      </w:r>
    </w:p>
    <w:p>
      <w:pPr>
        <w:pStyle w:val="1659"/>
      </w:pPr>
      <w:r>
        <w:t>其中：Q——起尘量，kg/t·年；</w:t>
      </w:r>
    </w:p>
    <w:p>
      <w:pPr>
        <w:pStyle w:val="1659"/>
        <w:ind w:firstLine="1200" w:firstLineChars="500"/>
      </w:pPr>
      <w:r>
        <w:t>V50——距地面 50m 处风速，m/s；</w:t>
      </w:r>
    </w:p>
    <w:p>
      <w:pPr>
        <w:pStyle w:val="1659"/>
        <w:ind w:firstLine="1200" w:firstLineChars="500"/>
      </w:pPr>
      <w:r>
        <w:t>V0——起尘风速，m/s；</w:t>
      </w:r>
    </w:p>
    <w:p>
      <w:pPr>
        <w:pStyle w:val="1659"/>
        <w:ind w:firstLine="1200" w:firstLineChars="500"/>
      </w:pPr>
      <w:r>
        <w:t>W——尘粒的含水率，%。</w:t>
      </w:r>
    </w:p>
    <w:p>
      <w:pPr>
        <w:pStyle w:val="1659"/>
      </w:pPr>
      <w:r>
        <w:t>尘粒在空气中的传播扩散情况与风速等气象条件有关，也与尘粒本身的沉降速度有关。不同粒径的尘粒沉降速度见表</w:t>
      </w:r>
      <w:r>
        <w:rPr>
          <w:rFonts w:hint="eastAsia"/>
          <w:lang w:val="en-US" w:eastAsia="zh-CN"/>
        </w:rPr>
        <w:t>3.3</w:t>
      </w:r>
      <w:r>
        <w:t>-2。</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3-2</w:t>
      </w:r>
      <w:r>
        <w:rPr>
          <w:b/>
          <w:sz w:val="24"/>
        </w:rPr>
        <w:t xml:space="preserve"> </w:t>
      </w:r>
      <w:r>
        <w:rPr>
          <w:rFonts w:hint="eastAsia"/>
          <w:b/>
          <w:sz w:val="24"/>
          <w:lang w:val="en-US" w:eastAsia="zh-CN"/>
        </w:rPr>
        <w:t xml:space="preserve"> 不同粒径尘粒的沉降速度</w:t>
      </w:r>
    </w:p>
    <w:tbl>
      <w:tblPr>
        <w:tblStyle w:val="88"/>
        <w:tblW w:w="4996"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119"/>
        <w:gridCol w:w="961"/>
        <w:gridCol w:w="962"/>
        <w:gridCol w:w="962"/>
        <w:gridCol w:w="963"/>
        <w:gridCol w:w="961"/>
        <w:gridCol w:w="706"/>
        <w:gridCol w:w="69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7" w:hRule="exact"/>
        </w:trPr>
        <w:tc>
          <w:tcPr>
            <w:tcW w:w="1319" w:type="pct"/>
            <w:tcBorders>
              <w:tl2br w:val="nil"/>
              <w:tr2bl w:val="nil"/>
            </w:tcBorders>
          </w:tcPr>
          <w:p>
            <w:pPr>
              <w:pStyle w:val="4069"/>
              <w:spacing w:before="39" w:line="240" w:lineRule="auto"/>
              <w:ind w:left="614" w:right="0"/>
              <w:jc w:val="left"/>
              <w:rPr>
                <w:rFonts w:ascii="宋体" w:hAnsi="宋体" w:eastAsia="宋体" w:cs="宋体"/>
                <w:sz w:val="21"/>
                <w:szCs w:val="21"/>
              </w:rPr>
            </w:pPr>
            <w:r>
              <w:rPr>
                <w:rFonts w:ascii="宋体" w:hAnsi="宋体" w:eastAsia="宋体" w:cs="宋体"/>
                <w:spacing w:val="-1"/>
                <w:sz w:val="21"/>
                <w:szCs w:val="21"/>
              </w:rPr>
              <w:t>粒径</w:t>
            </w:r>
            <w:r>
              <w:rPr>
                <w:rFonts w:ascii="宋体" w:hAnsi="宋体" w:eastAsia="宋体" w:cs="宋体"/>
                <w:spacing w:val="15"/>
                <w:sz w:val="21"/>
                <w:szCs w:val="21"/>
              </w:rPr>
              <w:t xml:space="preserve"> </w:t>
            </w:r>
            <w:r>
              <w:rPr>
                <w:rFonts w:ascii="宋体" w:hAnsi="宋体" w:eastAsia="宋体" w:cs="宋体"/>
                <w:sz w:val="21"/>
                <w:szCs w:val="21"/>
              </w:rPr>
              <w:t>（</w:t>
            </w:r>
            <w:r>
              <w:rPr>
                <w:rFonts w:ascii="Times New Roman" w:hAnsi="Times New Roman" w:eastAsia="Times New Roman" w:cs="Times New Roman"/>
                <w:b/>
                <w:bCs/>
                <w:sz w:val="21"/>
                <w:szCs w:val="21"/>
              </w:rPr>
              <w:t>m</w:t>
            </w:r>
            <w:r>
              <w:rPr>
                <w:rFonts w:ascii="宋体" w:hAnsi="宋体" w:eastAsia="宋体" w:cs="宋体"/>
                <w:sz w:val="21"/>
                <w:szCs w:val="21"/>
              </w:rPr>
              <w:t>）</w:t>
            </w:r>
          </w:p>
        </w:tc>
        <w:tc>
          <w:tcPr>
            <w:tcW w:w="549" w:type="pct"/>
            <w:tcBorders>
              <w:tl2br w:val="nil"/>
              <w:tr2bl w:val="nil"/>
            </w:tcBorders>
          </w:tcPr>
          <w:p>
            <w:pPr>
              <w:pStyle w:val="4069"/>
              <w:spacing w:before="87" w:line="240" w:lineRule="auto"/>
              <w:ind w:left="365" w:right="366"/>
              <w:jc w:val="center"/>
              <w:rPr>
                <w:rFonts w:ascii="Times New Roman" w:hAnsi="Times New Roman" w:eastAsia="Times New Roman" w:cs="Times New Roman"/>
                <w:sz w:val="21"/>
                <w:szCs w:val="21"/>
              </w:rPr>
            </w:pPr>
            <w:r>
              <w:rPr>
                <w:rFonts w:ascii="Times New Roman"/>
                <w:sz w:val="21"/>
              </w:rPr>
              <w:t>10</w:t>
            </w:r>
          </w:p>
        </w:tc>
        <w:tc>
          <w:tcPr>
            <w:tcW w:w="548" w:type="pct"/>
            <w:tcBorders>
              <w:tl2br w:val="nil"/>
              <w:tr2bl w:val="nil"/>
            </w:tcBorders>
          </w:tcPr>
          <w:p>
            <w:pPr>
              <w:pStyle w:val="4069"/>
              <w:spacing w:before="87" w:line="240" w:lineRule="auto"/>
              <w:ind w:left="365" w:right="367"/>
              <w:jc w:val="center"/>
              <w:rPr>
                <w:rFonts w:ascii="Times New Roman" w:hAnsi="Times New Roman" w:eastAsia="Times New Roman" w:cs="Times New Roman"/>
                <w:sz w:val="21"/>
                <w:szCs w:val="21"/>
              </w:rPr>
            </w:pPr>
            <w:r>
              <w:rPr>
                <w:rFonts w:ascii="Times New Roman"/>
                <w:sz w:val="21"/>
              </w:rPr>
              <w:t>20</w:t>
            </w:r>
          </w:p>
        </w:tc>
        <w:tc>
          <w:tcPr>
            <w:tcW w:w="548" w:type="pct"/>
            <w:tcBorders>
              <w:tl2br w:val="nil"/>
              <w:tr2bl w:val="nil"/>
            </w:tcBorders>
          </w:tcPr>
          <w:p>
            <w:pPr>
              <w:pStyle w:val="4069"/>
              <w:spacing w:before="87" w:line="240" w:lineRule="auto"/>
              <w:ind w:left="365" w:right="367"/>
              <w:jc w:val="center"/>
              <w:rPr>
                <w:rFonts w:ascii="Times New Roman" w:hAnsi="Times New Roman" w:eastAsia="Times New Roman" w:cs="Times New Roman"/>
                <w:sz w:val="21"/>
                <w:szCs w:val="21"/>
              </w:rPr>
            </w:pPr>
            <w:r>
              <w:rPr>
                <w:rFonts w:ascii="Times New Roman"/>
                <w:sz w:val="21"/>
              </w:rPr>
              <w:t>30</w:t>
            </w:r>
          </w:p>
        </w:tc>
        <w:tc>
          <w:tcPr>
            <w:tcW w:w="549" w:type="pct"/>
            <w:tcBorders>
              <w:tl2br w:val="nil"/>
              <w:tr2bl w:val="nil"/>
            </w:tcBorders>
          </w:tcPr>
          <w:p>
            <w:pPr>
              <w:pStyle w:val="4069"/>
              <w:spacing w:before="87" w:line="240" w:lineRule="auto"/>
              <w:ind w:left="364" w:right="367"/>
              <w:jc w:val="center"/>
              <w:rPr>
                <w:rFonts w:ascii="Times New Roman" w:hAnsi="Times New Roman" w:eastAsia="Times New Roman" w:cs="Times New Roman"/>
                <w:sz w:val="21"/>
                <w:szCs w:val="21"/>
              </w:rPr>
            </w:pPr>
            <w:r>
              <w:rPr>
                <w:rFonts w:ascii="Times New Roman"/>
                <w:sz w:val="21"/>
              </w:rPr>
              <w:t>40</w:t>
            </w:r>
          </w:p>
        </w:tc>
        <w:tc>
          <w:tcPr>
            <w:tcW w:w="548" w:type="pct"/>
            <w:tcBorders>
              <w:tl2br w:val="nil"/>
              <w:tr2bl w:val="nil"/>
            </w:tcBorders>
          </w:tcPr>
          <w:p>
            <w:pPr>
              <w:pStyle w:val="4069"/>
              <w:spacing w:before="87" w:line="240" w:lineRule="auto"/>
              <w:ind w:left="0" w:right="0"/>
              <w:jc w:val="center"/>
              <w:rPr>
                <w:rFonts w:ascii="Times New Roman" w:hAnsi="Times New Roman" w:eastAsia="Times New Roman" w:cs="Times New Roman"/>
                <w:sz w:val="21"/>
                <w:szCs w:val="21"/>
              </w:rPr>
            </w:pPr>
            <w:r>
              <w:rPr>
                <w:rFonts w:ascii="Times New Roman"/>
                <w:sz w:val="21"/>
              </w:rPr>
              <w:t>50</w:t>
            </w:r>
          </w:p>
        </w:tc>
        <w:tc>
          <w:tcPr>
            <w:tcW w:w="471" w:type="pct"/>
            <w:tcBorders>
              <w:tl2br w:val="nil"/>
              <w:tr2bl w:val="nil"/>
            </w:tcBorders>
          </w:tcPr>
          <w:p>
            <w:pPr>
              <w:pStyle w:val="4069"/>
              <w:spacing w:before="87" w:line="240" w:lineRule="auto"/>
              <w:ind w:right="2"/>
              <w:jc w:val="center"/>
              <w:rPr>
                <w:rFonts w:ascii="Times New Roman" w:hAnsi="Times New Roman" w:eastAsia="Times New Roman" w:cs="Times New Roman"/>
                <w:sz w:val="21"/>
                <w:szCs w:val="21"/>
              </w:rPr>
            </w:pPr>
            <w:r>
              <w:rPr>
                <w:rFonts w:ascii="Times New Roman"/>
                <w:sz w:val="21"/>
              </w:rPr>
              <w:t>60</w:t>
            </w:r>
          </w:p>
        </w:tc>
        <w:tc>
          <w:tcPr>
            <w:tcW w:w="462" w:type="pct"/>
            <w:tcBorders>
              <w:tl2br w:val="nil"/>
              <w:tr2bl w:val="nil"/>
            </w:tcBorders>
          </w:tcPr>
          <w:p>
            <w:pPr>
              <w:pStyle w:val="4069"/>
              <w:spacing w:before="87" w:line="240" w:lineRule="auto"/>
              <w:ind w:right="0"/>
              <w:jc w:val="center"/>
              <w:rPr>
                <w:rFonts w:ascii="Times New Roman" w:hAnsi="Times New Roman" w:eastAsia="Times New Roman" w:cs="Times New Roman"/>
                <w:sz w:val="21"/>
                <w:szCs w:val="21"/>
              </w:rPr>
            </w:pPr>
            <w:r>
              <w:rPr>
                <w:rFonts w:ascii="Times New Roman"/>
                <w:sz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exact"/>
        </w:trPr>
        <w:tc>
          <w:tcPr>
            <w:tcW w:w="1319" w:type="pct"/>
            <w:tcBorders>
              <w:tl2br w:val="nil"/>
              <w:tr2bl w:val="nil"/>
            </w:tcBorders>
          </w:tcPr>
          <w:p>
            <w:pPr>
              <w:pStyle w:val="4069"/>
              <w:spacing w:before="39" w:line="240" w:lineRule="auto"/>
              <w:ind w:left="398" w:right="0"/>
              <w:jc w:val="left"/>
              <w:rPr>
                <w:rFonts w:ascii="宋体" w:hAnsi="宋体" w:eastAsia="宋体" w:cs="宋体"/>
                <w:sz w:val="21"/>
                <w:szCs w:val="21"/>
              </w:rPr>
            </w:pPr>
            <w:r>
              <w:rPr>
                <w:rFonts w:ascii="宋体" w:hAnsi="宋体" w:eastAsia="宋体" w:cs="宋体"/>
                <w:sz w:val="21"/>
                <w:szCs w:val="21"/>
              </w:rPr>
              <w:t>沉降速度（</w:t>
            </w:r>
            <w:r>
              <w:rPr>
                <w:rFonts w:ascii="Times New Roman" w:hAnsi="Times New Roman" w:eastAsia="Times New Roman" w:cs="Times New Roman"/>
                <w:b/>
                <w:bCs/>
                <w:sz w:val="21"/>
                <w:szCs w:val="21"/>
              </w:rPr>
              <w:t>m/s</w:t>
            </w:r>
            <w:r>
              <w:rPr>
                <w:rFonts w:ascii="宋体" w:hAnsi="宋体" w:eastAsia="宋体" w:cs="宋体"/>
                <w:sz w:val="21"/>
                <w:szCs w:val="21"/>
              </w:rPr>
              <w:t>）</w:t>
            </w:r>
          </w:p>
        </w:tc>
        <w:tc>
          <w:tcPr>
            <w:tcW w:w="549" w:type="pct"/>
            <w:tcBorders>
              <w:tl2br w:val="nil"/>
              <w:tr2bl w:val="nil"/>
            </w:tcBorders>
          </w:tcPr>
          <w:p>
            <w:pPr>
              <w:pStyle w:val="4069"/>
              <w:spacing w:before="85" w:line="240" w:lineRule="auto"/>
              <w:ind w:left="253" w:right="0"/>
              <w:jc w:val="left"/>
              <w:rPr>
                <w:rFonts w:ascii="Times New Roman" w:hAnsi="Times New Roman" w:eastAsia="Times New Roman" w:cs="Times New Roman"/>
                <w:sz w:val="21"/>
                <w:szCs w:val="21"/>
              </w:rPr>
            </w:pPr>
            <w:r>
              <w:rPr>
                <w:rFonts w:ascii="Times New Roman"/>
                <w:sz w:val="21"/>
              </w:rPr>
              <w:t>0.003</w:t>
            </w:r>
          </w:p>
        </w:tc>
        <w:tc>
          <w:tcPr>
            <w:tcW w:w="548" w:type="pct"/>
            <w:tcBorders>
              <w:tl2br w:val="nil"/>
              <w:tr2bl w:val="nil"/>
            </w:tcBorders>
          </w:tcPr>
          <w:p>
            <w:pPr>
              <w:pStyle w:val="4069"/>
              <w:spacing w:before="85" w:line="240" w:lineRule="auto"/>
              <w:ind w:left="254" w:right="0"/>
              <w:jc w:val="left"/>
              <w:rPr>
                <w:rFonts w:ascii="Times New Roman" w:hAnsi="Times New Roman" w:eastAsia="Times New Roman" w:cs="Times New Roman"/>
                <w:sz w:val="21"/>
                <w:szCs w:val="21"/>
              </w:rPr>
            </w:pPr>
            <w:r>
              <w:rPr>
                <w:rFonts w:ascii="Times New Roman"/>
                <w:sz w:val="21"/>
              </w:rPr>
              <w:t>0.012</w:t>
            </w:r>
          </w:p>
        </w:tc>
        <w:tc>
          <w:tcPr>
            <w:tcW w:w="548" w:type="pct"/>
            <w:tcBorders>
              <w:tl2br w:val="nil"/>
              <w:tr2bl w:val="nil"/>
            </w:tcBorders>
          </w:tcPr>
          <w:p>
            <w:pPr>
              <w:pStyle w:val="4069"/>
              <w:spacing w:before="85" w:line="240" w:lineRule="auto"/>
              <w:ind w:left="254" w:right="0"/>
              <w:jc w:val="left"/>
              <w:rPr>
                <w:rFonts w:ascii="Times New Roman" w:hAnsi="Times New Roman" w:eastAsia="Times New Roman" w:cs="Times New Roman"/>
                <w:sz w:val="21"/>
                <w:szCs w:val="21"/>
              </w:rPr>
            </w:pPr>
            <w:r>
              <w:rPr>
                <w:rFonts w:ascii="Times New Roman"/>
                <w:sz w:val="21"/>
              </w:rPr>
              <w:t>0.027</w:t>
            </w:r>
          </w:p>
        </w:tc>
        <w:tc>
          <w:tcPr>
            <w:tcW w:w="549" w:type="pct"/>
            <w:tcBorders>
              <w:tl2br w:val="nil"/>
              <w:tr2bl w:val="nil"/>
            </w:tcBorders>
          </w:tcPr>
          <w:p>
            <w:pPr>
              <w:pStyle w:val="4069"/>
              <w:spacing w:before="85" w:line="240" w:lineRule="auto"/>
              <w:ind w:left="254" w:right="0"/>
              <w:jc w:val="left"/>
              <w:rPr>
                <w:rFonts w:ascii="Times New Roman" w:hAnsi="Times New Roman" w:eastAsia="Times New Roman" w:cs="Times New Roman"/>
                <w:sz w:val="21"/>
                <w:szCs w:val="21"/>
              </w:rPr>
            </w:pPr>
            <w:r>
              <w:rPr>
                <w:rFonts w:ascii="Times New Roman"/>
                <w:sz w:val="21"/>
              </w:rPr>
              <w:t>0.048</w:t>
            </w:r>
          </w:p>
        </w:tc>
        <w:tc>
          <w:tcPr>
            <w:tcW w:w="548" w:type="pct"/>
            <w:tcBorders>
              <w:tl2br w:val="nil"/>
              <w:tr2bl w:val="nil"/>
            </w:tcBorders>
          </w:tcPr>
          <w:p>
            <w:pPr>
              <w:pStyle w:val="4069"/>
              <w:spacing w:before="85" w:line="240" w:lineRule="auto"/>
              <w:ind w:left="253" w:right="0"/>
              <w:jc w:val="left"/>
              <w:rPr>
                <w:rFonts w:ascii="Times New Roman" w:hAnsi="Times New Roman" w:eastAsia="Times New Roman" w:cs="Times New Roman"/>
                <w:sz w:val="21"/>
                <w:szCs w:val="21"/>
              </w:rPr>
            </w:pPr>
            <w:r>
              <w:rPr>
                <w:rFonts w:ascii="Times New Roman"/>
                <w:sz w:val="21"/>
              </w:rPr>
              <w:t>0.075</w:t>
            </w:r>
          </w:p>
        </w:tc>
        <w:tc>
          <w:tcPr>
            <w:tcW w:w="471" w:type="pct"/>
            <w:tcBorders>
              <w:tl2br w:val="nil"/>
              <w:tr2bl w:val="nil"/>
            </w:tcBorders>
          </w:tcPr>
          <w:p>
            <w:pPr>
              <w:pStyle w:val="4069"/>
              <w:spacing w:before="85" w:line="240" w:lineRule="auto"/>
              <w:ind w:left="184" w:right="0"/>
              <w:jc w:val="left"/>
              <w:rPr>
                <w:rFonts w:ascii="Times New Roman" w:hAnsi="Times New Roman" w:eastAsia="Times New Roman" w:cs="Times New Roman"/>
                <w:sz w:val="21"/>
                <w:szCs w:val="21"/>
              </w:rPr>
            </w:pPr>
            <w:r>
              <w:rPr>
                <w:rFonts w:ascii="Times New Roman"/>
                <w:sz w:val="21"/>
              </w:rPr>
              <w:t>0.108</w:t>
            </w:r>
          </w:p>
        </w:tc>
        <w:tc>
          <w:tcPr>
            <w:tcW w:w="462" w:type="pct"/>
            <w:tcBorders>
              <w:tl2br w:val="nil"/>
              <w:tr2bl w:val="nil"/>
            </w:tcBorders>
          </w:tcPr>
          <w:p>
            <w:pPr>
              <w:pStyle w:val="4069"/>
              <w:spacing w:before="85" w:line="240" w:lineRule="auto"/>
              <w:ind w:left="171" w:right="0"/>
              <w:jc w:val="left"/>
              <w:rPr>
                <w:rFonts w:ascii="Times New Roman" w:hAnsi="Times New Roman" w:eastAsia="Times New Roman" w:cs="Times New Roman"/>
                <w:sz w:val="21"/>
                <w:szCs w:val="21"/>
              </w:rPr>
            </w:pPr>
            <w:r>
              <w:rPr>
                <w:rFonts w:ascii="Times New Roman"/>
                <w:sz w:val="21"/>
              </w:rPr>
              <w:t>0.147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exact"/>
        </w:trPr>
        <w:tc>
          <w:tcPr>
            <w:tcW w:w="1319" w:type="pct"/>
            <w:tcBorders>
              <w:tl2br w:val="nil"/>
              <w:tr2bl w:val="nil"/>
            </w:tcBorders>
          </w:tcPr>
          <w:p>
            <w:pPr>
              <w:pStyle w:val="4069"/>
              <w:spacing w:before="40" w:line="240" w:lineRule="auto"/>
              <w:ind w:left="679" w:right="0"/>
              <w:jc w:val="left"/>
              <w:rPr>
                <w:rFonts w:ascii="宋体" w:hAnsi="宋体" w:eastAsia="宋体" w:cs="宋体"/>
                <w:sz w:val="21"/>
                <w:szCs w:val="21"/>
              </w:rPr>
            </w:pPr>
            <w:r>
              <w:rPr>
                <w:rFonts w:ascii="宋体" w:hAnsi="宋体" w:eastAsia="宋体" w:cs="宋体"/>
                <w:sz w:val="21"/>
                <w:szCs w:val="21"/>
              </w:rPr>
              <w:t>粒径（</w:t>
            </w:r>
            <w:r>
              <w:rPr>
                <w:rFonts w:ascii="Times New Roman" w:hAnsi="Times New Roman" w:eastAsia="Times New Roman" w:cs="Times New Roman"/>
                <w:b/>
                <w:bCs/>
                <w:sz w:val="21"/>
                <w:szCs w:val="21"/>
              </w:rPr>
              <w:t>m</w:t>
            </w:r>
            <w:r>
              <w:rPr>
                <w:rFonts w:ascii="宋体" w:hAnsi="宋体" w:eastAsia="宋体" w:cs="宋体"/>
                <w:sz w:val="21"/>
                <w:szCs w:val="21"/>
              </w:rPr>
              <w:t>）</w:t>
            </w:r>
          </w:p>
        </w:tc>
        <w:tc>
          <w:tcPr>
            <w:tcW w:w="549" w:type="pct"/>
            <w:tcBorders>
              <w:tl2br w:val="nil"/>
              <w:tr2bl w:val="nil"/>
            </w:tcBorders>
          </w:tcPr>
          <w:p>
            <w:pPr>
              <w:pStyle w:val="4069"/>
              <w:spacing w:before="86" w:line="240" w:lineRule="auto"/>
              <w:ind w:left="365" w:right="366"/>
              <w:jc w:val="center"/>
              <w:rPr>
                <w:rFonts w:ascii="Times New Roman" w:hAnsi="Times New Roman" w:eastAsia="Times New Roman" w:cs="Times New Roman"/>
                <w:sz w:val="21"/>
                <w:szCs w:val="21"/>
              </w:rPr>
            </w:pPr>
            <w:r>
              <w:rPr>
                <w:rFonts w:ascii="Times New Roman"/>
                <w:sz w:val="21"/>
              </w:rPr>
              <w:t>80</w:t>
            </w:r>
          </w:p>
        </w:tc>
        <w:tc>
          <w:tcPr>
            <w:tcW w:w="548" w:type="pct"/>
            <w:tcBorders>
              <w:tl2br w:val="nil"/>
              <w:tr2bl w:val="nil"/>
            </w:tcBorders>
          </w:tcPr>
          <w:p>
            <w:pPr>
              <w:pStyle w:val="4069"/>
              <w:spacing w:before="86" w:line="240" w:lineRule="auto"/>
              <w:ind w:left="365" w:right="367"/>
              <w:jc w:val="center"/>
              <w:rPr>
                <w:rFonts w:ascii="Times New Roman" w:hAnsi="Times New Roman" w:eastAsia="Times New Roman" w:cs="Times New Roman"/>
                <w:sz w:val="21"/>
                <w:szCs w:val="21"/>
              </w:rPr>
            </w:pPr>
            <w:r>
              <w:rPr>
                <w:rFonts w:ascii="Times New Roman"/>
                <w:sz w:val="21"/>
              </w:rPr>
              <w:t>90</w:t>
            </w:r>
          </w:p>
        </w:tc>
        <w:tc>
          <w:tcPr>
            <w:tcW w:w="548" w:type="pct"/>
            <w:tcBorders>
              <w:tl2br w:val="nil"/>
              <w:tr2bl w:val="nil"/>
            </w:tcBorders>
          </w:tcPr>
          <w:p>
            <w:pPr>
              <w:pStyle w:val="4069"/>
              <w:spacing w:before="86" w:line="240" w:lineRule="auto"/>
              <w:ind w:left="312" w:right="314"/>
              <w:jc w:val="center"/>
              <w:rPr>
                <w:rFonts w:ascii="Times New Roman" w:hAnsi="Times New Roman" w:eastAsia="Times New Roman" w:cs="Times New Roman"/>
                <w:sz w:val="21"/>
                <w:szCs w:val="21"/>
              </w:rPr>
            </w:pPr>
            <w:r>
              <w:rPr>
                <w:rFonts w:ascii="Times New Roman"/>
                <w:sz w:val="21"/>
              </w:rPr>
              <w:t>100</w:t>
            </w:r>
          </w:p>
        </w:tc>
        <w:tc>
          <w:tcPr>
            <w:tcW w:w="549" w:type="pct"/>
            <w:tcBorders>
              <w:tl2br w:val="nil"/>
              <w:tr2bl w:val="nil"/>
            </w:tcBorders>
          </w:tcPr>
          <w:p>
            <w:pPr>
              <w:pStyle w:val="4069"/>
              <w:spacing w:before="86" w:line="240" w:lineRule="auto"/>
              <w:ind w:left="315" w:right="313"/>
              <w:jc w:val="center"/>
              <w:rPr>
                <w:rFonts w:ascii="Times New Roman" w:hAnsi="Times New Roman" w:eastAsia="Times New Roman" w:cs="Times New Roman"/>
                <w:sz w:val="21"/>
                <w:szCs w:val="21"/>
              </w:rPr>
            </w:pPr>
            <w:r>
              <w:rPr>
                <w:rFonts w:ascii="Times New Roman"/>
                <w:sz w:val="21"/>
              </w:rPr>
              <w:t>150</w:t>
            </w:r>
          </w:p>
        </w:tc>
        <w:tc>
          <w:tcPr>
            <w:tcW w:w="548" w:type="pct"/>
            <w:tcBorders>
              <w:tl2br w:val="nil"/>
              <w:tr2bl w:val="nil"/>
            </w:tcBorders>
          </w:tcPr>
          <w:p>
            <w:pPr>
              <w:pStyle w:val="4069"/>
              <w:spacing w:before="86" w:line="240" w:lineRule="auto"/>
              <w:ind w:left="313" w:right="313"/>
              <w:jc w:val="center"/>
              <w:rPr>
                <w:rFonts w:ascii="Times New Roman" w:hAnsi="Times New Roman" w:eastAsia="Times New Roman" w:cs="Times New Roman"/>
                <w:sz w:val="21"/>
                <w:szCs w:val="21"/>
              </w:rPr>
            </w:pPr>
            <w:r>
              <w:rPr>
                <w:rFonts w:ascii="Times New Roman"/>
                <w:sz w:val="21"/>
              </w:rPr>
              <w:t>200</w:t>
            </w:r>
          </w:p>
        </w:tc>
        <w:tc>
          <w:tcPr>
            <w:tcW w:w="471" w:type="pct"/>
            <w:tcBorders>
              <w:tl2br w:val="nil"/>
              <w:tr2bl w:val="nil"/>
            </w:tcBorders>
          </w:tcPr>
          <w:p>
            <w:pPr>
              <w:pStyle w:val="4069"/>
              <w:spacing w:before="86" w:line="240" w:lineRule="auto"/>
              <w:ind w:left="263" w:right="0"/>
              <w:jc w:val="left"/>
              <w:rPr>
                <w:rFonts w:ascii="Times New Roman" w:hAnsi="Times New Roman" w:eastAsia="Times New Roman" w:cs="Times New Roman"/>
                <w:sz w:val="21"/>
                <w:szCs w:val="21"/>
              </w:rPr>
            </w:pPr>
            <w:r>
              <w:rPr>
                <w:rFonts w:ascii="Times New Roman"/>
                <w:sz w:val="21"/>
              </w:rPr>
              <w:t>250</w:t>
            </w:r>
          </w:p>
        </w:tc>
        <w:tc>
          <w:tcPr>
            <w:tcW w:w="462" w:type="pct"/>
            <w:tcBorders>
              <w:tl2br w:val="nil"/>
              <w:tr2bl w:val="nil"/>
            </w:tcBorders>
          </w:tcPr>
          <w:p>
            <w:pPr>
              <w:pStyle w:val="4069"/>
              <w:spacing w:before="86" w:line="240" w:lineRule="auto"/>
              <w:ind w:left="250" w:right="0"/>
              <w:jc w:val="left"/>
              <w:rPr>
                <w:rFonts w:ascii="Times New Roman" w:hAnsi="Times New Roman" w:eastAsia="Times New Roman" w:cs="Times New Roman"/>
                <w:sz w:val="21"/>
                <w:szCs w:val="21"/>
              </w:rPr>
            </w:pPr>
            <w:r>
              <w:rPr>
                <w:rFonts w:ascii="Times New Roman"/>
                <w:sz w:val="21"/>
              </w:rPr>
              <w:t>350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exact"/>
        </w:trPr>
        <w:tc>
          <w:tcPr>
            <w:tcW w:w="1319" w:type="pct"/>
            <w:tcBorders>
              <w:tl2br w:val="nil"/>
              <w:tr2bl w:val="nil"/>
            </w:tcBorders>
          </w:tcPr>
          <w:p>
            <w:pPr>
              <w:pStyle w:val="4069"/>
              <w:spacing w:before="39" w:line="240" w:lineRule="auto"/>
              <w:ind w:left="398" w:right="0"/>
              <w:jc w:val="left"/>
              <w:rPr>
                <w:rFonts w:ascii="宋体" w:hAnsi="宋体" w:eastAsia="宋体" w:cs="宋体"/>
                <w:sz w:val="21"/>
                <w:szCs w:val="21"/>
              </w:rPr>
            </w:pPr>
            <w:r>
              <w:rPr>
                <w:rFonts w:ascii="宋体" w:hAnsi="宋体" w:eastAsia="宋体" w:cs="宋体"/>
                <w:sz w:val="21"/>
                <w:szCs w:val="21"/>
              </w:rPr>
              <w:t>沉降速度（</w:t>
            </w:r>
            <w:r>
              <w:rPr>
                <w:rFonts w:ascii="Times New Roman" w:hAnsi="Times New Roman" w:eastAsia="Times New Roman" w:cs="Times New Roman"/>
                <w:b/>
                <w:bCs/>
                <w:sz w:val="21"/>
                <w:szCs w:val="21"/>
              </w:rPr>
              <w:t>m/s</w:t>
            </w:r>
            <w:r>
              <w:rPr>
                <w:rFonts w:ascii="宋体" w:hAnsi="宋体" w:eastAsia="宋体" w:cs="宋体"/>
                <w:sz w:val="21"/>
                <w:szCs w:val="21"/>
              </w:rPr>
              <w:t>）</w:t>
            </w:r>
          </w:p>
        </w:tc>
        <w:tc>
          <w:tcPr>
            <w:tcW w:w="549" w:type="pct"/>
            <w:tcBorders>
              <w:tl2br w:val="nil"/>
              <w:tr2bl w:val="nil"/>
            </w:tcBorders>
          </w:tcPr>
          <w:p>
            <w:pPr>
              <w:pStyle w:val="4069"/>
              <w:spacing w:before="85" w:line="240" w:lineRule="auto"/>
              <w:ind w:left="253" w:right="0"/>
              <w:jc w:val="left"/>
              <w:rPr>
                <w:rFonts w:ascii="Times New Roman" w:hAnsi="Times New Roman" w:eastAsia="Times New Roman" w:cs="Times New Roman"/>
                <w:sz w:val="21"/>
                <w:szCs w:val="21"/>
              </w:rPr>
            </w:pPr>
            <w:r>
              <w:rPr>
                <w:rFonts w:ascii="Times New Roman"/>
                <w:sz w:val="21"/>
              </w:rPr>
              <w:t>0.158</w:t>
            </w:r>
          </w:p>
        </w:tc>
        <w:tc>
          <w:tcPr>
            <w:tcW w:w="548" w:type="pct"/>
            <w:tcBorders>
              <w:tl2br w:val="nil"/>
              <w:tr2bl w:val="nil"/>
            </w:tcBorders>
          </w:tcPr>
          <w:p>
            <w:pPr>
              <w:pStyle w:val="4069"/>
              <w:spacing w:before="85" w:line="240" w:lineRule="auto"/>
              <w:ind w:left="254" w:right="0"/>
              <w:jc w:val="left"/>
              <w:rPr>
                <w:rFonts w:ascii="Times New Roman" w:hAnsi="Times New Roman" w:eastAsia="Times New Roman" w:cs="Times New Roman"/>
                <w:sz w:val="21"/>
                <w:szCs w:val="21"/>
              </w:rPr>
            </w:pPr>
            <w:r>
              <w:rPr>
                <w:rFonts w:ascii="Times New Roman"/>
                <w:sz w:val="21"/>
              </w:rPr>
              <w:t>0.170</w:t>
            </w:r>
          </w:p>
        </w:tc>
        <w:tc>
          <w:tcPr>
            <w:tcW w:w="548" w:type="pct"/>
            <w:tcBorders>
              <w:tl2br w:val="nil"/>
              <w:tr2bl w:val="nil"/>
            </w:tcBorders>
          </w:tcPr>
          <w:p>
            <w:pPr>
              <w:pStyle w:val="4069"/>
              <w:spacing w:before="85" w:line="240" w:lineRule="auto"/>
              <w:ind w:left="254" w:right="0"/>
              <w:jc w:val="left"/>
              <w:rPr>
                <w:rFonts w:ascii="Times New Roman" w:hAnsi="Times New Roman" w:eastAsia="Times New Roman" w:cs="Times New Roman"/>
                <w:sz w:val="21"/>
                <w:szCs w:val="21"/>
              </w:rPr>
            </w:pPr>
            <w:r>
              <w:rPr>
                <w:rFonts w:ascii="Times New Roman"/>
                <w:sz w:val="21"/>
              </w:rPr>
              <w:t>0.182</w:t>
            </w:r>
          </w:p>
        </w:tc>
        <w:tc>
          <w:tcPr>
            <w:tcW w:w="549" w:type="pct"/>
            <w:tcBorders>
              <w:tl2br w:val="nil"/>
              <w:tr2bl w:val="nil"/>
            </w:tcBorders>
          </w:tcPr>
          <w:p>
            <w:pPr>
              <w:pStyle w:val="4069"/>
              <w:spacing w:before="85" w:line="240" w:lineRule="auto"/>
              <w:ind w:left="254" w:right="0"/>
              <w:jc w:val="left"/>
              <w:rPr>
                <w:rFonts w:ascii="Times New Roman" w:hAnsi="Times New Roman" w:eastAsia="Times New Roman" w:cs="Times New Roman"/>
                <w:sz w:val="21"/>
                <w:szCs w:val="21"/>
              </w:rPr>
            </w:pPr>
            <w:r>
              <w:rPr>
                <w:rFonts w:ascii="Times New Roman"/>
                <w:sz w:val="21"/>
              </w:rPr>
              <w:t>0.239</w:t>
            </w:r>
          </w:p>
        </w:tc>
        <w:tc>
          <w:tcPr>
            <w:tcW w:w="548" w:type="pct"/>
            <w:tcBorders>
              <w:tl2br w:val="nil"/>
              <w:tr2bl w:val="nil"/>
            </w:tcBorders>
          </w:tcPr>
          <w:p>
            <w:pPr>
              <w:pStyle w:val="4069"/>
              <w:spacing w:before="85" w:line="240" w:lineRule="auto"/>
              <w:ind w:left="253" w:right="0"/>
              <w:jc w:val="left"/>
              <w:rPr>
                <w:rFonts w:ascii="Times New Roman" w:hAnsi="Times New Roman" w:eastAsia="Times New Roman" w:cs="Times New Roman"/>
                <w:sz w:val="21"/>
                <w:szCs w:val="21"/>
              </w:rPr>
            </w:pPr>
            <w:r>
              <w:rPr>
                <w:rFonts w:ascii="Times New Roman"/>
                <w:sz w:val="21"/>
              </w:rPr>
              <w:t>0.804</w:t>
            </w:r>
          </w:p>
        </w:tc>
        <w:tc>
          <w:tcPr>
            <w:tcW w:w="471" w:type="pct"/>
            <w:tcBorders>
              <w:tl2br w:val="nil"/>
              <w:tr2bl w:val="nil"/>
            </w:tcBorders>
          </w:tcPr>
          <w:p>
            <w:pPr>
              <w:pStyle w:val="4069"/>
              <w:spacing w:before="85" w:line="240" w:lineRule="auto"/>
              <w:ind w:left="184" w:right="0"/>
              <w:jc w:val="left"/>
              <w:rPr>
                <w:rFonts w:ascii="Times New Roman" w:hAnsi="Times New Roman" w:eastAsia="Times New Roman" w:cs="Times New Roman"/>
                <w:sz w:val="21"/>
                <w:szCs w:val="21"/>
              </w:rPr>
            </w:pPr>
            <w:r>
              <w:rPr>
                <w:rFonts w:ascii="Times New Roman"/>
                <w:sz w:val="21"/>
              </w:rPr>
              <w:t>1.005</w:t>
            </w:r>
          </w:p>
        </w:tc>
        <w:tc>
          <w:tcPr>
            <w:tcW w:w="462" w:type="pct"/>
            <w:tcBorders>
              <w:tl2br w:val="nil"/>
              <w:tr2bl w:val="nil"/>
            </w:tcBorders>
          </w:tcPr>
          <w:p>
            <w:pPr>
              <w:pStyle w:val="4069"/>
              <w:spacing w:before="85" w:line="240" w:lineRule="auto"/>
              <w:ind w:left="171" w:right="0"/>
              <w:jc w:val="left"/>
              <w:rPr>
                <w:rFonts w:ascii="Times New Roman" w:hAnsi="Times New Roman" w:eastAsia="Times New Roman" w:cs="Times New Roman"/>
                <w:sz w:val="21"/>
                <w:szCs w:val="21"/>
              </w:rPr>
            </w:pPr>
            <w:r>
              <w:rPr>
                <w:rFonts w:ascii="Times New Roman"/>
                <w:sz w:val="21"/>
              </w:rPr>
              <w:t>1.829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9" w:hRule="exact"/>
        </w:trPr>
        <w:tc>
          <w:tcPr>
            <w:tcW w:w="1319" w:type="pct"/>
            <w:tcBorders>
              <w:tl2br w:val="nil"/>
              <w:tr2bl w:val="nil"/>
            </w:tcBorders>
          </w:tcPr>
          <w:p>
            <w:pPr>
              <w:pStyle w:val="4069"/>
              <w:spacing w:before="39" w:line="240" w:lineRule="auto"/>
              <w:ind w:left="679" w:right="0"/>
              <w:jc w:val="left"/>
              <w:rPr>
                <w:rFonts w:ascii="宋体" w:hAnsi="宋体" w:eastAsia="宋体" w:cs="宋体"/>
                <w:sz w:val="21"/>
                <w:szCs w:val="21"/>
              </w:rPr>
            </w:pPr>
            <w:r>
              <w:rPr>
                <w:rFonts w:ascii="宋体" w:hAnsi="宋体" w:eastAsia="宋体" w:cs="宋体"/>
                <w:sz w:val="21"/>
                <w:szCs w:val="21"/>
              </w:rPr>
              <w:t>粒径（</w:t>
            </w:r>
            <w:r>
              <w:rPr>
                <w:rFonts w:ascii="Times New Roman" w:hAnsi="Times New Roman" w:eastAsia="Times New Roman" w:cs="Times New Roman"/>
                <w:b/>
                <w:bCs/>
                <w:sz w:val="21"/>
                <w:szCs w:val="21"/>
              </w:rPr>
              <w:t>m</w:t>
            </w:r>
            <w:r>
              <w:rPr>
                <w:rFonts w:ascii="宋体" w:hAnsi="宋体" w:eastAsia="宋体" w:cs="宋体"/>
                <w:sz w:val="21"/>
                <w:szCs w:val="21"/>
              </w:rPr>
              <w:t>）</w:t>
            </w:r>
          </w:p>
        </w:tc>
        <w:tc>
          <w:tcPr>
            <w:tcW w:w="549" w:type="pct"/>
            <w:tcBorders>
              <w:tl2br w:val="nil"/>
              <w:tr2bl w:val="nil"/>
            </w:tcBorders>
          </w:tcPr>
          <w:p>
            <w:pPr>
              <w:pStyle w:val="4069"/>
              <w:spacing w:before="85" w:line="240" w:lineRule="auto"/>
              <w:ind w:right="1"/>
              <w:jc w:val="center"/>
              <w:rPr>
                <w:rFonts w:ascii="Times New Roman" w:hAnsi="Times New Roman" w:eastAsia="Times New Roman" w:cs="Times New Roman"/>
                <w:sz w:val="21"/>
                <w:szCs w:val="21"/>
              </w:rPr>
            </w:pPr>
            <w:r>
              <w:rPr>
                <w:rFonts w:ascii="Times New Roman"/>
                <w:sz w:val="21"/>
              </w:rPr>
              <w:t>450</w:t>
            </w:r>
          </w:p>
        </w:tc>
        <w:tc>
          <w:tcPr>
            <w:tcW w:w="548" w:type="pct"/>
            <w:tcBorders>
              <w:tl2br w:val="nil"/>
              <w:tr2bl w:val="nil"/>
            </w:tcBorders>
          </w:tcPr>
          <w:p>
            <w:pPr>
              <w:pStyle w:val="4069"/>
              <w:spacing w:before="85" w:line="240" w:lineRule="auto"/>
              <w:ind w:left="312" w:right="314"/>
              <w:jc w:val="center"/>
              <w:rPr>
                <w:rFonts w:ascii="Times New Roman" w:hAnsi="Times New Roman" w:eastAsia="Times New Roman" w:cs="Times New Roman"/>
                <w:sz w:val="21"/>
                <w:szCs w:val="21"/>
              </w:rPr>
            </w:pPr>
            <w:r>
              <w:rPr>
                <w:rFonts w:ascii="Times New Roman"/>
                <w:sz w:val="21"/>
              </w:rPr>
              <w:t>550</w:t>
            </w:r>
          </w:p>
        </w:tc>
        <w:tc>
          <w:tcPr>
            <w:tcW w:w="548" w:type="pct"/>
            <w:tcBorders>
              <w:tl2br w:val="nil"/>
              <w:tr2bl w:val="nil"/>
            </w:tcBorders>
          </w:tcPr>
          <w:p>
            <w:pPr>
              <w:pStyle w:val="4069"/>
              <w:spacing w:before="85" w:line="240" w:lineRule="auto"/>
              <w:ind w:left="312" w:right="314"/>
              <w:jc w:val="center"/>
              <w:rPr>
                <w:rFonts w:ascii="Times New Roman" w:hAnsi="Times New Roman" w:eastAsia="Times New Roman" w:cs="Times New Roman"/>
                <w:sz w:val="21"/>
                <w:szCs w:val="21"/>
              </w:rPr>
            </w:pPr>
            <w:r>
              <w:rPr>
                <w:rFonts w:ascii="Times New Roman"/>
                <w:sz w:val="21"/>
              </w:rPr>
              <w:t>650</w:t>
            </w:r>
          </w:p>
        </w:tc>
        <w:tc>
          <w:tcPr>
            <w:tcW w:w="549" w:type="pct"/>
            <w:tcBorders>
              <w:tl2br w:val="nil"/>
              <w:tr2bl w:val="nil"/>
            </w:tcBorders>
          </w:tcPr>
          <w:p>
            <w:pPr>
              <w:pStyle w:val="4069"/>
              <w:spacing w:before="85" w:line="240" w:lineRule="auto"/>
              <w:ind w:left="315" w:right="313"/>
              <w:jc w:val="center"/>
              <w:rPr>
                <w:rFonts w:ascii="Times New Roman" w:hAnsi="Times New Roman" w:eastAsia="Times New Roman" w:cs="Times New Roman"/>
                <w:sz w:val="21"/>
                <w:szCs w:val="21"/>
              </w:rPr>
            </w:pPr>
            <w:r>
              <w:rPr>
                <w:rFonts w:ascii="Times New Roman"/>
                <w:sz w:val="21"/>
              </w:rPr>
              <w:t>750</w:t>
            </w:r>
          </w:p>
        </w:tc>
        <w:tc>
          <w:tcPr>
            <w:tcW w:w="548" w:type="pct"/>
            <w:tcBorders>
              <w:tl2br w:val="nil"/>
              <w:tr2bl w:val="nil"/>
            </w:tcBorders>
          </w:tcPr>
          <w:p>
            <w:pPr>
              <w:pStyle w:val="4069"/>
              <w:spacing w:before="85" w:line="240" w:lineRule="auto"/>
              <w:ind w:left="313" w:right="313"/>
              <w:jc w:val="center"/>
              <w:rPr>
                <w:rFonts w:ascii="Times New Roman" w:hAnsi="Times New Roman" w:eastAsia="Times New Roman" w:cs="Times New Roman"/>
                <w:sz w:val="21"/>
                <w:szCs w:val="21"/>
              </w:rPr>
            </w:pPr>
            <w:r>
              <w:rPr>
                <w:rFonts w:ascii="Times New Roman"/>
                <w:sz w:val="21"/>
              </w:rPr>
              <w:t>850</w:t>
            </w:r>
          </w:p>
        </w:tc>
        <w:tc>
          <w:tcPr>
            <w:tcW w:w="471" w:type="pct"/>
            <w:tcBorders>
              <w:tl2br w:val="nil"/>
              <w:tr2bl w:val="nil"/>
            </w:tcBorders>
          </w:tcPr>
          <w:p>
            <w:pPr>
              <w:pStyle w:val="4069"/>
              <w:spacing w:before="85" w:line="240" w:lineRule="auto"/>
              <w:ind w:left="263" w:right="0"/>
              <w:jc w:val="left"/>
              <w:rPr>
                <w:rFonts w:ascii="Times New Roman" w:hAnsi="Times New Roman" w:eastAsia="Times New Roman" w:cs="Times New Roman"/>
                <w:sz w:val="21"/>
                <w:szCs w:val="21"/>
              </w:rPr>
            </w:pPr>
            <w:r>
              <w:rPr>
                <w:rFonts w:ascii="Times New Roman"/>
                <w:sz w:val="21"/>
              </w:rPr>
              <w:t>950</w:t>
            </w:r>
          </w:p>
        </w:tc>
        <w:tc>
          <w:tcPr>
            <w:tcW w:w="462" w:type="pct"/>
            <w:tcBorders>
              <w:tl2br w:val="nil"/>
              <w:tr2bl w:val="nil"/>
            </w:tcBorders>
          </w:tcPr>
          <w:p>
            <w:pPr>
              <w:pStyle w:val="4069"/>
              <w:spacing w:before="85" w:line="240" w:lineRule="auto"/>
              <w:ind w:left="198" w:right="0"/>
              <w:jc w:val="left"/>
              <w:rPr>
                <w:rFonts w:ascii="Times New Roman" w:hAnsi="Times New Roman" w:eastAsia="Times New Roman" w:cs="Times New Roman"/>
                <w:sz w:val="21"/>
                <w:szCs w:val="21"/>
              </w:rPr>
            </w:pPr>
            <w:r>
              <w:rPr>
                <w:rFonts w:ascii="Times New Roman"/>
                <w:sz w:val="21"/>
              </w:rPr>
              <w:t>1050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exact"/>
        </w:trPr>
        <w:tc>
          <w:tcPr>
            <w:tcW w:w="1319" w:type="pct"/>
            <w:tcBorders>
              <w:tl2br w:val="nil"/>
              <w:tr2bl w:val="nil"/>
            </w:tcBorders>
          </w:tcPr>
          <w:p>
            <w:pPr>
              <w:pStyle w:val="4069"/>
              <w:spacing w:before="40" w:line="240" w:lineRule="auto"/>
              <w:ind w:left="398" w:right="0"/>
              <w:jc w:val="left"/>
              <w:rPr>
                <w:rFonts w:ascii="宋体" w:hAnsi="宋体" w:eastAsia="宋体" w:cs="宋体"/>
                <w:sz w:val="21"/>
                <w:szCs w:val="21"/>
              </w:rPr>
            </w:pPr>
            <w:r>
              <w:rPr>
                <w:rFonts w:ascii="宋体" w:hAnsi="宋体" w:eastAsia="宋体" w:cs="宋体"/>
                <w:sz w:val="21"/>
                <w:szCs w:val="21"/>
              </w:rPr>
              <w:t>沉降速度（</w:t>
            </w:r>
            <w:r>
              <w:rPr>
                <w:rFonts w:ascii="Times New Roman" w:hAnsi="Times New Roman" w:eastAsia="Times New Roman" w:cs="Times New Roman"/>
                <w:b/>
                <w:bCs/>
                <w:sz w:val="21"/>
                <w:szCs w:val="21"/>
              </w:rPr>
              <w:t>m/s</w:t>
            </w:r>
            <w:r>
              <w:rPr>
                <w:rFonts w:ascii="宋体" w:hAnsi="宋体" w:eastAsia="宋体" w:cs="宋体"/>
                <w:sz w:val="21"/>
                <w:szCs w:val="21"/>
              </w:rPr>
              <w:t>）</w:t>
            </w:r>
          </w:p>
        </w:tc>
        <w:tc>
          <w:tcPr>
            <w:tcW w:w="549" w:type="pct"/>
            <w:tcBorders>
              <w:tl2br w:val="nil"/>
              <w:tr2bl w:val="nil"/>
            </w:tcBorders>
          </w:tcPr>
          <w:p>
            <w:pPr>
              <w:pStyle w:val="4069"/>
              <w:spacing w:before="86" w:line="240" w:lineRule="auto"/>
              <w:ind w:left="258" w:right="0"/>
              <w:jc w:val="left"/>
              <w:rPr>
                <w:rFonts w:ascii="Times New Roman" w:hAnsi="Times New Roman" w:eastAsia="Times New Roman" w:cs="Times New Roman"/>
                <w:sz w:val="21"/>
                <w:szCs w:val="21"/>
              </w:rPr>
            </w:pPr>
            <w:r>
              <w:rPr>
                <w:rFonts w:ascii="Times New Roman"/>
                <w:spacing w:val="-1"/>
                <w:sz w:val="21"/>
              </w:rPr>
              <w:t>2.211</w:t>
            </w:r>
          </w:p>
        </w:tc>
        <w:tc>
          <w:tcPr>
            <w:tcW w:w="548" w:type="pct"/>
            <w:tcBorders>
              <w:tl2br w:val="nil"/>
              <w:tr2bl w:val="nil"/>
            </w:tcBorders>
          </w:tcPr>
          <w:p>
            <w:pPr>
              <w:pStyle w:val="4069"/>
              <w:spacing w:before="86" w:line="240" w:lineRule="auto"/>
              <w:ind w:left="254" w:right="0"/>
              <w:jc w:val="left"/>
              <w:rPr>
                <w:rFonts w:ascii="Times New Roman" w:hAnsi="Times New Roman" w:eastAsia="Times New Roman" w:cs="Times New Roman"/>
                <w:sz w:val="21"/>
                <w:szCs w:val="21"/>
              </w:rPr>
            </w:pPr>
            <w:r>
              <w:rPr>
                <w:rFonts w:ascii="Times New Roman"/>
                <w:sz w:val="21"/>
              </w:rPr>
              <w:t>2.614</w:t>
            </w:r>
          </w:p>
        </w:tc>
        <w:tc>
          <w:tcPr>
            <w:tcW w:w="548" w:type="pct"/>
            <w:tcBorders>
              <w:tl2br w:val="nil"/>
              <w:tr2bl w:val="nil"/>
            </w:tcBorders>
          </w:tcPr>
          <w:p>
            <w:pPr>
              <w:pStyle w:val="4069"/>
              <w:spacing w:before="86" w:line="240" w:lineRule="auto"/>
              <w:ind w:left="254" w:right="0"/>
              <w:jc w:val="left"/>
              <w:rPr>
                <w:rFonts w:ascii="Times New Roman" w:hAnsi="Times New Roman" w:eastAsia="Times New Roman" w:cs="Times New Roman"/>
                <w:sz w:val="21"/>
                <w:szCs w:val="21"/>
              </w:rPr>
            </w:pPr>
            <w:r>
              <w:rPr>
                <w:rFonts w:ascii="Times New Roman"/>
                <w:sz w:val="21"/>
              </w:rPr>
              <w:t>3.016</w:t>
            </w:r>
          </w:p>
        </w:tc>
        <w:tc>
          <w:tcPr>
            <w:tcW w:w="549" w:type="pct"/>
            <w:tcBorders>
              <w:tl2br w:val="nil"/>
              <w:tr2bl w:val="nil"/>
            </w:tcBorders>
          </w:tcPr>
          <w:p>
            <w:pPr>
              <w:pStyle w:val="4069"/>
              <w:spacing w:before="86" w:line="240" w:lineRule="auto"/>
              <w:ind w:left="254" w:right="0"/>
              <w:jc w:val="left"/>
              <w:rPr>
                <w:rFonts w:ascii="Times New Roman" w:hAnsi="Times New Roman" w:eastAsia="Times New Roman" w:cs="Times New Roman"/>
                <w:sz w:val="21"/>
                <w:szCs w:val="21"/>
              </w:rPr>
            </w:pPr>
            <w:r>
              <w:rPr>
                <w:rFonts w:ascii="Times New Roman"/>
                <w:sz w:val="21"/>
              </w:rPr>
              <w:t>3.418</w:t>
            </w:r>
          </w:p>
        </w:tc>
        <w:tc>
          <w:tcPr>
            <w:tcW w:w="548" w:type="pct"/>
            <w:tcBorders>
              <w:tl2br w:val="nil"/>
              <w:tr2bl w:val="nil"/>
            </w:tcBorders>
          </w:tcPr>
          <w:p>
            <w:pPr>
              <w:pStyle w:val="4069"/>
              <w:spacing w:before="86" w:line="240" w:lineRule="auto"/>
              <w:ind w:left="253" w:right="0"/>
              <w:jc w:val="left"/>
              <w:rPr>
                <w:rFonts w:ascii="Times New Roman" w:hAnsi="Times New Roman" w:eastAsia="Times New Roman" w:cs="Times New Roman"/>
                <w:sz w:val="21"/>
                <w:szCs w:val="21"/>
              </w:rPr>
            </w:pPr>
            <w:r>
              <w:rPr>
                <w:rFonts w:ascii="Times New Roman"/>
                <w:sz w:val="21"/>
              </w:rPr>
              <w:t>3.820</w:t>
            </w:r>
          </w:p>
        </w:tc>
        <w:tc>
          <w:tcPr>
            <w:tcW w:w="471" w:type="pct"/>
            <w:tcBorders>
              <w:tl2br w:val="nil"/>
              <w:tr2bl w:val="nil"/>
            </w:tcBorders>
          </w:tcPr>
          <w:p>
            <w:pPr>
              <w:pStyle w:val="4069"/>
              <w:spacing w:before="86" w:line="240" w:lineRule="auto"/>
              <w:ind w:left="184" w:right="0"/>
              <w:jc w:val="left"/>
              <w:rPr>
                <w:rFonts w:ascii="Times New Roman" w:hAnsi="Times New Roman" w:eastAsia="Times New Roman" w:cs="Times New Roman"/>
                <w:sz w:val="21"/>
                <w:szCs w:val="21"/>
              </w:rPr>
            </w:pPr>
            <w:r>
              <w:rPr>
                <w:rFonts w:ascii="Times New Roman"/>
                <w:sz w:val="21"/>
              </w:rPr>
              <w:t>4.222</w:t>
            </w:r>
          </w:p>
        </w:tc>
        <w:tc>
          <w:tcPr>
            <w:tcW w:w="462" w:type="pct"/>
            <w:tcBorders>
              <w:tl2br w:val="nil"/>
              <w:tr2bl w:val="nil"/>
            </w:tcBorders>
          </w:tcPr>
          <w:p>
            <w:pPr>
              <w:pStyle w:val="4069"/>
              <w:spacing w:before="86" w:line="240" w:lineRule="auto"/>
              <w:ind w:left="171" w:right="0"/>
              <w:jc w:val="left"/>
              <w:rPr>
                <w:rFonts w:ascii="Times New Roman" w:hAnsi="Times New Roman" w:eastAsia="Times New Roman" w:cs="Times New Roman"/>
                <w:sz w:val="21"/>
                <w:szCs w:val="21"/>
              </w:rPr>
            </w:pPr>
            <w:r>
              <w:rPr>
                <w:rFonts w:ascii="Times New Roman"/>
                <w:sz w:val="21"/>
              </w:rPr>
              <w:t>4.624</w:t>
            </w:r>
          </w:p>
        </w:tc>
      </w:tr>
    </w:tbl>
    <w:p>
      <w:pPr>
        <w:pStyle w:val="1659"/>
      </w:pPr>
      <w:r>
        <w:t>由表</w:t>
      </w:r>
      <w:r>
        <w:rPr>
          <w:rFonts w:hint="eastAsia"/>
          <w:lang w:val="en-US" w:eastAsia="zh-CN"/>
        </w:rPr>
        <w:t>3.3</w:t>
      </w:r>
      <w:r>
        <w:t>-2可知，尘粒的沉降速度随粒径的增大而迅速增大。当粒径为250μm时，沉降速度为1.005m/s，因此可以认为当尘粒大于250μm时，主要影响范围在扬尘点下风向近距离范围内，而真正对外环境产生影响的是一些微小尘粒。在有风的情况下，施工扬尘会对该区域造成一定的影响。由起尘计算公式可知，V0 与粒径和含水率有关，因此，通过采取减少露天堆放和保证一定的含水率及减少裸露地面等措施后，风力起尘对环境的影响较小。</w:t>
      </w:r>
    </w:p>
    <w:p>
      <w:pPr>
        <w:pStyle w:val="1659"/>
      </w:pPr>
      <w:r>
        <w:t>类比同类建筑工程项目，施工场地扬尘浓度为1.5~2.5mg/m</w:t>
      </w:r>
      <w:r>
        <w:rPr>
          <w:vertAlign w:val="superscript"/>
        </w:rPr>
        <w:t>3</w:t>
      </w:r>
      <w:r>
        <w:t>，通过清洁施工场地地面、及时洒水保持场地表面湿度、避免散装物料露天堆放、对车辆限速等手段可有效减少施工扬尘的产生，并能达到《大气污染物综合排放标准》（GB16297-1996）中1.0mg/m</w:t>
      </w:r>
      <w:r>
        <w:rPr>
          <w:vertAlign w:val="superscript"/>
        </w:rPr>
        <w:t>3</w:t>
      </w:r>
      <w:r>
        <w:t>的无组织排放监控浓度限值。</w:t>
      </w:r>
    </w:p>
    <w:p>
      <w:pPr>
        <w:pStyle w:val="1659"/>
      </w:pPr>
      <w:r>
        <w:t>②机械、汽车尾气</w:t>
      </w:r>
    </w:p>
    <w:p>
      <w:pPr>
        <w:pStyle w:val="1659"/>
      </w:pPr>
      <w:r>
        <w:t>机械、汽车尾气主要来源于各种施工机械和运输车辆，主要含有 CO、NOx、HC等污染物，能够造成局部范围内的 TSP、NO</w:t>
      </w:r>
      <w:r>
        <w:rPr>
          <w:vertAlign w:val="subscript"/>
        </w:rPr>
        <w:t>2</w:t>
      </w:r>
      <w:r>
        <w:t>、HC 等大气污染物增加。由于项目所在地地势开阔，有利于废气扩散，通过选用工况良好，满足尾气排放要求的机械设备、运输车辆，所有机械及车辆采用低硫分燃料，可避免对周边大气环境造成影响。</w:t>
      </w:r>
    </w:p>
    <w:p>
      <w:pPr>
        <w:pStyle w:val="1659"/>
      </w:pPr>
      <w:r>
        <w:t>③装修废气</w:t>
      </w:r>
    </w:p>
    <w:p>
      <w:pPr>
        <w:pStyle w:val="1659"/>
      </w:pPr>
      <w:r>
        <w:t>施工过程中还会产生少量的装修废气，装修废气主要指进行装修作业过程中使用的黏合剂、涂料、油漆等建筑材料中所含有机溶剂挥发产生的有机废气。装修废气不仅与使用黏合剂、涂料、油漆等建筑材料的种类有关，且与其含有有机溶剂种类含量 有关，产生量难以定量估算，且属于无组织排放，在此只作定性分析，以油漆为例，使用过程中均须添加稀释剂天那水，一般为1：1，天那水通常组成成分为乙酸正丁酯15%，乙酸乙酯15%，正丁醇10～15%，乙醇10%，丙酮5～10%，甲苯20%，二甲苯20%，待油漆完毕，将完全挥发。应在源头上对有机溶剂进行污染控制，选择无毒或低毒的环保产品，杜绝采用已被淘汰的涂料；装修时及装修完成后及时通风，入住前 需对室内空气进行检测，确保空气质量达标后方可入住。</w:t>
      </w:r>
    </w:p>
    <w:p>
      <w:pPr>
        <w:pStyle w:val="1659"/>
      </w:pPr>
      <w:r>
        <w:t>④餐饮油烟</w:t>
      </w:r>
    </w:p>
    <w:p>
      <w:pPr>
        <w:pStyle w:val="1659"/>
      </w:pPr>
      <w:r>
        <w:t>本项目区域设置施工营地，配套食堂，项目设置1个灶台，采用液化气作为能源，属于清洁能源。</w:t>
      </w:r>
    </w:p>
    <w:p>
      <w:pPr>
        <w:pStyle w:val="1659"/>
      </w:pPr>
      <w:r>
        <w:t>项目烹饪过程中会产生一定量的油烟废气。根据有关资料，人均日食用油用量约30g，一般油烟挥发量占总耗油量的3%，项目施工期定员60人，日耗油量为1.8kg/d，产生油烟量为0.054kg/d，16.2kg/a（按300天计）。按日高峰期4小时计，则高峰期该项目所产生的油烟量为13.5g/h，设置风量为8000m3/h的排风扇，即油烟产生浓度为1.69mg/m</w:t>
      </w:r>
      <w:r>
        <w:rPr>
          <w:vertAlign w:val="superscript"/>
        </w:rPr>
        <w:t>3</w:t>
      </w:r>
      <w:r>
        <w:t>。满足《饮食业油烟排放标准》（GB18483-2001）小型标准值的最高允许排放浓度2.0mg/m</w:t>
      </w:r>
      <w:r>
        <w:rPr>
          <w:vertAlign w:val="superscript"/>
        </w:rPr>
        <w:t>3</w:t>
      </w:r>
      <w:r>
        <w:t>。</w:t>
      </w:r>
    </w:p>
    <w:p>
      <w:pPr>
        <w:pStyle w:val="1659"/>
      </w:pPr>
      <w:r>
        <w:t>（2）施工期噪声</w:t>
      </w:r>
    </w:p>
    <w:p>
      <w:pPr>
        <w:pStyle w:val="1659"/>
      </w:pPr>
      <w:r>
        <w:t>施工期噪声分为机械噪声、施工作业噪声和施工车辆噪声。这些噪声的特点是均为间歇性非稳态声源。机械噪声多为点声源，主要由挖土机械、打桩机械、混凝土搅拌机等产生。施工作业噪声多为瞬间噪声，指施工中一些零星的敲打声、装卸车辆的撞击声、吆喝声、拆装模板的撞击声等。而施工期使用的运输车辆多为大吨位车辆，其交通噪声也成为一个重要的影响因素。根据类似工程监测情况，本项目主要施工机 械的噪声源强详见表</w:t>
      </w:r>
      <w:r>
        <w:rPr>
          <w:rFonts w:hint="eastAsia"/>
          <w:lang w:val="en-US" w:eastAsia="zh-CN"/>
        </w:rPr>
        <w:t>3.3</w:t>
      </w:r>
      <w:r>
        <w:t>-3。</w:t>
      </w:r>
    </w:p>
    <w:p>
      <w:pPr>
        <w:pStyle w:val="1659"/>
      </w:pPr>
      <w:r>
        <w:t>多台机械设备同时作业时，产生的噪声会发生叠加。叠加后的噪声增值约 3～8dB（A），一般不会超过10dB（A）。</w:t>
      </w:r>
    </w:p>
    <w:p>
      <w:pPr>
        <w:pStyle w:val="1659"/>
      </w:pPr>
    </w:p>
    <w:p>
      <w:pPr>
        <w:pStyle w:val="1659"/>
      </w:pP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3-3</w:t>
      </w:r>
      <w:r>
        <w:rPr>
          <w:b/>
          <w:sz w:val="24"/>
        </w:rPr>
        <w:t xml:space="preserve"> </w:t>
      </w:r>
      <w:r>
        <w:rPr>
          <w:rFonts w:hint="eastAsia"/>
          <w:b/>
          <w:sz w:val="24"/>
          <w:lang w:val="en-US" w:eastAsia="zh-CN"/>
        </w:rPr>
        <w:t xml:space="preserve"> 施工期主要噪声源强</w:t>
      </w:r>
    </w:p>
    <w:tbl>
      <w:tblPr>
        <w:tblStyle w:val="88"/>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330"/>
        <w:gridCol w:w="2422"/>
        <w:gridCol w:w="35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6" w:hRule="exact"/>
        </w:trPr>
        <w:tc>
          <w:tcPr>
            <w:tcW w:w="1536" w:type="pct"/>
            <w:tcBorders>
              <w:tl2br w:val="nil"/>
              <w:tr2bl w:val="nil"/>
            </w:tcBorders>
          </w:tcPr>
          <w:p>
            <w:pPr>
              <w:pStyle w:val="4069"/>
              <w:spacing w:line="241" w:lineRule="exact"/>
              <w:ind w:left="1" w:right="0"/>
              <w:jc w:val="center"/>
              <w:rPr>
                <w:rFonts w:ascii="宋体" w:hAnsi="宋体" w:eastAsia="宋体" w:cs="宋体"/>
                <w:sz w:val="21"/>
                <w:szCs w:val="21"/>
              </w:rPr>
            </w:pPr>
            <w:r>
              <w:rPr>
                <w:rFonts w:ascii="宋体" w:hAnsi="宋体" w:eastAsia="宋体" w:cs="宋体"/>
                <w:b/>
                <w:bCs/>
                <w:spacing w:val="1"/>
                <w:sz w:val="21"/>
                <w:szCs w:val="21"/>
              </w:rPr>
              <w:t>施工阶段</w:t>
            </w:r>
          </w:p>
        </w:tc>
        <w:tc>
          <w:tcPr>
            <w:tcW w:w="1469" w:type="pct"/>
            <w:tcBorders>
              <w:tl2br w:val="nil"/>
              <w:tr2bl w:val="nil"/>
            </w:tcBorders>
          </w:tcPr>
          <w:p>
            <w:pPr>
              <w:pStyle w:val="4069"/>
              <w:spacing w:line="241" w:lineRule="exact"/>
              <w:ind w:left="2" w:right="0"/>
              <w:jc w:val="center"/>
              <w:rPr>
                <w:rFonts w:ascii="宋体" w:hAnsi="宋体" w:eastAsia="宋体" w:cs="宋体"/>
                <w:sz w:val="21"/>
                <w:szCs w:val="21"/>
              </w:rPr>
            </w:pPr>
            <w:r>
              <w:rPr>
                <w:rFonts w:ascii="宋体" w:hAnsi="宋体" w:eastAsia="宋体" w:cs="宋体"/>
                <w:b/>
                <w:bCs/>
                <w:spacing w:val="1"/>
                <w:sz w:val="21"/>
                <w:szCs w:val="21"/>
              </w:rPr>
              <w:t>设备名称</w:t>
            </w:r>
          </w:p>
        </w:tc>
        <w:tc>
          <w:tcPr>
            <w:tcW w:w="1993" w:type="pct"/>
            <w:tcBorders>
              <w:tl2br w:val="nil"/>
              <w:tr2bl w:val="nil"/>
            </w:tcBorders>
          </w:tcPr>
          <w:p>
            <w:pPr>
              <w:pStyle w:val="4069"/>
              <w:spacing w:line="257" w:lineRule="exact"/>
              <w:ind w:left="745" w:right="0"/>
              <w:jc w:val="left"/>
              <w:rPr>
                <w:rFonts w:ascii="宋体" w:hAnsi="宋体" w:eastAsia="宋体" w:cs="宋体"/>
                <w:sz w:val="21"/>
                <w:szCs w:val="21"/>
              </w:rPr>
            </w:pPr>
            <w:r>
              <w:rPr>
                <w:rFonts w:ascii="Times New Roman" w:hAnsi="Times New Roman" w:eastAsia="Times New Roman" w:cs="Times New Roman"/>
                <w:b/>
                <w:bCs/>
                <w:sz w:val="21"/>
                <w:szCs w:val="21"/>
              </w:rPr>
              <w:t>1m</w:t>
            </w:r>
            <w:r>
              <w:rPr>
                <w:rFonts w:ascii="Times New Roman" w:hAnsi="Times New Roman" w:eastAsia="Times New Roman" w:cs="Times New Roman"/>
                <w:b/>
                <w:bCs/>
                <w:spacing w:val="38"/>
                <w:sz w:val="21"/>
                <w:szCs w:val="21"/>
              </w:rPr>
              <w:t xml:space="preserve"> </w:t>
            </w:r>
            <w:r>
              <w:rPr>
                <w:rFonts w:ascii="宋体" w:hAnsi="宋体" w:eastAsia="宋体" w:cs="宋体"/>
                <w:b/>
                <w:bCs/>
                <w:spacing w:val="1"/>
                <w:sz w:val="21"/>
                <w:szCs w:val="21"/>
              </w:rPr>
              <w:t>处噪声值</w:t>
            </w:r>
            <w:r>
              <w:rPr>
                <w:rFonts w:ascii="宋体" w:hAnsi="宋体" w:eastAsia="宋体" w:cs="宋体"/>
                <w:b/>
                <w:bCs/>
                <w:spacing w:val="-61"/>
                <w:sz w:val="21"/>
                <w:szCs w:val="21"/>
              </w:rPr>
              <w:t xml:space="preserve"> </w:t>
            </w:r>
            <w:r>
              <w:rPr>
                <w:rFonts w:ascii="Times New Roman" w:hAnsi="Times New Roman" w:eastAsia="Times New Roman" w:cs="Times New Roman"/>
                <w:b/>
                <w:bCs/>
                <w:sz w:val="21"/>
                <w:szCs w:val="21"/>
              </w:rPr>
              <w:t>dB</w:t>
            </w:r>
            <w:r>
              <w:rPr>
                <w:rFonts w:ascii="宋体" w:hAnsi="宋体" w:eastAsia="宋体" w:cs="宋体"/>
                <w:b/>
                <w:bCs/>
                <w:sz w:val="21"/>
                <w:szCs w:val="21"/>
              </w:rPr>
              <w:t>（</w:t>
            </w:r>
            <w:r>
              <w:rPr>
                <w:rFonts w:ascii="Times New Roman" w:hAnsi="Times New Roman" w:eastAsia="Times New Roman" w:cs="Times New Roman"/>
                <w:b/>
                <w:bCs/>
                <w:sz w:val="21"/>
                <w:szCs w:val="21"/>
              </w:rPr>
              <w:t>A</w:t>
            </w:r>
            <w:r>
              <w:rPr>
                <w:rFonts w:ascii="宋体" w:hAnsi="宋体" w:eastAsia="宋体" w:cs="宋体"/>
                <w:b/>
                <w:bCs/>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exact"/>
        </w:trPr>
        <w:tc>
          <w:tcPr>
            <w:tcW w:w="1536" w:type="pct"/>
            <w:vMerge w:val="restart"/>
            <w:tcBorders>
              <w:tl2br w:val="nil"/>
              <w:tr2bl w:val="nil"/>
            </w:tcBorders>
          </w:tcPr>
          <w:p>
            <w:pPr>
              <w:pStyle w:val="4069"/>
              <w:spacing w:before="5" w:line="140" w:lineRule="exact"/>
              <w:ind w:right="0"/>
              <w:jc w:val="left"/>
              <w:rPr>
                <w:sz w:val="14"/>
                <w:szCs w:val="14"/>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859" w:right="0"/>
              <w:jc w:val="left"/>
              <w:rPr>
                <w:rFonts w:ascii="宋体" w:hAnsi="宋体" w:eastAsia="宋体" w:cs="宋体"/>
                <w:sz w:val="21"/>
                <w:szCs w:val="21"/>
              </w:rPr>
            </w:pPr>
            <w:r>
              <w:rPr>
                <w:rFonts w:ascii="宋体" w:hAnsi="宋体" w:eastAsia="宋体" w:cs="宋体"/>
                <w:sz w:val="21"/>
                <w:szCs w:val="21"/>
              </w:rPr>
              <w:t>土石方阶段</w:t>
            </w:r>
          </w:p>
        </w:tc>
        <w:tc>
          <w:tcPr>
            <w:tcW w:w="1469" w:type="pct"/>
            <w:tcBorders>
              <w:tl2br w:val="nil"/>
              <w:tr2bl w:val="nil"/>
            </w:tcBorders>
          </w:tcPr>
          <w:p>
            <w:pPr>
              <w:pStyle w:val="4069"/>
              <w:spacing w:line="248" w:lineRule="exact"/>
              <w:ind w:left="991" w:right="991"/>
              <w:jc w:val="center"/>
              <w:rPr>
                <w:rFonts w:ascii="宋体" w:hAnsi="宋体" w:eastAsia="宋体" w:cs="宋体"/>
                <w:sz w:val="21"/>
                <w:szCs w:val="21"/>
              </w:rPr>
            </w:pPr>
            <w:r>
              <w:rPr>
                <w:rFonts w:ascii="宋体" w:hAnsi="宋体" w:eastAsia="宋体" w:cs="宋体"/>
                <w:sz w:val="21"/>
                <w:szCs w:val="21"/>
              </w:rPr>
              <w:t>推土机</w:t>
            </w:r>
          </w:p>
        </w:tc>
        <w:tc>
          <w:tcPr>
            <w:tcW w:w="1993" w:type="pct"/>
            <w:tcBorders>
              <w:tl2br w:val="nil"/>
              <w:tr2bl w:val="nil"/>
            </w:tcBorders>
          </w:tcPr>
          <w:p>
            <w:pPr>
              <w:pStyle w:val="4069"/>
              <w:spacing w:before="22" w:line="240" w:lineRule="auto"/>
              <w:ind w:left="1595" w:right="1593"/>
              <w:jc w:val="center"/>
              <w:rPr>
                <w:rFonts w:ascii="Times New Roman" w:hAnsi="Times New Roman" w:eastAsia="Times New Roman" w:cs="Times New Roman"/>
                <w:sz w:val="21"/>
                <w:szCs w:val="21"/>
              </w:rPr>
            </w:pPr>
            <w:r>
              <w:rPr>
                <w:rFonts w:ascii="Times New Roman"/>
                <w:sz w:val="21"/>
              </w:rPr>
              <w:t>87.5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exact"/>
        </w:trPr>
        <w:tc>
          <w:tcPr>
            <w:tcW w:w="1536" w:type="pct"/>
            <w:vMerge w:val="continue"/>
            <w:tcBorders>
              <w:tl2br w:val="nil"/>
              <w:tr2bl w:val="nil"/>
            </w:tcBorders>
          </w:tcPr>
          <w:p/>
        </w:tc>
        <w:tc>
          <w:tcPr>
            <w:tcW w:w="1469" w:type="pct"/>
            <w:tcBorders>
              <w:tl2br w:val="nil"/>
              <w:tr2bl w:val="nil"/>
            </w:tcBorders>
          </w:tcPr>
          <w:p>
            <w:pPr>
              <w:pStyle w:val="4069"/>
              <w:spacing w:line="256" w:lineRule="exact"/>
              <w:ind w:left="991" w:right="991"/>
              <w:jc w:val="center"/>
              <w:rPr>
                <w:rFonts w:ascii="宋体" w:hAnsi="宋体" w:eastAsia="宋体" w:cs="宋体"/>
                <w:sz w:val="21"/>
                <w:szCs w:val="21"/>
              </w:rPr>
            </w:pPr>
            <w:r>
              <w:rPr>
                <w:rFonts w:ascii="宋体" w:hAnsi="宋体" w:eastAsia="宋体" w:cs="宋体"/>
                <w:sz w:val="21"/>
                <w:szCs w:val="21"/>
              </w:rPr>
              <w:t>挖掘机</w:t>
            </w:r>
          </w:p>
        </w:tc>
        <w:tc>
          <w:tcPr>
            <w:tcW w:w="1993" w:type="pct"/>
            <w:tcBorders>
              <w:tl2br w:val="nil"/>
              <w:tr2bl w:val="nil"/>
            </w:tcBorders>
          </w:tcPr>
          <w:p>
            <w:pPr>
              <w:pStyle w:val="4069"/>
              <w:spacing w:before="30" w:line="240" w:lineRule="auto"/>
              <w:ind w:left="1595" w:right="1593"/>
              <w:jc w:val="center"/>
              <w:rPr>
                <w:rFonts w:ascii="Times New Roman" w:hAnsi="Times New Roman" w:eastAsia="Times New Roman" w:cs="Times New Roman"/>
                <w:sz w:val="21"/>
                <w:szCs w:val="21"/>
              </w:rPr>
            </w:pPr>
            <w:r>
              <w:rPr>
                <w:rFonts w:ascii="Times New Roman"/>
                <w:sz w:val="21"/>
              </w:rPr>
              <w:t>86.5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exact"/>
        </w:trPr>
        <w:tc>
          <w:tcPr>
            <w:tcW w:w="1536" w:type="pct"/>
            <w:vMerge w:val="continue"/>
            <w:tcBorders>
              <w:tl2br w:val="nil"/>
              <w:tr2bl w:val="nil"/>
            </w:tcBorders>
          </w:tcPr>
          <w:p/>
        </w:tc>
        <w:tc>
          <w:tcPr>
            <w:tcW w:w="1469" w:type="pct"/>
            <w:tcBorders>
              <w:tl2br w:val="nil"/>
              <w:tr2bl w:val="nil"/>
            </w:tcBorders>
          </w:tcPr>
          <w:p>
            <w:pPr>
              <w:pStyle w:val="4069"/>
              <w:spacing w:line="241" w:lineRule="exact"/>
              <w:ind w:left="991" w:right="991"/>
              <w:jc w:val="center"/>
              <w:rPr>
                <w:rFonts w:ascii="宋体" w:hAnsi="宋体" w:eastAsia="宋体" w:cs="宋体"/>
                <w:sz w:val="21"/>
                <w:szCs w:val="21"/>
              </w:rPr>
            </w:pPr>
            <w:r>
              <w:rPr>
                <w:rFonts w:ascii="宋体" w:hAnsi="宋体" w:eastAsia="宋体" w:cs="宋体"/>
                <w:sz w:val="21"/>
                <w:szCs w:val="21"/>
              </w:rPr>
              <w:t>压路机</w:t>
            </w:r>
          </w:p>
        </w:tc>
        <w:tc>
          <w:tcPr>
            <w:tcW w:w="1993" w:type="pct"/>
            <w:tcBorders>
              <w:tl2br w:val="nil"/>
              <w:tr2bl w:val="nil"/>
            </w:tcBorders>
          </w:tcPr>
          <w:p>
            <w:pPr>
              <w:pStyle w:val="4069"/>
              <w:spacing w:before="15" w:line="240" w:lineRule="auto"/>
              <w:ind w:left="1595" w:right="1593"/>
              <w:jc w:val="center"/>
              <w:rPr>
                <w:rFonts w:ascii="Times New Roman" w:hAnsi="Times New Roman" w:eastAsia="Times New Roman" w:cs="Times New Roman"/>
                <w:sz w:val="21"/>
                <w:szCs w:val="21"/>
              </w:rPr>
            </w:pPr>
            <w:r>
              <w:rPr>
                <w:rFonts w:ascii="Times New Roman"/>
                <w:sz w:val="21"/>
              </w:rPr>
              <w:t>82.5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7" w:hRule="exact"/>
        </w:trPr>
        <w:tc>
          <w:tcPr>
            <w:tcW w:w="1536" w:type="pct"/>
            <w:vMerge w:val="continue"/>
            <w:tcBorders>
              <w:tl2br w:val="nil"/>
              <w:tr2bl w:val="nil"/>
            </w:tcBorders>
          </w:tcPr>
          <w:p/>
        </w:tc>
        <w:tc>
          <w:tcPr>
            <w:tcW w:w="1469" w:type="pct"/>
            <w:tcBorders>
              <w:tl2br w:val="nil"/>
              <w:tr2bl w:val="nil"/>
            </w:tcBorders>
          </w:tcPr>
          <w:p>
            <w:pPr>
              <w:pStyle w:val="4069"/>
              <w:spacing w:line="242" w:lineRule="exact"/>
              <w:ind w:left="885" w:right="886"/>
              <w:jc w:val="center"/>
              <w:rPr>
                <w:rFonts w:ascii="宋体" w:hAnsi="宋体" w:eastAsia="宋体" w:cs="宋体"/>
                <w:sz w:val="21"/>
                <w:szCs w:val="21"/>
              </w:rPr>
            </w:pPr>
            <w:r>
              <w:rPr>
                <w:rFonts w:ascii="宋体" w:hAnsi="宋体" w:eastAsia="宋体" w:cs="宋体"/>
                <w:sz w:val="21"/>
                <w:szCs w:val="21"/>
              </w:rPr>
              <w:t>运输车辆</w:t>
            </w:r>
          </w:p>
        </w:tc>
        <w:tc>
          <w:tcPr>
            <w:tcW w:w="1993" w:type="pct"/>
            <w:tcBorders>
              <w:tl2br w:val="nil"/>
              <w:tr2bl w:val="nil"/>
            </w:tcBorders>
          </w:tcPr>
          <w:p>
            <w:pPr>
              <w:pStyle w:val="4069"/>
              <w:spacing w:before="16" w:line="240" w:lineRule="auto"/>
              <w:ind w:left="1671" w:right="1674"/>
              <w:jc w:val="center"/>
              <w:rPr>
                <w:rFonts w:ascii="Times New Roman" w:hAnsi="Times New Roman" w:eastAsia="Times New Roman" w:cs="Times New Roman"/>
                <w:sz w:val="21"/>
                <w:szCs w:val="21"/>
              </w:rPr>
            </w:pPr>
            <w:r>
              <w:rPr>
                <w:rFonts w:asci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7" w:hRule="exact"/>
        </w:trPr>
        <w:tc>
          <w:tcPr>
            <w:tcW w:w="1536" w:type="pct"/>
            <w:vMerge w:val="restart"/>
            <w:tcBorders>
              <w:tl2br w:val="nil"/>
              <w:tr2bl w:val="nil"/>
            </w:tcBorders>
          </w:tcPr>
          <w:p>
            <w:pPr>
              <w:pStyle w:val="4069"/>
              <w:spacing w:before="8" w:line="190" w:lineRule="exact"/>
              <w:ind w:right="0"/>
              <w:jc w:val="left"/>
              <w:rPr>
                <w:sz w:val="19"/>
                <w:szCs w:val="19"/>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942" w:right="945"/>
              <w:jc w:val="center"/>
              <w:rPr>
                <w:rFonts w:ascii="宋体" w:hAnsi="宋体" w:eastAsia="宋体" w:cs="宋体"/>
                <w:sz w:val="21"/>
                <w:szCs w:val="21"/>
              </w:rPr>
            </w:pPr>
            <w:r>
              <w:rPr>
                <w:rFonts w:ascii="宋体" w:hAnsi="宋体" w:eastAsia="宋体" w:cs="宋体"/>
                <w:sz w:val="21"/>
                <w:szCs w:val="21"/>
              </w:rPr>
              <w:t>打桩阶段</w:t>
            </w:r>
          </w:p>
        </w:tc>
        <w:tc>
          <w:tcPr>
            <w:tcW w:w="1469" w:type="pct"/>
            <w:tcBorders>
              <w:tl2br w:val="nil"/>
              <w:tr2bl w:val="nil"/>
            </w:tcBorders>
          </w:tcPr>
          <w:p>
            <w:pPr>
              <w:pStyle w:val="4069"/>
              <w:spacing w:line="260" w:lineRule="exact"/>
              <w:ind w:left="885" w:right="886"/>
              <w:jc w:val="center"/>
              <w:rPr>
                <w:rFonts w:ascii="宋体" w:hAnsi="宋体" w:eastAsia="宋体" w:cs="宋体"/>
                <w:sz w:val="21"/>
                <w:szCs w:val="21"/>
              </w:rPr>
            </w:pPr>
            <w:r>
              <w:rPr>
                <w:rFonts w:ascii="宋体" w:hAnsi="宋体" w:eastAsia="宋体" w:cs="宋体"/>
                <w:sz w:val="21"/>
                <w:szCs w:val="21"/>
              </w:rPr>
              <w:t>冲击钻机</w:t>
            </w:r>
          </w:p>
        </w:tc>
        <w:tc>
          <w:tcPr>
            <w:tcW w:w="1993" w:type="pct"/>
            <w:tcBorders>
              <w:tl2br w:val="nil"/>
              <w:tr2bl w:val="nil"/>
            </w:tcBorders>
          </w:tcPr>
          <w:p>
            <w:pPr>
              <w:pStyle w:val="4069"/>
              <w:spacing w:before="34" w:line="240" w:lineRule="auto"/>
              <w:ind w:left="1595" w:right="1593"/>
              <w:jc w:val="center"/>
              <w:rPr>
                <w:rFonts w:ascii="Times New Roman" w:hAnsi="Times New Roman" w:eastAsia="Times New Roman" w:cs="Times New Roman"/>
                <w:sz w:val="21"/>
                <w:szCs w:val="21"/>
              </w:rPr>
            </w:pPr>
            <w:r>
              <w:rPr>
                <w:rFonts w:ascii="Times New Roman"/>
                <w:sz w:val="21"/>
              </w:rPr>
              <w:t>83.5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6" w:hRule="exact"/>
        </w:trPr>
        <w:tc>
          <w:tcPr>
            <w:tcW w:w="1536" w:type="pct"/>
            <w:vMerge w:val="continue"/>
            <w:tcBorders>
              <w:tl2br w:val="nil"/>
              <w:tr2bl w:val="nil"/>
            </w:tcBorders>
          </w:tcPr>
          <w:p/>
        </w:tc>
        <w:tc>
          <w:tcPr>
            <w:tcW w:w="1469" w:type="pct"/>
            <w:tcBorders>
              <w:tl2br w:val="nil"/>
              <w:tr2bl w:val="nil"/>
            </w:tcBorders>
          </w:tcPr>
          <w:p>
            <w:pPr>
              <w:pStyle w:val="4069"/>
              <w:spacing w:line="259" w:lineRule="exact"/>
              <w:ind w:left="991" w:right="991"/>
              <w:jc w:val="center"/>
              <w:rPr>
                <w:rFonts w:ascii="宋体" w:hAnsi="宋体" w:eastAsia="宋体" w:cs="宋体"/>
                <w:sz w:val="21"/>
                <w:szCs w:val="21"/>
              </w:rPr>
            </w:pPr>
            <w:r>
              <w:rPr>
                <w:rFonts w:ascii="宋体" w:hAnsi="宋体" w:eastAsia="宋体" w:cs="宋体"/>
                <w:sz w:val="21"/>
                <w:szCs w:val="21"/>
              </w:rPr>
              <w:t>平地机</w:t>
            </w:r>
          </w:p>
        </w:tc>
        <w:tc>
          <w:tcPr>
            <w:tcW w:w="1993" w:type="pct"/>
            <w:tcBorders>
              <w:tl2br w:val="nil"/>
              <w:tr2bl w:val="nil"/>
            </w:tcBorders>
          </w:tcPr>
          <w:p>
            <w:pPr>
              <w:pStyle w:val="4069"/>
              <w:spacing w:before="33" w:line="240" w:lineRule="auto"/>
              <w:ind w:left="1595" w:right="1593"/>
              <w:jc w:val="center"/>
              <w:rPr>
                <w:rFonts w:ascii="Times New Roman" w:hAnsi="Times New Roman" w:eastAsia="Times New Roman" w:cs="Times New Roman"/>
                <w:sz w:val="21"/>
                <w:szCs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 w:hRule="exact"/>
        </w:trPr>
        <w:tc>
          <w:tcPr>
            <w:tcW w:w="1536" w:type="pct"/>
            <w:vMerge w:val="continue"/>
            <w:tcBorders>
              <w:tl2br w:val="nil"/>
              <w:tr2bl w:val="nil"/>
            </w:tcBorders>
          </w:tcPr>
          <w:p/>
        </w:tc>
        <w:tc>
          <w:tcPr>
            <w:tcW w:w="1469" w:type="pct"/>
            <w:tcBorders>
              <w:tl2br w:val="nil"/>
              <w:tr2bl w:val="nil"/>
            </w:tcBorders>
          </w:tcPr>
          <w:p>
            <w:pPr>
              <w:pStyle w:val="4069"/>
              <w:spacing w:line="250" w:lineRule="exact"/>
              <w:ind w:left="1095" w:right="1099"/>
              <w:jc w:val="center"/>
              <w:rPr>
                <w:rFonts w:ascii="宋体" w:hAnsi="宋体" w:eastAsia="宋体" w:cs="宋体"/>
                <w:sz w:val="21"/>
                <w:szCs w:val="21"/>
              </w:rPr>
            </w:pPr>
            <w:r>
              <w:rPr>
                <w:rFonts w:ascii="宋体" w:hAnsi="宋体" w:eastAsia="宋体" w:cs="宋体"/>
                <w:spacing w:val="-1"/>
                <w:sz w:val="21"/>
                <w:szCs w:val="21"/>
              </w:rPr>
              <w:t>风镐</w:t>
            </w:r>
          </w:p>
        </w:tc>
        <w:tc>
          <w:tcPr>
            <w:tcW w:w="1993" w:type="pct"/>
            <w:tcBorders>
              <w:tl2br w:val="nil"/>
              <w:tr2bl w:val="nil"/>
            </w:tcBorders>
          </w:tcPr>
          <w:p>
            <w:pPr>
              <w:pStyle w:val="4069"/>
              <w:spacing w:before="27" w:line="240" w:lineRule="auto"/>
              <w:ind w:left="1595" w:right="1593"/>
              <w:jc w:val="center"/>
              <w:rPr>
                <w:rFonts w:ascii="Times New Roman" w:hAnsi="Times New Roman" w:eastAsia="Times New Roman" w:cs="Times New Roman"/>
                <w:sz w:val="21"/>
                <w:szCs w:val="21"/>
              </w:rPr>
            </w:pPr>
            <w:r>
              <w:rPr>
                <w:rFonts w:ascii="Times New Roman"/>
                <w:sz w:val="21"/>
              </w:rPr>
              <w:t>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 w:hRule="exact"/>
        </w:trPr>
        <w:tc>
          <w:tcPr>
            <w:tcW w:w="1536" w:type="pct"/>
            <w:vMerge w:val="continue"/>
            <w:tcBorders>
              <w:tl2br w:val="nil"/>
              <w:tr2bl w:val="nil"/>
            </w:tcBorders>
          </w:tcPr>
          <w:p/>
        </w:tc>
        <w:tc>
          <w:tcPr>
            <w:tcW w:w="1469" w:type="pct"/>
            <w:tcBorders>
              <w:tl2br w:val="nil"/>
              <w:tr2bl w:val="nil"/>
            </w:tcBorders>
          </w:tcPr>
          <w:p>
            <w:pPr>
              <w:pStyle w:val="4069"/>
              <w:spacing w:line="268" w:lineRule="exact"/>
              <w:ind w:left="991" w:right="991"/>
              <w:jc w:val="center"/>
              <w:rPr>
                <w:rFonts w:ascii="宋体" w:hAnsi="宋体" w:eastAsia="宋体" w:cs="宋体"/>
                <w:sz w:val="21"/>
                <w:szCs w:val="21"/>
              </w:rPr>
            </w:pPr>
            <w:r>
              <w:rPr>
                <w:rFonts w:ascii="宋体" w:hAnsi="宋体" w:eastAsia="宋体" w:cs="宋体"/>
                <w:sz w:val="21"/>
                <w:szCs w:val="21"/>
              </w:rPr>
              <w:t>空压机</w:t>
            </w:r>
          </w:p>
        </w:tc>
        <w:tc>
          <w:tcPr>
            <w:tcW w:w="1993" w:type="pct"/>
            <w:tcBorders>
              <w:tl2br w:val="nil"/>
              <w:tr2bl w:val="nil"/>
            </w:tcBorders>
          </w:tcPr>
          <w:p>
            <w:pPr>
              <w:pStyle w:val="4069"/>
              <w:spacing w:before="42" w:line="240" w:lineRule="auto"/>
              <w:ind w:left="1595" w:right="1593"/>
              <w:jc w:val="center"/>
              <w:rPr>
                <w:rFonts w:ascii="Times New Roman" w:hAnsi="Times New Roman" w:eastAsia="Times New Roman" w:cs="Times New Roman"/>
                <w:sz w:val="21"/>
                <w:szCs w:val="21"/>
              </w:rPr>
            </w:pPr>
            <w:r>
              <w:rPr>
                <w:rFonts w:ascii="Times New Roman"/>
                <w:sz w:val="21"/>
              </w:rPr>
              <w:t>98.5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8" w:hRule="exact"/>
        </w:trPr>
        <w:tc>
          <w:tcPr>
            <w:tcW w:w="1536" w:type="pct"/>
            <w:vMerge w:val="restart"/>
            <w:tcBorders>
              <w:tl2br w:val="nil"/>
              <w:tr2bl w:val="nil"/>
            </w:tcBorders>
          </w:tcPr>
          <w:p>
            <w:pPr>
              <w:pStyle w:val="4069"/>
              <w:spacing w:before="124" w:line="240" w:lineRule="auto"/>
              <w:ind w:left="942" w:right="945"/>
              <w:jc w:val="center"/>
              <w:rPr>
                <w:rFonts w:ascii="宋体" w:hAnsi="宋体" w:eastAsia="宋体" w:cs="宋体"/>
                <w:sz w:val="21"/>
                <w:szCs w:val="21"/>
              </w:rPr>
            </w:pPr>
            <w:r>
              <w:rPr>
                <w:rFonts w:ascii="宋体" w:hAnsi="宋体" w:eastAsia="宋体" w:cs="宋体"/>
                <w:sz w:val="21"/>
                <w:szCs w:val="21"/>
              </w:rPr>
              <w:t>结构阶段</w:t>
            </w:r>
          </w:p>
        </w:tc>
        <w:tc>
          <w:tcPr>
            <w:tcW w:w="1469" w:type="pct"/>
            <w:tcBorders>
              <w:tl2br w:val="nil"/>
              <w:tr2bl w:val="nil"/>
            </w:tcBorders>
          </w:tcPr>
          <w:p>
            <w:pPr>
              <w:pStyle w:val="4069"/>
              <w:spacing w:line="240" w:lineRule="exact"/>
              <w:ind w:left="991" w:right="991"/>
              <w:jc w:val="center"/>
              <w:rPr>
                <w:rFonts w:ascii="宋体" w:hAnsi="宋体" w:eastAsia="宋体" w:cs="宋体"/>
                <w:sz w:val="21"/>
                <w:szCs w:val="21"/>
              </w:rPr>
            </w:pPr>
            <w:r>
              <w:rPr>
                <w:rFonts w:ascii="宋体" w:hAnsi="宋体" w:eastAsia="宋体" w:cs="宋体"/>
                <w:sz w:val="21"/>
                <w:szCs w:val="21"/>
              </w:rPr>
              <w:t>振捣棒</w:t>
            </w:r>
          </w:p>
        </w:tc>
        <w:tc>
          <w:tcPr>
            <w:tcW w:w="1993" w:type="pct"/>
            <w:tcBorders>
              <w:tl2br w:val="nil"/>
              <w:tr2bl w:val="nil"/>
            </w:tcBorders>
          </w:tcPr>
          <w:p>
            <w:pPr>
              <w:pStyle w:val="4069"/>
              <w:spacing w:before="14" w:line="240" w:lineRule="auto"/>
              <w:ind w:left="1671" w:right="1674"/>
              <w:jc w:val="center"/>
              <w:rPr>
                <w:rFonts w:ascii="Times New Roman" w:hAnsi="Times New Roman" w:eastAsia="Times New Roman" w:cs="Times New Roman"/>
                <w:sz w:val="21"/>
                <w:szCs w:val="21"/>
              </w:rPr>
            </w:pPr>
            <w:r>
              <w:rPr>
                <w:rFonts w:ascii="Times New Roman"/>
                <w:sz w:val="21"/>
              </w:rPr>
              <w:t>96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exact"/>
        </w:trPr>
        <w:tc>
          <w:tcPr>
            <w:tcW w:w="1536" w:type="pct"/>
            <w:vMerge w:val="continue"/>
            <w:tcBorders>
              <w:tl2br w:val="nil"/>
              <w:tr2bl w:val="nil"/>
            </w:tcBorders>
          </w:tcPr>
          <w:p/>
        </w:tc>
        <w:tc>
          <w:tcPr>
            <w:tcW w:w="1469" w:type="pct"/>
            <w:tcBorders>
              <w:tl2br w:val="nil"/>
              <w:tr2bl w:val="nil"/>
            </w:tcBorders>
          </w:tcPr>
          <w:p>
            <w:pPr>
              <w:pStyle w:val="4069"/>
              <w:spacing w:line="259" w:lineRule="exact"/>
              <w:ind w:left="1095" w:right="1099"/>
              <w:jc w:val="center"/>
              <w:rPr>
                <w:rFonts w:ascii="宋体" w:hAnsi="宋体" w:eastAsia="宋体" w:cs="宋体"/>
                <w:sz w:val="21"/>
                <w:szCs w:val="21"/>
              </w:rPr>
            </w:pPr>
            <w:r>
              <w:rPr>
                <w:rFonts w:ascii="宋体" w:hAnsi="宋体" w:eastAsia="宋体" w:cs="宋体"/>
                <w:spacing w:val="-1"/>
                <w:sz w:val="21"/>
                <w:szCs w:val="21"/>
              </w:rPr>
              <w:t>电锯</w:t>
            </w:r>
          </w:p>
        </w:tc>
        <w:tc>
          <w:tcPr>
            <w:tcW w:w="1993" w:type="pct"/>
            <w:tcBorders>
              <w:tl2br w:val="nil"/>
              <w:tr2bl w:val="nil"/>
            </w:tcBorders>
          </w:tcPr>
          <w:p>
            <w:pPr>
              <w:pStyle w:val="4069"/>
              <w:spacing w:before="33" w:line="240" w:lineRule="auto"/>
              <w:ind w:left="1595" w:right="1593"/>
              <w:jc w:val="center"/>
              <w:rPr>
                <w:rFonts w:ascii="Times New Roman" w:hAnsi="Times New Roman" w:eastAsia="Times New Roman" w:cs="Times New Roman"/>
                <w:sz w:val="21"/>
                <w:szCs w:val="21"/>
              </w:rPr>
            </w:pPr>
            <w:r>
              <w:rPr>
                <w:rFonts w:ascii="Times New Roman"/>
                <w:sz w:val="21"/>
              </w:rPr>
              <w:t>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6" w:hRule="exact"/>
        </w:trPr>
        <w:tc>
          <w:tcPr>
            <w:tcW w:w="1536" w:type="pct"/>
            <w:tcBorders>
              <w:tl2br w:val="nil"/>
              <w:tr2bl w:val="nil"/>
            </w:tcBorders>
          </w:tcPr>
          <w:p/>
        </w:tc>
        <w:tc>
          <w:tcPr>
            <w:tcW w:w="1469" w:type="pct"/>
            <w:tcBorders>
              <w:tl2br w:val="nil"/>
              <w:tr2bl w:val="nil"/>
            </w:tcBorders>
          </w:tcPr>
          <w:p>
            <w:pPr>
              <w:pStyle w:val="4069"/>
              <w:spacing w:line="271" w:lineRule="exact"/>
              <w:ind w:left="694" w:right="0"/>
              <w:jc w:val="left"/>
              <w:rPr>
                <w:rFonts w:ascii="宋体" w:hAnsi="宋体" w:eastAsia="宋体" w:cs="宋体"/>
                <w:sz w:val="21"/>
                <w:szCs w:val="21"/>
              </w:rPr>
            </w:pPr>
            <w:r>
              <w:rPr>
                <w:rFonts w:ascii="宋体" w:hAnsi="宋体" w:eastAsia="宋体" w:cs="宋体"/>
                <w:sz w:val="21"/>
                <w:szCs w:val="21"/>
              </w:rPr>
              <w:t>混凝土输送泵</w:t>
            </w:r>
          </w:p>
        </w:tc>
        <w:tc>
          <w:tcPr>
            <w:tcW w:w="1993" w:type="pct"/>
            <w:tcBorders>
              <w:tl2br w:val="nil"/>
              <w:tr2bl w:val="nil"/>
            </w:tcBorders>
          </w:tcPr>
          <w:p>
            <w:pPr>
              <w:pStyle w:val="4069"/>
              <w:spacing w:before="47" w:line="240" w:lineRule="auto"/>
              <w:ind w:left="1671" w:right="1674"/>
              <w:jc w:val="center"/>
              <w:rPr>
                <w:rFonts w:ascii="Times New Roman" w:hAnsi="Times New Roman" w:eastAsia="Times New Roman" w:cs="Times New Roman"/>
                <w:sz w:val="21"/>
                <w:szCs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exact"/>
        </w:trPr>
        <w:tc>
          <w:tcPr>
            <w:tcW w:w="1536" w:type="pct"/>
            <w:vMerge w:val="restart"/>
            <w:tcBorders>
              <w:tl2br w:val="nil"/>
              <w:tr2bl w:val="nil"/>
            </w:tcBorders>
          </w:tcPr>
          <w:p>
            <w:pPr>
              <w:pStyle w:val="4069"/>
              <w:spacing w:line="200" w:lineRule="exact"/>
              <w:ind w:right="0"/>
              <w:jc w:val="left"/>
              <w:rPr>
                <w:sz w:val="20"/>
                <w:szCs w:val="20"/>
              </w:rPr>
            </w:pPr>
          </w:p>
          <w:p>
            <w:pPr>
              <w:pStyle w:val="4069"/>
              <w:spacing w:before="10" w:line="200" w:lineRule="exact"/>
              <w:ind w:right="0"/>
              <w:jc w:val="left"/>
              <w:rPr>
                <w:sz w:val="20"/>
                <w:szCs w:val="20"/>
              </w:rPr>
            </w:pPr>
          </w:p>
          <w:p>
            <w:pPr>
              <w:pStyle w:val="4069"/>
              <w:spacing w:line="240" w:lineRule="auto"/>
              <w:ind w:left="942" w:right="945"/>
              <w:jc w:val="center"/>
              <w:rPr>
                <w:rFonts w:ascii="宋体" w:hAnsi="宋体" w:eastAsia="宋体" w:cs="宋体"/>
                <w:sz w:val="21"/>
                <w:szCs w:val="21"/>
              </w:rPr>
            </w:pPr>
            <w:r>
              <w:rPr>
                <w:rFonts w:ascii="宋体" w:hAnsi="宋体" w:eastAsia="宋体" w:cs="宋体"/>
                <w:sz w:val="21"/>
                <w:szCs w:val="21"/>
              </w:rPr>
              <w:t>装修阶段</w:t>
            </w:r>
          </w:p>
        </w:tc>
        <w:tc>
          <w:tcPr>
            <w:tcW w:w="1469" w:type="pct"/>
            <w:tcBorders>
              <w:tl2br w:val="nil"/>
              <w:tr2bl w:val="nil"/>
            </w:tcBorders>
          </w:tcPr>
          <w:p>
            <w:pPr>
              <w:pStyle w:val="4069"/>
              <w:spacing w:line="257" w:lineRule="exact"/>
              <w:ind w:left="991" w:right="991"/>
              <w:jc w:val="center"/>
              <w:rPr>
                <w:rFonts w:ascii="宋体" w:hAnsi="宋体" w:eastAsia="宋体" w:cs="宋体"/>
                <w:sz w:val="21"/>
                <w:szCs w:val="21"/>
              </w:rPr>
            </w:pPr>
            <w:r>
              <w:rPr>
                <w:rFonts w:ascii="宋体" w:hAnsi="宋体" w:eastAsia="宋体" w:cs="宋体"/>
                <w:sz w:val="21"/>
                <w:szCs w:val="21"/>
              </w:rPr>
              <w:t>砂轮机</w:t>
            </w:r>
          </w:p>
        </w:tc>
        <w:tc>
          <w:tcPr>
            <w:tcW w:w="1993" w:type="pct"/>
            <w:tcBorders>
              <w:tl2br w:val="nil"/>
              <w:tr2bl w:val="nil"/>
            </w:tcBorders>
          </w:tcPr>
          <w:p>
            <w:pPr>
              <w:pStyle w:val="4069"/>
              <w:spacing w:before="31" w:line="240" w:lineRule="auto"/>
              <w:ind w:left="1595" w:right="1593"/>
              <w:jc w:val="center"/>
              <w:rPr>
                <w:rFonts w:ascii="Times New Roman" w:hAnsi="Times New Roman" w:eastAsia="Times New Roman" w:cs="Times New Roman"/>
                <w:sz w:val="21"/>
                <w:szCs w:val="21"/>
              </w:rPr>
            </w:pPr>
            <w:r>
              <w:rPr>
                <w:rFonts w:ascii="Times New Roman"/>
                <w:sz w:val="21"/>
              </w:rPr>
              <w:t>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exact"/>
        </w:trPr>
        <w:tc>
          <w:tcPr>
            <w:tcW w:w="1536" w:type="pct"/>
            <w:vMerge w:val="continue"/>
            <w:tcBorders>
              <w:tl2br w:val="nil"/>
              <w:tr2bl w:val="nil"/>
            </w:tcBorders>
          </w:tcPr>
          <w:p/>
        </w:tc>
        <w:tc>
          <w:tcPr>
            <w:tcW w:w="1469" w:type="pct"/>
            <w:tcBorders>
              <w:tl2br w:val="nil"/>
              <w:tr2bl w:val="nil"/>
            </w:tcBorders>
          </w:tcPr>
          <w:p>
            <w:pPr>
              <w:pStyle w:val="4069"/>
              <w:spacing w:line="258" w:lineRule="exact"/>
              <w:ind w:left="991" w:right="991"/>
              <w:jc w:val="center"/>
              <w:rPr>
                <w:rFonts w:ascii="宋体" w:hAnsi="宋体" w:eastAsia="宋体" w:cs="宋体"/>
                <w:sz w:val="21"/>
                <w:szCs w:val="21"/>
              </w:rPr>
            </w:pPr>
            <w:r>
              <w:rPr>
                <w:rFonts w:ascii="宋体" w:hAnsi="宋体" w:eastAsia="宋体" w:cs="宋体"/>
                <w:sz w:val="21"/>
                <w:szCs w:val="21"/>
              </w:rPr>
              <w:t>磨石机</w:t>
            </w:r>
          </w:p>
        </w:tc>
        <w:tc>
          <w:tcPr>
            <w:tcW w:w="1993" w:type="pct"/>
            <w:tcBorders>
              <w:tl2br w:val="nil"/>
              <w:tr2bl w:val="nil"/>
            </w:tcBorders>
          </w:tcPr>
          <w:p>
            <w:pPr>
              <w:pStyle w:val="4069"/>
              <w:spacing w:before="32" w:line="240" w:lineRule="auto"/>
              <w:ind w:left="1671" w:right="1674"/>
              <w:jc w:val="center"/>
              <w:rPr>
                <w:rFonts w:ascii="Times New Roman" w:hAnsi="Times New Roman" w:eastAsia="Times New Roman" w:cs="Times New Roman"/>
                <w:sz w:val="21"/>
                <w:szCs w:val="21"/>
              </w:rPr>
            </w:pPr>
            <w:r>
              <w:rPr>
                <w:rFonts w:asci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exact"/>
        </w:trPr>
        <w:tc>
          <w:tcPr>
            <w:tcW w:w="1536" w:type="pct"/>
            <w:vMerge w:val="continue"/>
            <w:tcBorders>
              <w:tl2br w:val="nil"/>
              <w:tr2bl w:val="nil"/>
            </w:tcBorders>
          </w:tcPr>
          <w:p/>
        </w:tc>
        <w:tc>
          <w:tcPr>
            <w:tcW w:w="1469" w:type="pct"/>
            <w:tcBorders>
              <w:tl2br w:val="nil"/>
              <w:tr2bl w:val="nil"/>
            </w:tcBorders>
          </w:tcPr>
          <w:p>
            <w:pPr>
              <w:pStyle w:val="4069"/>
              <w:spacing w:line="257" w:lineRule="exact"/>
              <w:ind w:left="991" w:right="991"/>
              <w:jc w:val="center"/>
              <w:rPr>
                <w:rFonts w:ascii="宋体" w:hAnsi="宋体" w:eastAsia="宋体" w:cs="宋体"/>
                <w:sz w:val="21"/>
                <w:szCs w:val="21"/>
              </w:rPr>
            </w:pPr>
            <w:r>
              <w:rPr>
                <w:rFonts w:ascii="宋体" w:hAnsi="宋体" w:eastAsia="宋体" w:cs="宋体"/>
                <w:sz w:val="21"/>
                <w:szCs w:val="21"/>
              </w:rPr>
              <w:t>切割机</w:t>
            </w:r>
          </w:p>
        </w:tc>
        <w:tc>
          <w:tcPr>
            <w:tcW w:w="1993" w:type="pct"/>
            <w:tcBorders>
              <w:tl2br w:val="nil"/>
              <w:tr2bl w:val="nil"/>
            </w:tcBorders>
          </w:tcPr>
          <w:p>
            <w:pPr>
              <w:pStyle w:val="4069"/>
              <w:spacing w:before="31" w:line="240" w:lineRule="auto"/>
              <w:ind w:left="1595" w:right="1593"/>
              <w:jc w:val="center"/>
              <w:rPr>
                <w:rFonts w:ascii="Times New Roman" w:hAnsi="Times New Roman" w:eastAsia="Times New Roman" w:cs="Times New Roman"/>
                <w:sz w:val="21"/>
                <w:szCs w:val="21"/>
              </w:rPr>
            </w:pPr>
            <w:r>
              <w:rPr>
                <w:rFonts w:ascii="Times New Roman"/>
                <w:sz w:val="21"/>
              </w:rPr>
              <w:t>100</w:t>
            </w:r>
          </w:p>
        </w:tc>
      </w:tr>
    </w:tbl>
    <w:p>
      <w:pPr>
        <w:pStyle w:val="1659"/>
      </w:pPr>
      <w:r>
        <w:t>（3）施工期废水</w:t>
      </w:r>
    </w:p>
    <w:p>
      <w:pPr>
        <w:pStyle w:val="1659"/>
      </w:pPr>
      <w:r>
        <w:t>项目施工期产生的废水主要为施工人员的生活污水和施工产生的施工废水。</w:t>
      </w:r>
    </w:p>
    <w:p>
      <w:pPr>
        <w:pStyle w:val="1659"/>
      </w:pPr>
      <w:r>
        <w:t>施工废水：主要来源于混凝土拌合、养护、基坑废水、施工机械清洗、车身及车轮冲洗废水等，类比同类型工程施工阶段，施工废水产生量约为10m</w:t>
      </w:r>
      <w:r>
        <w:rPr>
          <w:vertAlign w:val="superscript"/>
        </w:rPr>
        <w:t>3</w:t>
      </w:r>
      <w:r>
        <w:t>/d，这些废水的特点是悬浮物较高，SS浓度一般为2000~4000mg/L，肆意排放会造成周边地表水体的污染，应将施工废水收集沉淀后用于施工搅拌用水、场地降尘、道路洒水等。项目施工期建设沉淀池，施工废水经自然沉淀处理后，回用作生产和洒水降尘，不外排，对环境影响不大。</w:t>
      </w:r>
    </w:p>
    <w:p>
      <w:pPr>
        <w:pStyle w:val="1659"/>
      </w:pPr>
      <w:r>
        <w:t>生活污水：施工人员按最高峰每天60人计算，用水标准采用50L/人·d，产污系数按0.85计，则生活污水产生量为2.55m</w:t>
      </w:r>
      <w:r>
        <w:rPr>
          <w:vertAlign w:val="superscript"/>
        </w:rPr>
        <w:t>3</w:t>
      </w:r>
      <w:r>
        <w:t>/d。按一般生活污水中污染物浓度估算，污水中含主要污染物SS250mg/L、COD220mg/L、BOD</w:t>
      </w:r>
      <w:r>
        <w:rPr>
          <w:vertAlign w:val="subscript"/>
        </w:rPr>
        <w:t>5</w:t>
      </w:r>
      <w:r>
        <w:t>150mg/L、NH</w:t>
      </w:r>
      <w:r>
        <w:rPr>
          <w:vertAlign w:val="subscript"/>
        </w:rPr>
        <w:t>3</w:t>
      </w:r>
      <w:r>
        <w:t>-N30mg/L，则污染物产生源强初步估算为：SS0.638kg/d、COD0.561kg/d、BOD</w:t>
      </w:r>
      <w:r>
        <w:rPr>
          <w:vertAlign w:val="subscript"/>
        </w:rPr>
        <w:t>5</w:t>
      </w:r>
      <w:r>
        <w:t xml:space="preserve"> 0.383kg/d、NH</w:t>
      </w:r>
      <w:r>
        <w:rPr>
          <w:vertAlign w:val="subscript"/>
        </w:rPr>
        <w:t>3</w:t>
      </w:r>
      <w:r>
        <w:t>-N0.077kg/d。施工人员洗脸洗手、蔬菜清洗等产生的较清净的废水用塑料桶收集后用于混凝土拌合和施工场地洒水降尘，施工人员产生的粪污采用防渗旱厕收集，定期清掏用作农肥。</w:t>
      </w:r>
    </w:p>
    <w:p>
      <w:pPr>
        <w:pStyle w:val="1659"/>
      </w:pPr>
      <w:r>
        <w:t>（4）施工期固体废物</w:t>
      </w:r>
    </w:p>
    <w:p>
      <w:pPr>
        <w:pStyle w:val="1659"/>
      </w:pPr>
      <w:r>
        <w:t>施工期固体废物主要是废弃土石方、建筑材料废弃物及施工场地工人生活垃圾。</w:t>
      </w:r>
      <w:r>
        <w:rPr>
          <w:rFonts w:hint="eastAsia"/>
          <w:lang w:eastAsia="zh-CN"/>
        </w:rPr>
        <w:t>厂内可实现填挖平衡</w:t>
      </w:r>
      <w:r>
        <w:t>。项目施工表土应单独剥离单独存放，并利用土工布覆盖，用于后期绿化覆土使用。</w:t>
      </w:r>
    </w:p>
    <w:p>
      <w:pPr>
        <w:pStyle w:val="1659"/>
      </w:pPr>
      <w:r>
        <w:t>①建筑垃圾：施工期新建房屋所产生建筑垃圾量采用建筑面积预测，预测模型为：</w:t>
      </w:r>
    </w:p>
    <w:p>
      <w:pPr>
        <w:pStyle w:val="1659"/>
      </w:pPr>
      <w:r>
        <w:t>JS= QS ×CS</w:t>
      </w:r>
    </w:p>
    <w:p>
      <w:pPr>
        <w:pStyle w:val="1659"/>
      </w:pPr>
      <w:r>
        <w:t>式中：JS——建筑垃圾产生量（t/a）；</w:t>
      </w:r>
    </w:p>
    <w:p>
      <w:pPr>
        <w:pStyle w:val="1659"/>
        <w:ind w:firstLine="1200" w:firstLineChars="500"/>
      </w:pPr>
      <w:r>
        <w:t>QS——建筑面积（m</w:t>
      </w:r>
      <w:r>
        <w:rPr>
          <w:vertAlign w:val="superscript"/>
        </w:rPr>
        <w:t>2</w:t>
      </w:r>
      <w:r>
        <w:t>）；</w:t>
      </w:r>
    </w:p>
    <w:p>
      <w:pPr>
        <w:pStyle w:val="1659"/>
        <w:ind w:firstLine="1200" w:firstLineChars="500"/>
      </w:pPr>
      <w:r>
        <w:t>CS——平均每平方米建筑面积垃圾产生量（t/m</w:t>
      </w:r>
      <w:r>
        <w:rPr>
          <w:vertAlign w:val="superscript"/>
        </w:rPr>
        <w:t>2</w:t>
      </w:r>
      <w:r>
        <w:t>）。</w:t>
      </w:r>
    </w:p>
    <w:p>
      <w:pPr>
        <w:pStyle w:val="1659"/>
      </w:pPr>
      <w:r>
        <w:t>本项目总建筑面积为</w:t>
      </w:r>
      <w:r>
        <w:rPr>
          <w:rFonts w:hint="eastAsia"/>
          <w:lang w:val="en-US" w:eastAsia="zh-CN"/>
        </w:rPr>
        <w:t>7962.14</w:t>
      </w:r>
      <w:r>
        <w:t>m</w:t>
      </w:r>
      <w:r>
        <w:rPr>
          <w:vertAlign w:val="superscript"/>
        </w:rPr>
        <w:t>2</w:t>
      </w:r>
      <w:r>
        <w:t>，构筑物大部分采用钢筋混凝土结构，建筑垃圾按0.01t/m</w:t>
      </w:r>
      <w:r>
        <w:rPr>
          <w:vertAlign w:val="superscript"/>
        </w:rPr>
        <w:t>2</w:t>
      </w:r>
      <w:r>
        <w:t>计算，项目将产生的建筑垃圾约为</w:t>
      </w:r>
      <w:r>
        <w:rPr>
          <w:rFonts w:hint="eastAsia"/>
          <w:lang w:val="en-US" w:eastAsia="zh-CN"/>
        </w:rPr>
        <w:t>79.62</w:t>
      </w:r>
      <w:r>
        <w:t>t，此外在装修阶段会大量使用黏合剂、涂料、油漆等材料，在使用过程中会产生胶渣、漆渣、废油漆桶、废胶桶等危险固废。对施工期间产生的建筑垃圾进行分类收集、分类暂存，能够回收利用的尽量回收综合 利用，以节约宝贵的资源；不可回收利用的部分运往城管部门指定的建筑垃圾消纳所堆放。胶渣、漆渣、废油漆桶、废胶桶、擦漆（胶）废布等危险固废应统一收集，交由有资质的单位处理。</w:t>
      </w:r>
    </w:p>
    <w:p>
      <w:pPr>
        <w:pStyle w:val="1659"/>
      </w:pPr>
      <w:r>
        <w:t>②施工人员生活垃圾</w:t>
      </w:r>
    </w:p>
    <w:p>
      <w:pPr>
        <w:pStyle w:val="1659"/>
      </w:pPr>
      <w:r>
        <w:t>施工期工人数按最大60人/d 计，生活垃圾产生系数以1kg/人•d计，则本项目施工期产生生活垃圾约60kg/d，生活垃圾及时清运至指定的生活垃圾卫生填埋场。</w:t>
      </w:r>
    </w:p>
    <w:p>
      <w:pPr>
        <w:pStyle w:val="1659"/>
      </w:pPr>
      <w:r>
        <w:t>（5）施工期生态破坏</w:t>
      </w:r>
    </w:p>
    <w:p>
      <w:pPr>
        <w:pStyle w:val="1659"/>
      </w:pPr>
      <w:r>
        <w:t>本项目占地</w:t>
      </w:r>
      <w:r>
        <w:rPr>
          <w:rFonts w:hint="eastAsia"/>
          <w:lang w:val="en-US" w:eastAsia="zh-CN"/>
        </w:rPr>
        <w:t>19393.45</w:t>
      </w:r>
      <w:r>
        <w:t>m</w:t>
      </w:r>
      <w:r>
        <w:rPr>
          <w:vertAlign w:val="superscript"/>
        </w:rPr>
        <w:t>2</w:t>
      </w:r>
      <w:r>
        <w:t>，主要为其他林</w:t>
      </w:r>
      <w:r>
        <w:rPr>
          <w:rFonts w:hint="eastAsia"/>
          <w:lang w:eastAsia="zh-CN"/>
        </w:rPr>
        <w:t>草</w:t>
      </w:r>
      <w:r>
        <w:t>地、旱地；项目占地地块内部不存在村民住户，不涉及移民搬迁。施工期生态环境影响主要表现为：占用土地、土地利用功能发生变化、土石方的开挖、弃土弃渣堆放、建筑材料的堆放等可能破坏植被、引起水土流失、破坏和影响景观。</w:t>
      </w:r>
    </w:p>
    <w:p>
      <w:pPr>
        <w:pStyle w:val="1659"/>
      </w:pPr>
      <w:r>
        <w:t>项目地块现状主要为旱地和荒草地，不存在大片森林覆盖地。植被类型简单、不存在珍稀鸟类、动植物繁殖活动区域，生态结构较为简单。</w:t>
      </w:r>
    </w:p>
    <w:p>
      <w:pPr>
        <w:pStyle w:val="1659"/>
      </w:pPr>
      <w:r>
        <w:t>随着项目的进入，所在地块使用性质将会发生一定的改变，但项目建成后将着重 场内环境绿化，加速补偿生态修复措施，在一定程度上对于区域生态环境有一定改善作用。</w:t>
      </w:r>
    </w:p>
    <w:p>
      <w:pPr>
        <w:pStyle w:val="6"/>
        <w:rPr>
          <w:rFonts w:hint="eastAsia"/>
          <w:lang w:eastAsia="zh-CN"/>
        </w:rPr>
      </w:pPr>
      <w:bookmarkStart w:id="150" w:name="_Toc16413"/>
      <w:r>
        <w:rPr>
          <w:rFonts w:hint="eastAsia"/>
          <w:lang w:eastAsia="zh-CN"/>
        </w:rPr>
        <w:t>营运期工程分析</w:t>
      </w:r>
      <w:bookmarkEnd w:id="150"/>
    </w:p>
    <w:p>
      <w:pPr>
        <w:pStyle w:val="1659"/>
        <w:rPr>
          <w:rFonts w:hint="eastAsia" w:eastAsia="宋体"/>
          <w:lang w:eastAsia="zh-CN"/>
        </w:rPr>
      </w:pPr>
      <w:r>
        <w:rPr>
          <w:rFonts w:hint="eastAsia"/>
          <w:lang w:eastAsia="zh-CN"/>
        </w:rPr>
        <w:t>本项目为屠宰加工项目，不会造成重工业，但日常运作过程中仍然会产生废水、废气、噪声及固体废物等，如若处置不当，将会对周边环境产生不利的影响。</w:t>
      </w:r>
    </w:p>
    <w:p>
      <w:pPr>
        <w:pStyle w:val="7"/>
        <w:ind w:left="0" w:firstLine="0"/>
        <w:rPr>
          <w:rFonts w:hint="eastAsia"/>
          <w:lang w:eastAsia="zh-CN"/>
        </w:rPr>
      </w:pPr>
      <w:bookmarkStart w:id="151" w:name="_Toc13756"/>
      <w:r>
        <w:rPr>
          <w:rFonts w:hint="eastAsia"/>
          <w:lang w:eastAsia="zh-CN"/>
        </w:rPr>
        <w:t>工艺流程及产排污节点</w:t>
      </w:r>
      <w:bookmarkEnd w:id="151"/>
    </w:p>
    <w:p>
      <w:pPr>
        <w:pStyle w:val="165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pPr>
      <w:r>
        <w:drawing>
          <wp:inline distT="0" distB="0" distL="114300" distR="114300">
            <wp:extent cx="5851525" cy="4143375"/>
            <wp:effectExtent l="0" t="0" r="15875" b="9525"/>
            <wp:docPr id="80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19"/>
                    <pic:cNvPicPr>
                      <a:picLocks noChangeAspect="1"/>
                    </pic:cNvPicPr>
                  </pic:nvPicPr>
                  <pic:blipFill>
                    <a:blip r:embed="rId21"/>
                    <a:stretch>
                      <a:fillRect/>
                    </a:stretch>
                  </pic:blipFill>
                  <pic:spPr>
                    <a:xfrm>
                      <a:off x="0" y="0"/>
                      <a:ext cx="5851525" cy="4143375"/>
                    </a:xfrm>
                    <a:prstGeom prst="rect">
                      <a:avLst/>
                    </a:prstGeom>
                    <a:noFill/>
                    <a:ln>
                      <a:noFill/>
                    </a:ln>
                  </pic:spPr>
                </pic:pic>
              </a:graphicData>
            </a:graphic>
          </wp:inline>
        </w:drawing>
      </w:r>
    </w:p>
    <w:p>
      <w:pPr>
        <w:pStyle w:val="1659"/>
        <w:jc w:val="center"/>
        <w:rPr>
          <w:rFonts w:hint="eastAsia" w:eastAsia="宋体"/>
          <w:b/>
          <w:bCs/>
          <w:lang w:eastAsia="zh-CN"/>
        </w:rPr>
      </w:pPr>
      <w:r>
        <w:rPr>
          <w:rFonts w:eastAsia="宋体"/>
          <w:b/>
          <w:bCs/>
        </w:rPr>
        <w:t>图</w:t>
      </w:r>
      <w:r>
        <w:rPr>
          <w:rFonts w:hint="eastAsia" w:eastAsia="宋体"/>
          <w:b/>
          <w:bCs/>
          <w:lang w:val="en-US" w:eastAsia="zh-CN"/>
        </w:rPr>
        <w:t xml:space="preserve">3.3-2  </w:t>
      </w:r>
      <w:r>
        <w:rPr>
          <w:rFonts w:hint="eastAsia" w:eastAsia="宋体"/>
          <w:b/>
          <w:bCs/>
          <w:lang w:eastAsia="zh-CN"/>
        </w:rPr>
        <w:t>肉牛屠宰工艺流程及产排污节点图</w:t>
      </w:r>
    </w:p>
    <w:p>
      <w:pPr>
        <w:pStyle w:val="1659"/>
        <w:rPr>
          <w:rFonts w:hint="eastAsia" w:eastAsia="宋体"/>
          <w:b/>
          <w:bCs/>
          <w:lang w:eastAsia="zh-CN"/>
        </w:rPr>
      </w:pPr>
      <w:r>
        <w:rPr>
          <w:rFonts w:hint="eastAsia"/>
          <w:b/>
          <w:bCs/>
          <w:lang w:eastAsia="zh-CN"/>
        </w:rPr>
        <w:t>（</w:t>
      </w:r>
      <w:r>
        <w:rPr>
          <w:rFonts w:hint="eastAsia"/>
          <w:b/>
          <w:bCs/>
          <w:lang w:val="en-US" w:eastAsia="zh-CN"/>
        </w:rPr>
        <w:t>1</w:t>
      </w:r>
      <w:r>
        <w:rPr>
          <w:rFonts w:hint="eastAsia"/>
          <w:b/>
          <w:bCs/>
          <w:lang w:eastAsia="zh-CN"/>
        </w:rPr>
        <w:t>）工艺流程简述：</w:t>
      </w:r>
    </w:p>
    <w:p>
      <w:pPr>
        <w:pStyle w:val="1659"/>
      </w:pPr>
      <w:r>
        <w:t>经兽医师检验后的健康牛，先淋浴冲洗，去除其表面脏物、细菌，淋浴时间3分钟，水温35℃～42℃。下设流水槽，牛通过时强制清洗其四肢及腹部，然后进入击晕箱击晕失去知觉，下设DN65度锌钢管为安全防范桩，距地1.4m。昏迷1分钟后被吊入轨道刺杀，放血6- 分钟（刀具杀一头应消毒一次）后通过javis30CL-1型蹄、角液压剪，割除蹄、角，滑至不锈钢容器中，然后进入预剥皮工序，在预剥皮工位设置升 降工作平台。再通过型液压剥皮机进入机械剥皮，经自控将剥皮转鼓反转，将牛皮自动退下，送至牛皮间进行修整，确保牛皮完整无损。剥皮后的胴体采用MG-1型不锈钢开胸锯沿胸线将胸骨切开，且不损内脏（噪音仅75dB，耗时3S，国产设备无法达到），用BRE-1型气动肛门结扎器（压力5.4巴）及食管结家禽屠宰工艺扎器将牛直肠和食管结扎，避免肛门及食管处污染，再切去牛头，清洗后将牛头送去检疫（除检查口腔粘膜外还应检查其舌根纵剖面，并切开检查内外咬肌）。然后将胴体剖腹，人工扒下牛胃，沿滑槽滑入白脏输送机，将胃房翻开，把胃容物喷到指定的地点处理。再将心、肝、肺取至不锈钢槽盘检疫，（心脏检查：沿动脉管剖检心室、及心内膜检 查心包及心肌注意血液凝固状态。肝脏检查：触检弹性，剖检肝门淋巴结。肺部检查：观察外表色泽、大小及触检弹性，剖检支气管淋巴结等）。使内脏与胴体一起同步运行。合格后的红、白内脏分别送至红、白副产品间进行加工，通过同步检验线若发现病牛，将胴体及内脏分别离去，防止交叉污染，通过病牛叉道进入病牛间，经封闭式小车送至化制间处理。对健康胴体通过气动升降台经 BusterV 型不锈钢劈半锯劈为二分体，经清洗、修整后通过轨道电子称称重、计数、累计和打印，然后进入预冷间进行冷却排酸24小时，再进入剔骨间经 SEC230圆盘分割锯分割为脖部、前腿、肋部、脊骨和胸部，进行分割剔骨、修整，最后包装、入库，进行结冻、冷藏。</w:t>
      </w:r>
    </w:p>
    <w:p>
      <w:pPr>
        <w:pStyle w:val="1659"/>
        <w:rPr>
          <w:rFonts w:hint="eastAsia" w:eastAsia="宋体"/>
          <w:lang w:eastAsia="zh-CN"/>
        </w:rPr>
      </w:pPr>
      <w:r>
        <w:rPr>
          <w:rFonts w:hint="eastAsia"/>
          <w:lang w:eastAsia="zh-CN"/>
        </w:rPr>
        <w:t>（</w:t>
      </w:r>
      <w:r>
        <w:rPr>
          <w:rFonts w:hint="eastAsia"/>
          <w:lang w:val="en-US" w:eastAsia="zh-CN"/>
        </w:rPr>
        <w:t>2</w:t>
      </w:r>
      <w:r>
        <w:rPr>
          <w:rFonts w:hint="eastAsia"/>
          <w:lang w:eastAsia="zh-CN"/>
        </w:rPr>
        <w:t>）物料平衡</w:t>
      </w:r>
    </w:p>
    <w:p>
      <w:pPr>
        <w:pStyle w:val="1659"/>
        <w:rPr>
          <w:rFonts w:hint="default" w:eastAsia="宋体"/>
          <w:lang w:val="en-US" w:eastAsia="zh-CN"/>
        </w:rPr>
      </w:pPr>
      <w:r>
        <w:t>根据同类项目类比，本项目肉牛屠宰物料平衡见表</w:t>
      </w:r>
      <w:r>
        <w:rPr>
          <w:rFonts w:hint="eastAsia"/>
          <w:lang w:val="en-US" w:eastAsia="zh-CN"/>
        </w:rPr>
        <w:t>3.3-4。</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3-4</w:t>
      </w:r>
      <w:r>
        <w:rPr>
          <w:b/>
          <w:sz w:val="24"/>
        </w:rPr>
        <w:t xml:space="preserve"> </w:t>
      </w:r>
      <w:r>
        <w:rPr>
          <w:rFonts w:hint="eastAsia"/>
          <w:b/>
          <w:sz w:val="24"/>
          <w:lang w:val="en-US" w:eastAsia="zh-CN"/>
        </w:rPr>
        <w:t xml:space="preserve">   </w:t>
      </w:r>
      <w:r>
        <w:rPr>
          <w:rFonts w:hint="eastAsia"/>
          <w:b/>
          <w:sz w:val="24"/>
          <w:lang w:eastAsia="zh-CN"/>
        </w:rPr>
        <w:t>肉牛屠宰物料平衡表</w:t>
      </w:r>
    </w:p>
    <w:tbl>
      <w:tblPr>
        <w:tblStyle w:val="88"/>
        <w:tblW w:w="0" w:type="auto"/>
        <w:tblInd w:w="101" w:type="dxa"/>
        <w:tblLayout w:type="fixed"/>
        <w:tblCellMar>
          <w:top w:w="0" w:type="dxa"/>
          <w:left w:w="0" w:type="dxa"/>
          <w:bottom w:w="0" w:type="dxa"/>
          <w:right w:w="0" w:type="dxa"/>
        </w:tblCellMar>
      </w:tblPr>
      <w:tblGrid>
        <w:gridCol w:w="1101"/>
        <w:gridCol w:w="1263"/>
        <w:gridCol w:w="950"/>
        <w:gridCol w:w="2062"/>
        <w:gridCol w:w="1800"/>
        <w:gridCol w:w="1999"/>
      </w:tblGrid>
      <w:tr>
        <w:tblPrEx>
          <w:tblCellMar>
            <w:top w:w="0" w:type="dxa"/>
            <w:left w:w="0" w:type="dxa"/>
            <w:bottom w:w="0" w:type="dxa"/>
            <w:right w:w="0" w:type="dxa"/>
          </w:tblCellMar>
        </w:tblPrEx>
        <w:trPr>
          <w:trHeight w:val="634" w:hRule="exact"/>
        </w:trPr>
        <w:tc>
          <w:tcPr>
            <w:tcW w:w="1101" w:type="dxa"/>
            <w:vMerge w:val="restart"/>
            <w:tcBorders>
              <w:top w:val="single" w:color="000000" w:sz="4" w:space="0"/>
              <w:left w:val="single" w:color="000000" w:sz="4" w:space="0"/>
              <w:right w:val="single" w:color="000000" w:sz="4" w:space="0"/>
            </w:tcBorders>
          </w:tcPr>
          <w:p>
            <w:pPr>
              <w:pStyle w:val="4069"/>
              <w:spacing w:before="6" w:line="100" w:lineRule="exact"/>
              <w:ind w:right="0"/>
              <w:jc w:val="left"/>
              <w:rPr>
                <w:sz w:val="10"/>
                <w:szCs w:val="10"/>
              </w:rPr>
            </w:pPr>
          </w:p>
          <w:p>
            <w:pPr>
              <w:pStyle w:val="4069"/>
              <w:spacing w:line="200" w:lineRule="exact"/>
              <w:ind w:right="0"/>
              <w:jc w:val="left"/>
              <w:rPr>
                <w:sz w:val="20"/>
                <w:szCs w:val="20"/>
              </w:rPr>
            </w:pPr>
          </w:p>
          <w:p>
            <w:pPr>
              <w:pStyle w:val="4069"/>
              <w:spacing w:line="240" w:lineRule="auto"/>
              <w:ind w:left="124" w:right="0"/>
              <w:jc w:val="left"/>
              <w:rPr>
                <w:rFonts w:ascii="宋体" w:hAnsi="宋体" w:eastAsia="宋体" w:cs="宋体"/>
                <w:sz w:val="21"/>
                <w:szCs w:val="21"/>
              </w:rPr>
            </w:pPr>
            <w:r>
              <w:rPr>
                <w:rFonts w:ascii="宋体" w:hAnsi="宋体" w:eastAsia="宋体" w:cs="宋体"/>
                <w:b/>
                <w:bCs/>
                <w:spacing w:val="1"/>
                <w:sz w:val="21"/>
                <w:szCs w:val="21"/>
              </w:rPr>
              <w:t>项目名称</w:t>
            </w:r>
          </w:p>
        </w:tc>
        <w:tc>
          <w:tcPr>
            <w:tcW w:w="2213" w:type="dxa"/>
            <w:gridSpan w:val="2"/>
            <w:tcBorders>
              <w:top w:val="single" w:color="000000" w:sz="4" w:space="0"/>
              <w:left w:val="single" w:color="000000" w:sz="4" w:space="0"/>
              <w:bottom w:val="single" w:color="000000" w:sz="4" w:space="0"/>
              <w:right w:val="single" w:color="000000" w:sz="4" w:space="0"/>
            </w:tcBorders>
          </w:tcPr>
          <w:p>
            <w:pPr>
              <w:pStyle w:val="4069"/>
              <w:spacing w:line="261" w:lineRule="exact"/>
              <w:ind w:right="1"/>
              <w:jc w:val="center"/>
              <w:rPr>
                <w:rFonts w:ascii="宋体" w:hAnsi="宋体" w:eastAsia="宋体" w:cs="宋体"/>
                <w:sz w:val="21"/>
                <w:szCs w:val="21"/>
              </w:rPr>
            </w:pPr>
            <w:r>
              <w:rPr>
                <w:rFonts w:ascii="宋体" w:hAnsi="宋体" w:eastAsia="宋体" w:cs="宋体"/>
                <w:b/>
                <w:bCs/>
                <w:spacing w:val="2"/>
                <w:sz w:val="21"/>
                <w:szCs w:val="21"/>
              </w:rPr>
              <w:t>入</w:t>
            </w:r>
            <w:r>
              <w:rPr>
                <w:rFonts w:ascii="宋体" w:hAnsi="宋体" w:eastAsia="宋体" w:cs="宋体"/>
                <w:b/>
                <w:bCs/>
                <w:sz w:val="21"/>
                <w:szCs w:val="21"/>
              </w:rPr>
              <w:t>料</w:t>
            </w:r>
          </w:p>
          <w:p>
            <w:pPr>
              <w:pStyle w:val="4069"/>
              <w:spacing w:before="40" w:line="240" w:lineRule="auto"/>
              <w:ind w:left="2" w:right="0"/>
              <w:jc w:val="center"/>
              <w:rPr>
                <w:rFonts w:ascii="宋体" w:hAnsi="宋体" w:eastAsia="宋体" w:cs="宋体"/>
                <w:sz w:val="21"/>
                <w:szCs w:val="21"/>
              </w:rPr>
            </w:pPr>
            <w:r>
              <w:rPr>
                <w:rFonts w:ascii="宋体" w:hAnsi="宋体" w:eastAsia="宋体" w:cs="宋体"/>
                <w:b/>
                <w:bCs/>
                <w:spacing w:val="-1"/>
                <w:sz w:val="21"/>
                <w:szCs w:val="21"/>
              </w:rPr>
              <w:t>（</w:t>
            </w:r>
            <w:r>
              <w:rPr>
                <w:rFonts w:ascii="宋体" w:hAnsi="宋体" w:eastAsia="宋体" w:cs="宋体"/>
                <w:b/>
                <w:bCs/>
                <w:spacing w:val="2"/>
                <w:sz w:val="21"/>
                <w:szCs w:val="21"/>
              </w:rPr>
              <w:t>肉牛屠</w:t>
            </w:r>
            <w:r>
              <w:rPr>
                <w:rFonts w:ascii="宋体" w:hAnsi="宋体" w:eastAsia="宋体" w:cs="宋体"/>
                <w:b/>
                <w:bCs/>
                <w:sz w:val="21"/>
                <w:szCs w:val="21"/>
              </w:rPr>
              <w:t>重</w:t>
            </w:r>
            <w:r>
              <w:rPr>
                <w:rFonts w:hint="eastAsia" w:ascii="Times New Roman"/>
                <w:sz w:val="21"/>
                <w:lang w:val="en-US" w:eastAsia="zh-CN"/>
              </w:rPr>
              <w:t>5</w:t>
            </w:r>
            <w:r>
              <w:rPr>
                <w:rFonts w:ascii="Times New Roman"/>
                <w:sz w:val="21"/>
              </w:rPr>
              <w:t>00k</w:t>
            </w:r>
            <w:r>
              <w:rPr>
                <w:rFonts w:ascii="Times New Roman" w:hAnsi="Times New Roman" w:eastAsia="Times New Roman" w:cs="Times New Roman"/>
                <w:b/>
                <w:bCs/>
                <w:spacing w:val="1"/>
                <w:sz w:val="21"/>
                <w:szCs w:val="21"/>
              </w:rPr>
              <w:t>g</w:t>
            </w:r>
            <w:r>
              <w:rPr>
                <w:rFonts w:ascii="宋体" w:hAnsi="宋体" w:eastAsia="宋体" w:cs="宋体"/>
                <w:b/>
                <w:bCs/>
                <w:sz w:val="21"/>
                <w:szCs w:val="21"/>
              </w:rPr>
              <w:t>）</w:t>
            </w:r>
          </w:p>
        </w:tc>
        <w:tc>
          <w:tcPr>
            <w:tcW w:w="5861" w:type="dxa"/>
            <w:gridSpan w:val="3"/>
            <w:tcBorders>
              <w:top w:val="single" w:color="000000" w:sz="4" w:space="0"/>
              <w:left w:val="single" w:color="000000" w:sz="4" w:space="0"/>
              <w:bottom w:val="single" w:color="000000" w:sz="4" w:space="0"/>
              <w:right w:val="single" w:color="000000" w:sz="4" w:space="0"/>
            </w:tcBorders>
          </w:tcPr>
          <w:p>
            <w:pPr>
              <w:pStyle w:val="4069"/>
              <w:spacing w:before="145" w:line="240" w:lineRule="auto"/>
              <w:ind w:right="2"/>
              <w:jc w:val="center"/>
              <w:rPr>
                <w:rFonts w:ascii="宋体" w:hAnsi="宋体" w:eastAsia="宋体" w:cs="宋体"/>
                <w:sz w:val="21"/>
                <w:szCs w:val="21"/>
              </w:rPr>
            </w:pPr>
            <w:r>
              <w:rPr>
                <w:rFonts w:ascii="宋体" w:hAnsi="宋体" w:eastAsia="宋体" w:cs="宋体"/>
                <w:b/>
                <w:bCs/>
                <w:spacing w:val="2"/>
                <w:sz w:val="21"/>
                <w:szCs w:val="21"/>
              </w:rPr>
              <w:t>出</w:t>
            </w:r>
            <w:r>
              <w:rPr>
                <w:rFonts w:ascii="宋体" w:hAnsi="宋体" w:eastAsia="宋体" w:cs="宋体"/>
                <w:b/>
                <w:bCs/>
                <w:sz w:val="21"/>
                <w:szCs w:val="21"/>
              </w:rPr>
              <w:t>料</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bottom w:val="single" w:color="000000" w:sz="4" w:space="0"/>
              <w:right w:val="single" w:color="000000" w:sz="4" w:space="0"/>
            </w:tcBorders>
          </w:tcPr>
          <w:p/>
        </w:tc>
        <w:tc>
          <w:tcPr>
            <w:tcW w:w="1263" w:type="dxa"/>
            <w:tcBorders>
              <w:top w:val="single" w:color="000000" w:sz="4" w:space="0"/>
              <w:left w:val="single" w:color="000000" w:sz="4" w:space="0"/>
              <w:bottom w:val="single" w:color="000000" w:sz="4" w:space="0"/>
              <w:right w:val="single" w:color="000000" w:sz="4" w:space="0"/>
            </w:tcBorders>
          </w:tcPr>
          <w:p>
            <w:pPr>
              <w:pStyle w:val="4069"/>
              <w:spacing w:line="260" w:lineRule="exact"/>
              <w:ind w:left="206" w:right="0"/>
              <w:jc w:val="left"/>
              <w:rPr>
                <w:rFonts w:ascii="宋体" w:hAnsi="宋体" w:eastAsia="宋体" w:cs="宋体"/>
                <w:sz w:val="21"/>
                <w:szCs w:val="21"/>
              </w:rPr>
            </w:pPr>
            <w:r>
              <w:rPr>
                <w:rFonts w:ascii="宋体" w:hAnsi="宋体" w:eastAsia="宋体" w:cs="宋体"/>
                <w:b/>
                <w:bCs/>
                <w:spacing w:val="1"/>
                <w:sz w:val="21"/>
                <w:szCs w:val="21"/>
              </w:rPr>
              <w:t>物料名称</w:t>
            </w:r>
          </w:p>
        </w:tc>
        <w:tc>
          <w:tcPr>
            <w:tcW w:w="950" w:type="dxa"/>
            <w:tcBorders>
              <w:top w:val="single" w:color="000000" w:sz="4" w:space="0"/>
              <w:left w:val="single" w:color="000000" w:sz="4" w:space="0"/>
              <w:bottom w:val="single" w:color="000000" w:sz="4" w:space="0"/>
              <w:right w:val="single" w:color="000000" w:sz="4" w:space="0"/>
            </w:tcBorders>
          </w:tcPr>
          <w:p>
            <w:pPr>
              <w:pStyle w:val="4069"/>
              <w:spacing w:line="260" w:lineRule="exact"/>
              <w:ind w:left="261" w:right="0"/>
              <w:jc w:val="left"/>
              <w:rPr>
                <w:rFonts w:ascii="宋体" w:hAnsi="宋体" w:eastAsia="宋体" w:cs="宋体"/>
                <w:sz w:val="21"/>
                <w:szCs w:val="21"/>
              </w:rPr>
            </w:pPr>
            <w:r>
              <w:rPr>
                <w:rFonts w:ascii="宋体" w:hAnsi="宋体" w:eastAsia="宋体" w:cs="宋体"/>
                <w:b/>
                <w:bCs/>
                <w:spacing w:val="2"/>
                <w:sz w:val="21"/>
                <w:szCs w:val="21"/>
              </w:rPr>
              <w:t>数</w:t>
            </w:r>
            <w:r>
              <w:rPr>
                <w:rFonts w:ascii="宋体" w:hAnsi="宋体" w:eastAsia="宋体" w:cs="宋体"/>
                <w:b/>
                <w:bCs/>
                <w:sz w:val="21"/>
                <w:szCs w:val="21"/>
              </w:rPr>
              <w:t>量</w:t>
            </w:r>
          </w:p>
        </w:tc>
        <w:tc>
          <w:tcPr>
            <w:tcW w:w="2062" w:type="dxa"/>
            <w:tcBorders>
              <w:top w:val="single" w:color="000000" w:sz="4" w:space="0"/>
              <w:left w:val="single" w:color="000000" w:sz="4" w:space="0"/>
              <w:bottom w:val="single" w:color="000000" w:sz="4" w:space="0"/>
              <w:right w:val="single" w:color="000000" w:sz="4" w:space="0"/>
            </w:tcBorders>
          </w:tcPr>
          <w:p>
            <w:pPr>
              <w:pStyle w:val="4069"/>
              <w:spacing w:line="260" w:lineRule="exact"/>
              <w:ind w:right="0"/>
              <w:jc w:val="both"/>
              <w:rPr>
                <w:rFonts w:ascii="宋体" w:hAnsi="宋体" w:eastAsia="宋体" w:cs="宋体"/>
                <w:sz w:val="21"/>
                <w:szCs w:val="21"/>
              </w:rPr>
            </w:pPr>
            <w:r>
              <w:rPr>
                <w:rFonts w:ascii="宋体" w:hAnsi="宋体" w:eastAsia="宋体" w:cs="宋体"/>
                <w:b/>
                <w:bCs/>
                <w:spacing w:val="2"/>
                <w:sz w:val="21"/>
                <w:szCs w:val="21"/>
              </w:rPr>
              <w:t>名</w:t>
            </w:r>
            <w:r>
              <w:rPr>
                <w:rFonts w:ascii="宋体" w:hAnsi="宋体" w:eastAsia="宋体" w:cs="宋体"/>
                <w:b/>
                <w:bCs/>
                <w:sz w:val="21"/>
                <w:szCs w:val="21"/>
              </w:rPr>
              <w:t>称</w:t>
            </w:r>
          </w:p>
        </w:tc>
        <w:tc>
          <w:tcPr>
            <w:tcW w:w="1800" w:type="dxa"/>
            <w:tcBorders>
              <w:top w:val="single" w:color="000000" w:sz="4" w:space="0"/>
              <w:left w:val="single" w:color="000000" w:sz="4" w:space="0"/>
              <w:bottom w:val="single" w:color="000000" w:sz="4" w:space="0"/>
              <w:right w:val="single" w:color="000000" w:sz="4" w:space="0"/>
            </w:tcBorders>
          </w:tcPr>
          <w:p>
            <w:pPr>
              <w:pStyle w:val="4069"/>
              <w:spacing w:line="276" w:lineRule="exact"/>
              <w:ind w:right="0"/>
              <w:jc w:val="left"/>
              <w:rPr>
                <w:rFonts w:ascii="宋体" w:hAnsi="宋体" w:eastAsia="宋体" w:cs="宋体"/>
                <w:sz w:val="21"/>
                <w:szCs w:val="21"/>
              </w:rPr>
            </w:pPr>
            <w:r>
              <w:rPr>
                <w:rFonts w:ascii="宋体" w:hAnsi="宋体" w:eastAsia="宋体" w:cs="宋体"/>
                <w:b/>
                <w:bCs/>
                <w:sz w:val="21"/>
                <w:szCs w:val="21"/>
              </w:rPr>
              <w:t>数量（</w:t>
            </w:r>
            <w:r>
              <w:rPr>
                <w:rFonts w:ascii="Times New Roman" w:hAnsi="Times New Roman" w:eastAsia="Times New Roman" w:cs="Times New Roman"/>
                <w:b/>
                <w:bCs/>
                <w:sz w:val="21"/>
                <w:szCs w:val="21"/>
              </w:rPr>
              <w:t>t</w:t>
            </w:r>
            <w:r>
              <w:rPr>
                <w:rFonts w:ascii="宋体" w:hAnsi="宋体" w:eastAsia="宋体" w:cs="宋体"/>
                <w:b/>
                <w:bCs/>
                <w:sz w:val="21"/>
                <w:szCs w:val="21"/>
              </w:rPr>
              <w:t>）</w:t>
            </w:r>
          </w:p>
        </w:tc>
        <w:tc>
          <w:tcPr>
            <w:tcW w:w="1999" w:type="dxa"/>
            <w:tcBorders>
              <w:top w:val="single" w:color="000000" w:sz="4" w:space="0"/>
              <w:left w:val="single" w:color="000000" w:sz="4" w:space="0"/>
              <w:bottom w:val="single" w:color="000000" w:sz="4" w:space="0"/>
              <w:right w:val="single" w:color="000000" w:sz="4" w:space="0"/>
            </w:tcBorders>
          </w:tcPr>
          <w:p>
            <w:pPr>
              <w:pStyle w:val="4069"/>
              <w:spacing w:line="260" w:lineRule="exact"/>
              <w:ind w:right="0"/>
              <w:jc w:val="both"/>
              <w:rPr>
                <w:rFonts w:ascii="宋体" w:hAnsi="宋体" w:eastAsia="宋体" w:cs="宋体"/>
                <w:sz w:val="21"/>
                <w:szCs w:val="21"/>
              </w:rPr>
            </w:pPr>
            <w:r>
              <w:rPr>
                <w:rFonts w:ascii="宋体" w:hAnsi="宋体" w:eastAsia="宋体" w:cs="宋体"/>
                <w:b/>
                <w:bCs/>
                <w:spacing w:val="2"/>
                <w:sz w:val="21"/>
                <w:szCs w:val="21"/>
              </w:rPr>
              <w:t>备</w:t>
            </w:r>
            <w:r>
              <w:rPr>
                <w:rFonts w:ascii="宋体" w:hAnsi="宋体" w:eastAsia="宋体" w:cs="宋体"/>
                <w:b/>
                <w:bCs/>
                <w:sz w:val="21"/>
                <w:szCs w:val="21"/>
              </w:rPr>
              <w:t>注</w:t>
            </w:r>
          </w:p>
        </w:tc>
      </w:tr>
      <w:tr>
        <w:tblPrEx>
          <w:tblCellMar>
            <w:top w:w="0" w:type="dxa"/>
            <w:left w:w="0" w:type="dxa"/>
            <w:bottom w:w="0" w:type="dxa"/>
            <w:right w:w="0" w:type="dxa"/>
          </w:tblCellMar>
        </w:tblPrEx>
        <w:trPr>
          <w:trHeight w:val="322" w:hRule="exact"/>
        </w:trPr>
        <w:tc>
          <w:tcPr>
            <w:tcW w:w="1101" w:type="dxa"/>
            <w:vMerge w:val="restart"/>
            <w:tcBorders>
              <w:top w:val="single" w:color="000000" w:sz="4" w:space="0"/>
              <w:left w:val="single" w:color="000000" w:sz="4" w:space="0"/>
              <w:right w:val="single" w:color="000000" w:sz="4" w:space="0"/>
            </w:tcBorders>
            <w:vAlign w:val="center"/>
          </w:tcPr>
          <w:p>
            <w:pPr>
              <w:pStyle w:val="4069"/>
              <w:spacing w:line="240" w:lineRule="auto"/>
              <w:ind w:right="0"/>
              <w:jc w:val="center"/>
              <w:rPr>
                <w:rFonts w:ascii="宋体" w:hAnsi="宋体" w:eastAsia="宋体" w:cs="宋体"/>
                <w:sz w:val="21"/>
                <w:szCs w:val="21"/>
              </w:rPr>
            </w:pPr>
            <w:r>
              <w:rPr>
                <w:rFonts w:ascii="宋体" w:hAnsi="宋体" w:eastAsia="宋体" w:cs="宋体"/>
                <w:sz w:val="21"/>
                <w:szCs w:val="21"/>
              </w:rPr>
              <w:t>肉牛屠宰</w:t>
            </w:r>
          </w:p>
        </w:tc>
        <w:tc>
          <w:tcPr>
            <w:tcW w:w="1263" w:type="dxa"/>
            <w:vMerge w:val="restart"/>
            <w:tcBorders>
              <w:top w:val="single" w:color="000000" w:sz="4" w:space="0"/>
              <w:left w:val="single" w:color="000000" w:sz="4" w:space="0"/>
              <w:right w:val="single" w:color="000000" w:sz="4" w:space="0"/>
            </w:tcBorders>
            <w:vAlign w:val="center"/>
          </w:tcPr>
          <w:p>
            <w:pPr>
              <w:pStyle w:val="4069"/>
              <w:spacing w:line="240" w:lineRule="auto"/>
              <w:ind w:right="0"/>
              <w:jc w:val="center"/>
              <w:rPr>
                <w:rFonts w:ascii="宋体" w:hAnsi="宋体" w:eastAsia="宋体" w:cs="宋体"/>
                <w:sz w:val="21"/>
                <w:szCs w:val="21"/>
              </w:rPr>
            </w:pPr>
            <w:r>
              <w:rPr>
                <w:rFonts w:ascii="宋体" w:hAnsi="宋体" w:eastAsia="宋体" w:cs="宋体"/>
                <w:sz w:val="21"/>
                <w:szCs w:val="21"/>
              </w:rPr>
              <w:t>肉牛</w:t>
            </w:r>
          </w:p>
          <w:p>
            <w:pPr>
              <w:pStyle w:val="4069"/>
              <w:spacing w:line="240" w:lineRule="auto"/>
              <w:ind w:right="0"/>
              <w:jc w:val="center"/>
              <w:rPr>
                <w:rFonts w:ascii="宋体" w:hAnsi="宋体" w:eastAsia="宋体" w:cs="宋体"/>
                <w:sz w:val="21"/>
                <w:szCs w:val="21"/>
              </w:rPr>
            </w:pPr>
            <w:r>
              <w:rPr>
                <w:rFonts w:ascii="宋体" w:hAnsi="宋体" w:eastAsia="宋体" w:cs="宋体"/>
                <w:sz w:val="21"/>
                <w:szCs w:val="21"/>
              </w:rPr>
              <w:t>（</w:t>
            </w:r>
            <w:r>
              <w:rPr>
                <w:rFonts w:hint="eastAsia" w:ascii="宋体" w:hAnsi="宋体" w:eastAsia="宋体" w:cs="宋体"/>
                <w:sz w:val="21"/>
                <w:szCs w:val="21"/>
                <w:lang w:val="en-US" w:eastAsia="zh-CN"/>
              </w:rPr>
              <w:t>3</w:t>
            </w:r>
            <w:r>
              <w:rPr>
                <w:rFonts w:ascii="宋体" w:hAnsi="宋体" w:eastAsia="宋体" w:cs="宋体"/>
                <w:sz w:val="21"/>
                <w:szCs w:val="21"/>
              </w:rPr>
              <w:t>万头）</w:t>
            </w:r>
          </w:p>
        </w:tc>
        <w:tc>
          <w:tcPr>
            <w:tcW w:w="950" w:type="dxa"/>
            <w:vMerge w:val="restart"/>
            <w:tcBorders>
              <w:top w:val="single" w:color="000000" w:sz="4" w:space="0"/>
              <w:left w:val="single" w:color="000000" w:sz="4" w:space="0"/>
              <w:right w:val="single" w:color="000000" w:sz="4" w:space="0"/>
            </w:tcBorders>
            <w:vAlign w:val="center"/>
          </w:tcPr>
          <w:p>
            <w:pPr>
              <w:pStyle w:val="4069"/>
              <w:spacing w:line="240" w:lineRule="auto"/>
              <w:ind w:right="0"/>
              <w:jc w:val="center"/>
              <w:rPr>
                <w:rFonts w:ascii="宋体" w:hAnsi="宋体" w:eastAsia="宋体" w:cs="宋体"/>
                <w:b w:val="0"/>
                <w:bCs w:val="0"/>
                <w:sz w:val="21"/>
                <w:szCs w:val="21"/>
              </w:rPr>
            </w:pPr>
            <w:r>
              <w:rPr>
                <w:rFonts w:hint="eastAsia" w:ascii="宋体" w:hAnsi="宋体" w:eastAsia="宋体" w:cs="宋体"/>
                <w:b w:val="0"/>
                <w:bCs w:val="0"/>
                <w:sz w:val="21"/>
                <w:szCs w:val="21"/>
                <w:lang w:val="en-US" w:eastAsia="zh-CN"/>
              </w:rPr>
              <w:t>150</w:t>
            </w:r>
            <w:r>
              <w:rPr>
                <w:rFonts w:ascii="宋体" w:hAnsi="宋体" w:eastAsia="宋体" w:cs="宋体"/>
                <w:b w:val="0"/>
                <w:bCs w:val="0"/>
                <w:sz w:val="21"/>
                <w:szCs w:val="21"/>
              </w:rPr>
              <w:t>00t</w:t>
            </w: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0" w:lineRule="exact"/>
              <w:ind w:right="0"/>
              <w:jc w:val="center"/>
              <w:rPr>
                <w:rFonts w:ascii="宋体" w:hAnsi="宋体" w:eastAsia="宋体" w:cs="宋体"/>
                <w:b w:val="0"/>
                <w:bCs w:val="0"/>
                <w:sz w:val="21"/>
                <w:szCs w:val="21"/>
              </w:rPr>
            </w:pPr>
            <w:r>
              <w:rPr>
                <w:rFonts w:ascii="宋体" w:hAnsi="宋体" w:eastAsia="宋体" w:cs="宋体"/>
                <w:b w:val="0"/>
                <w:bCs w:val="0"/>
                <w:spacing w:val="-1"/>
                <w:sz w:val="21"/>
                <w:szCs w:val="21"/>
              </w:rPr>
              <w:t>牛肉</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4" w:line="240" w:lineRule="auto"/>
              <w:ind w:right="0"/>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6750</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0" w:lineRule="exact"/>
              <w:ind w:right="661"/>
              <w:jc w:val="center"/>
              <w:rPr>
                <w:rFonts w:ascii="宋体" w:hAnsi="宋体" w:eastAsia="宋体" w:cs="宋体"/>
                <w:sz w:val="21"/>
                <w:szCs w:val="21"/>
              </w:rPr>
            </w:pPr>
            <w:r>
              <w:rPr>
                <w:rFonts w:ascii="宋体" w:hAnsi="宋体" w:eastAsia="宋体" w:cs="宋体"/>
                <w:sz w:val="21"/>
                <w:szCs w:val="21"/>
              </w:rPr>
              <w:t>主产品</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2" w:lineRule="exact"/>
              <w:ind w:right="799"/>
              <w:jc w:val="center"/>
              <w:rPr>
                <w:rFonts w:hint="eastAsia" w:ascii="宋体" w:hAnsi="宋体" w:eastAsia="宋体" w:cs="宋体"/>
                <w:b w:val="0"/>
                <w:bCs w:val="0"/>
                <w:sz w:val="21"/>
                <w:szCs w:val="21"/>
                <w:lang w:eastAsia="zh-CN"/>
              </w:rPr>
            </w:pPr>
            <w:r>
              <w:rPr>
                <w:rFonts w:hint="eastAsia" w:ascii="宋体" w:hAnsi="宋体" w:eastAsia="宋体" w:cs="宋体"/>
                <w:b w:val="0"/>
                <w:bCs w:val="0"/>
                <w:spacing w:val="-1"/>
                <w:sz w:val="21"/>
                <w:szCs w:val="21"/>
                <w:lang w:eastAsia="zh-CN"/>
              </w:rPr>
              <w:t>牛下水</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6" w:line="240" w:lineRule="auto"/>
              <w:ind w:right="719"/>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1695</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2" w:lineRule="exact"/>
              <w:ind w:right="661"/>
              <w:jc w:val="center"/>
              <w:rPr>
                <w:rFonts w:ascii="宋体" w:hAnsi="宋体" w:eastAsia="宋体" w:cs="宋体"/>
                <w:sz w:val="21"/>
                <w:szCs w:val="21"/>
              </w:rPr>
            </w:pPr>
            <w:r>
              <w:rPr>
                <w:rFonts w:ascii="宋体" w:hAnsi="宋体" w:eastAsia="宋体" w:cs="宋体"/>
                <w:sz w:val="21"/>
                <w:szCs w:val="21"/>
              </w:rPr>
              <w:t>副产品</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799"/>
              <w:jc w:val="center"/>
              <w:rPr>
                <w:rFonts w:hint="eastAsia" w:ascii="宋体" w:hAnsi="宋体" w:eastAsia="宋体" w:cs="宋体"/>
                <w:b w:val="0"/>
                <w:bCs w:val="0"/>
                <w:sz w:val="21"/>
                <w:szCs w:val="21"/>
                <w:lang w:eastAsia="zh-CN"/>
              </w:rPr>
            </w:pPr>
            <w:r>
              <w:rPr>
                <w:rFonts w:hint="eastAsia" w:ascii="宋体" w:hAnsi="宋体" w:eastAsia="宋体" w:cs="宋体"/>
                <w:b w:val="0"/>
                <w:bCs w:val="0"/>
                <w:spacing w:val="-1"/>
                <w:sz w:val="21"/>
                <w:szCs w:val="21"/>
                <w:lang w:eastAsia="zh-CN"/>
              </w:rPr>
              <w:t>牛副产品</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5" w:line="240" w:lineRule="auto"/>
              <w:ind w:right="771"/>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450</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661"/>
              <w:jc w:val="center"/>
              <w:rPr>
                <w:rFonts w:ascii="宋体" w:hAnsi="宋体" w:eastAsia="宋体" w:cs="宋体"/>
                <w:sz w:val="21"/>
                <w:szCs w:val="21"/>
              </w:rPr>
            </w:pPr>
            <w:r>
              <w:rPr>
                <w:rFonts w:ascii="宋体" w:hAnsi="宋体" w:eastAsia="宋体" w:cs="宋体"/>
                <w:sz w:val="21"/>
                <w:szCs w:val="21"/>
              </w:rPr>
              <w:t>副产品</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b w:val="0"/>
                <w:bCs w:val="0"/>
                <w:sz w:val="21"/>
                <w:szCs w:val="21"/>
              </w:rPr>
            </w:pPr>
            <w:r>
              <w:rPr>
                <w:rFonts w:ascii="宋体" w:hAnsi="宋体" w:eastAsia="宋体" w:cs="宋体"/>
                <w:b w:val="0"/>
                <w:bCs w:val="0"/>
                <w:spacing w:val="2"/>
                <w:sz w:val="21"/>
                <w:szCs w:val="21"/>
              </w:rPr>
              <w:t>粪</w:t>
            </w:r>
            <w:r>
              <w:rPr>
                <w:rFonts w:ascii="宋体" w:hAnsi="宋体" w:eastAsia="宋体" w:cs="宋体"/>
                <w:b w:val="0"/>
                <w:bCs w:val="0"/>
                <w:sz w:val="21"/>
                <w:szCs w:val="21"/>
              </w:rPr>
              <w:t>便</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5" w:line="240" w:lineRule="auto"/>
              <w:ind w:right="639"/>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520</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sz w:val="21"/>
                <w:szCs w:val="21"/>
              </w:rPr>
              <w:t>有机肥料（外售）</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799"/>
              <w:jc w:val="center"/>
              <w:rPr>
                <w:rFonts w:ascii="宋体" w:hAnsi="宋体" w:eastAsia="宋体" w:cs="宋体"/>
                <w:b w:val="0"/>
                <w:bCs w:val="0"/>
                <w:sz w:val="21"/>
                <w:szCs w:val="21"/>
              </w:rPr>
            </w:pPr>
            <w:r>
              <w:rPr>
                <w:rFonts w:ascii="宋体" w:hAnsi="宋体" w:eastAsia="宋体" w:cs="宋体"/>
                <w:b w:val="0"/>
                <w:bCs w:val="0"/>
                <w:spacing w:val="-1"/>
                <w:sz w:val="21"/>
                <w:szCs w:val="21"/>
              </w:rPr>
              <w:t>尿液</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5" w:line="240" w:lineRule="auto"/>
              <w:ind w:right="1"/>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390</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sz w:val="21"/>
                <w:szCs w:val="21"/>
              </w:rPr>
              <w:t>有机肥料（外售）</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0" w:lineRule="exact"/>
              <w:ind w:right="0"/>
              <w:jc w:val="center"/>
              <w:rPr>
                <w:rFonts w:ascii="宋体" w:hAnsi="宋体" w:eastAsia="宋体" w:cs="宋体"/>
                <w:b w:val="0"/>
                <w:bCs w:val="0"/>
                <w:sz w:val="21"/>
                <w:szCs w:val="21"/>
              </w:rPr>
            </w:pPr>
            <w:r>
              <w:rPr>
                <w:rFonts w:ascii="宋体" w:hAnsi="宋体" w:eastAsia="宋体" w:cs="宋体"/>
                <w:b w:val="0"/>
                <w:bCs w:val="0"/>
                <w:sz w:val="21"/>
                <w:szCs w:val="21"/>
              </w:rPr>
              <w:t>胃肠溶物</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4" w:line="240" w:lineRule="auto"/>
              <w:ind w:right="771"/>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1900</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0" w:lineRule="exact"/>
              <w:ind w:right="0"/>
              <w:jc w:val="center"/>
              <w:rPr>
                <w:rFonts w:ascii="宋体" w:hAnsi="宋体" w:eastAsia="宋体" w:cs="宋体"/>
                <w:sz w:val="21"/>
                <w:szCs w:val="21"/>
              </w:rPr>
            </w:pPr>
            <w:r>
              <w:rPr>
                <w:rFonts w:ascii="宋体" w:hAnsi="宋体" w:eastAsia="宋体" w:cs="宋体"/>
                <w:sz w:val="21"/>
                <w:szCs w:val="21"/>
              </w:rPr>
              <w:t>有机肥料（外售）</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76" w:lineRule="exact"/>
              <w:ind w:right="0"/>
              <w:jc w:val="center"/>
              <w:rPr>
                <w:rFonts w:ascii="宋体" w:hAnsi="宋体" w:eastAsia="宋体" w:cs="宋体"/>
                <w:b w:val="0"/>
                <w:bCs w:val="0"/>
                <w:sz w:val="24"/>
                <w:szCs w:val="24"/>
              </w:rPr>
            </w:pPr>
            <w:r>
              <w:rPr>
                <w:rFonts w:ascii="宋体" w:hAnsi="宋体" w:eastAsia="宋体" w:cs="宋体"/>
                <w:b w:val="0"/>
                <w:bCs w:val="0"/>
                <w:sz w:val="24"/>
                <w:szCs w:val="24"/>
              </w:rPr>
              <w:t>头、蹄、内脏</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4" w:line="240" w:lineRule="auto"/>
              <w:ind w:right="719"/>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3250</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0" w:lineRule="exact"/>
              <w:ind w:right="661"/>
              <w:jc w:val="center"/>
              <w:rPr>
                <w:rFonts w:ascii="宋体" w:hAnsi="宋体" w:eastAsia="宋体" w:cs="宋体"/>
                <w:sz w:val="21"/>
                <w:szCs w:val="21"/>
              </w:rPr>
            </w:pPr>
            <w:r>
              <w:rPr>
                <w:rFonts w:ascii="宋体" w:hAnsi="宋体" w:eastAsia="宋体" w:cs="宋体"/>
                <w:sz w:val="21"/>
                <w:szCs w:val="21"/>
              </w:rPr>
              <w:t>副产品</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right w:val="single" w:color="000000" w:sz="4" w:space="0"/>
            </w:tcBorders>
          </w:tcPr>
          <w:p/>
        </w:tc>
        <w:tc>
          <w:tcPr>
            <w:tcW w:w="950" w:type="dxa"/>
            <w:vMerge w:val="continue"/>
            <w:tcBorders>
              <w:left w:val="single" w:color="000000" w:sz="4" w:space="0"/>
              <w:right w:val="single" w:color="000000" w:sz="4" w:space="0"/>
            </w:tcBorders>
          </w:tcPr>
          <w:p>
            <w:pPr>
              <w:rPr>
                <w:b w:val="0"/>
                <w:bCs w:val="0"/>
              </w:rPr>
            </w:p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2" w:lineRule="exact"/>
              <w:ind w:right="0"/>
              <w:jc w:val="center"/>
              <w:rPr>
                <w:rFonts w:ascii="宋体" w:hAnsi="宋体" w:eastAsia="宋体" w:cs="宋体"/>
                <w:b w:val="0"/>
                <w:bCs w:val="0"/>
                <w:sz w:val="21"/>
                <w:szCs w:val="21"/>
              </w:rPr>
            </w:pPr>
            <w:r>
              <w:rPr>
                <w:rFonts w:ascii="宋体" w:hAnsi="宋体" w:eastAsia="宋体" w:cs="宋体"/>
                <w:b w:val="0"/>
                <w:bCs w:val="0"/>
                <w:sz w:val="21"/>
                <w:szCs w:val="21"/>
              </w:rPr>
              <w:t>不可食用肉</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6" w:line="240" w:lineRule="auto"/>
              <w:ind w:right="771"/>
              <w:jc w:val="center"/>
              <w:rPr>
                <w:rFonts w:hint="default" w:ascii="Times New Roman" w:hAnsi="Times New Roman" w:eastAsia="宋体" w:cs="Times New Roman"/>
                <w:b w:val="0"/>
                <w:bCs w:val="0"/>
                <w:sz w:val="21"/>
                <w:szCs w:val="21"/>
                <w:lang w:val="en-US" w:eastAsia="zh-CN"/>
              </w:rPr>
            </w:pPr>
            <w:r>
              <w:rPr>
                <w:rFonts w:hint="eastAsia" w:ascii="Times New Roman" w:eastAsia="宋体"/>
                <w:b w:val="0"/>
                <w:bCs w:val="0"/>
                <w:sz w:val="21"/>
                <w:lang w:val="en-US" w:eastAsia="zh-CN"/>
              </w:rPr>
              <w:t>161</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2" w:lineRule="exact"/>
              <w:ind w:right="0"/>
              <w:jc w:val="center"/>
              <w:rPr>
                <w:rFonts w:ascii="宋体" w:hAnsi="宋体" w:eastAsia="宋体" w:cs="宋体"/>
                <w:sz w:val="21"/>
                <w:szCs w:val="21"/>
              </w:rPr>
            </w:pPr>
            <w:r>
              <w:rPr>
                <w:rFonts w:ascii="宋体" w:hAnsi="宋体" w:eastAsia="宋体" w:cs="宋体"/>
                <w:sz w:val="21"/>
                <w:szCs w:val="21"/>
              </w:rPr>
              <w:t>无害化处理</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right w:val="single" w:color="000000" w:sz="4" w:space="0"/>
            </w:tcBorders>
          </w:tcPr>
          <w:p/>
        </w:tc>
        <w:tc>
          <w:tcPr>
            <w:tcW w:w="1263" w:type="dxa"/>
            <w:vMerge w:val="continue"/>
            <w:tcBorders>
              <w:left w:val="single" w:color="000000" w:sz="4" w:space="0"/>
              <w:bottom w:val="single" w:color="000000" w:sz="4" w:space="0"/>
              <w:right w:val="single" w:color="000000" w:sz="4" w:space="0"/>
            </w:tcBorders>
          </w:tcPr>
          <w:p/>
        </w:tc>
        <w:tc>
          <w:tcPr>
            <w:tcW w:w="950" w:type="dxa"/>
            <w:vMerge w:val="continue"/>
            <w:tcBorders>
              <w:left w:val="single" w:color="000000" w:sz="4" w:space="0"/>
              <w:bottom w:val="single" w:color="000000" w:sz="4" w:space="0"/>
              <w:right w:val="single" w:color="000000" w:sz="4" w:space="0"/>
            </w:tcBorders>
          </w:tcPr>
          <w:p/>
        </w:tc>
        <w:tc>
          <w:tcPr>
            <w:tcW w:w="2062"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sz w:val="21"/>
                <w:szCs w:val="21"/>
              </w:rPr>
              <w:t>病变及病变部分</w:t>
            </w:r>
          </w:p>
        </w:tc>
        <w:tc>
          <w:tcPr>
            <w:tcW w:w="1800" w:type="dxa"/>
            <w:tcBorders>
              <w:top w:val="single" w:color="000000" w:sz="4" w:space="0"/>
              <w:left w:val="single" w:color="000000" w:sz="4" w:space="0"/>
              <w:bottom w:val="single" w:color="000000" w:sz="4" w:space="0"/>
              <w:right w:val="single" w:color="000000" w:sz="4" w:space="0"/>
            </w:tcBorders>
            <w:vAlign w:val="center"/>
          </w:tcPr>
          <w:p>
            <w:pPr>
              <w:pStyle w:val="4069"/>
              <w:spacing w:before="35" w:line="240" w:lineRule="auto"/>
              <w:ind w:right="771"/>
              <w:jc w:val="center"/>
              <w:rPr>
                <w:rFonts w:hint="default" w:ascii="Times New Roman" w:hAnsi="Times New Roman" w:eastAsia="宋体" w:cs="Times New Roman"/>
                <w:sz w:val="21"/>
                <w:szCs w:val="21"/>
                <w:lang w:val="en-US" w:eastAsia="zh-CN"/>
              </w:rPr>
            </w:pPr>
            <w:r>
              <w:rPr>
                <w:rFonts w:hint="eastAsia" w:ascii="Times New Roman" w:eastAsia="宋体"/>
                <w:sz w:val="21"/>
                <w:lang w:val="en-US" w:eastAsia="zh-CN"/>
              </w:rPr>
              <w:t>45</w:t>
            </w:r>
          </w:p>
        </w:tc>
        <w:tc>
          <w:tcPr>
            <w:tcW w:w="1999" w:type="dxa"/>
            <w:tcBorders>
              <w:top w:val="single" w:color="000000" w:sz="4" w:space="0"/>
              <w:left w:val="single" w:color="000000" w:sz="4" w:space="0"/>
              <w:bottom w:val="single" w:color="000000" w:sz="4" w:space="0"/>
              <w:right w:val="single" w:color="000000" w:sz="4" w:space="0"/>
            </w:tcBorders>
            <w:vAlign w:val="center"/>
          </w:tcPr>
          <w:p>
            <w:pPr>
              <w:pStyle w:val="4069"/>
              <w:spacing w:line="261" w:lineRule="exact"/>
              <w:ind w:right="0"/>
              <w:jc w:val="center"/>
              <w:rPr>
                <w:rFonts w:ascii="宋体" w:hAnsi="宋体" w:eastAsia="宋体" w:cs="宋体"/>
                <w:sz w:val="21"/>
                <w:szCs w:val="21"/>
              </w:rPr>
            </w:pPr>
            <w:r>
              <w:rPr>
                <w:rFonts w:ascii="宋体" w:hAnsi="宋体" w:eastAsia="宋体" w:cs="宋体"/>
                <w:sz w:val="21"/>
                <w:szCs w:val="21"/>
              </w:rPr>
              <w:t>无害化处理</w:t>
            </w:r>
          </w:p>
        </w:tc>
      </w:tr>
      <w:tr>
        <w:tblPrEx>
          <w:tblCellMar>
            <w:top w:w="0" w:type="dxa"/>
            <w:left w:w="0" w:type="dxa"/>
            <w:bottom w:w="0" w:type="dxa"/>
            <w:right w:w="0" w:type="dxa"/>
          </w:tblCellMar>
        </w:tblPrEx>
        <w:trPr>
          <w:trHeight w:val="322" w:hRule="exact"/>
        </w:trPr>
        <w:tc>
          <w:tcPr>
            <w:tcW w:w="1101" w:type="dxa"/>
            <w:vMerge w:val="continue"/>
            <w:tcBorders>
              <w:left w:val="single" w:color="000000" w:sz="4" w:space="0"/>
              <w:bottom w:val="single" w:color="000000" w:sz="4" w:space="0"/>
              <w:right w:val="single" w:color="000000" w:sz="4" w:space="0"/>
            </w:tcBorders>
          </w:tcPr>
          <w:p/>
        </w:tc>
        <w:tc>
          <w:tcPr>
            <w:tcW w:w="1263" w:type="dxa"/>
            <w:tcBorders>
              <w:top w:val="single" w:color="000000" w:sz="4" w:space="0"/>
              <w:left w:val="single" w:color="000000" w:sz="4" w:space="0"/>
              <w:bottom w:val="single" w:color="000000" w:sz="4" w:space="0"/>
              <w:right w:val="single" w:color="000000" w:sz="4" w:space="0"/>
            </w:tcBorders>
          </w:tcPr>
          <w:p>
            <w:pPr>
              <w:pStyle w:val="4069"/>
              <w:spacing w:line="261" w:lineRule="exact"/>
              <w:ind w:left="415" w:right="0"/>
              <w:jc w:val="left"/>
              <w:rPr>
                <w:rFonts w:ascii="宋体" w:hAnsi="宋体" w:eastAsia="宋体" w:cs="宋体"/>
                <w:sz w:val="21"/>
                <w:szCs w:val="21"/>
              </w:rPr>
            </w:pPr>
            <w:r>
              <w:rPr>
                <w:rFonts w:ascii="宋体" w:hAnsi="宋体" w:eastAsia="宋体" w:cs="宋体"/>
                <w:spacing w:val="-1"/>
                <w:sz w:val="21"/>
                <w:szCs w:val="21"/>
              </w:rPr>
              <w:t>总计</w:t>
            </w:r>
          </w:p>
        </w:tc>
        <w:tc>
          <w:tcPr>
            <w:tcW w:w="950" w:type="dxa"/>
            <w:tcBorders>
              <w:top w:val="single" w:color="000000" w:sz="4" w:space="0"/>
              <w:left w:val="single" w:color="000000" w:sz="4" w:space="0"/>
              <w:bottom w:val="single" w:color="000000" w:sz="4" w:space="0"/>
              <w:right w:val="single" w:color="000000" w:sz="4" w:space="0"/>
            </w:tcBorders>
          </w:tcPr>
          <w:p>
            <w:pPr>
              <w:pStyle w:val="4069"/>
              <w:spacing w:before="35" w:line="240" w:lineRule="auto"/>
              <w:ind w:left="261" w:right="0"/>
              <w:jc w:val="left"/>
              <w:rPr>
                <w:rFonts w:ascii="Times New Roman" w:hAnsi="Times New Roman" w:eastAsia="Times New Roman" w:cs="Times New Roman"/>
                <w:sz w:val="21"/>
                <w:szCs w:val="21"/>
              </w:rPr>
            </w:pPr>
            <w:r>
              <w:rPr>
                <w:rFonts w:hint="eastAsia" w:ascii="Times New Roman" w:eastAsia="宋体"/>
                <w:sz w:val="21"/>
                <w:lang w:val="en-US" w:eastAsia="zh-CN"/>
              </w:rPr>
              <w:t>15</w:t>
            </w:r>
            <w:r>
              <w:rPr>
                <w:rFonts w:ascii="Times New Roman"/>
                <w:sz w:val="21"/>
              </w:rPr>
              <w:t>000</w:t>
            </w:r>
          </w:p>
        </w:tc>
        <w:tc>
          <w:tcPr>
            <w:tcW w:w="2062" w:type="dxa"/>
            <w:tcBorders>
              <w:top w:val="single" w:color="000000" w:sz="4" w:space="0"/>
              <w:left w:val="single" w:color="000000" w:sz="4" w:space="0"/>
              <w:bottom w:val="single" w:color="000000" w:sz="4" w:space="0"/>
              <w:right w:val="single" w:color="000000" w:sz="4" w:space="0"/>
            </w:tcBorders>
          </w:tcPr>
          <w:p>
            <w:pPr>
              <w:pStyle w:val="4069"/>
              <w:spacing w:line="261" w:lineRule="exact"/>
              <w:ind w:left="796" w:right="799"/>
              <w:jc w:val="center"/>
              <w:rPr>
                <w:rFonts w:ascii="宋体" w:hAnsi="宋体" w:eastAsia="宋体" w:cs="宋体"/>
                <w:sz w:val="21"/>
                <w:szCs w:val="21"/>
              </w:rPr>
            </w:pPr>
            <w:r>
              <w:rPr>
                <w:rFonts w:ascii="宋体" w:hAnsi="宋体" w:eastAsia="宋体" w:cs="宋体"/>
                <w:spacing w:val="-1"/>
                <w:sz w:val="21"/>
                <w:szCs w:val="21"/>
              </w:rPr>
              <w:t>总计</w:t>
            </w:r>
          </w:p>
        </w:tc>
        <w:tc>
          <w:tcPr>
            <w:tcW w:w="1800" w:type="dxa"/>
            <w:tcBorders>
              <w:top w:val="single" w:color="000000" w:sz="4" w:space="0"/>
              <w:left w:val="single" w:color="000000" w:sz="4" w:space="0"/>
              <w:bottom w:val="single" w:color="000000" w:sz="4" w:space="0"/>
              <w:right w:val="single" w:color="000000" w:sz="4" w:space="0"/>
            </w:tcBorders>
          </w:tcPr>
          <w:p>
            <w:pPr>
              <w:pStyle w:val="4069"/>
              <w:spacing w:before="35" w:line="240" w:lineRule="auto"/>
              <w:ind w:right="639"/>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15000</w:t>
            </w:r>
          </w:p>
        </w:tc>
        <w:tc>
          <w:tcPr>
            <w:tcW w:w="1999" w:type="dxa"/>
            <w:tcBorders>
              <w:top w:val="single" w:color="000000" w:sz="4" w:space="0"/>
              <w:left w:val="single" w:color="000000" w:sz="4" w:space="0"/>
              <w:bottom w:val="single" w:color="000000" w:sz="4" w:space="0"/>
              <w:right w:val="single" w:color="000000" w:sz="4" w:space="0"/>
            </w:tcBorders>
          </w:tcPr>
          <w:p>
            <w:pPr>
              <w:pStyle w:val="4069"/>
              <w:spacing w:before="35" w:line="240" w:lineRule="auto"/>
              <w:ind w:right="2"/>
              <w:jc w:val="center"/>
              <w:rPr>
                <w:rFonts w:ascii="Times New Roman" w:hAnsi="Times New Roman" w:eastAsia="Times New Roman" w:cs="Times New Roman"/>
                <w:sz w:val="21"/>
                <w:szCs w:val="21"/>
              </w:rPr>
            </w:pPr>
            <w:r>
              <w:rPr>
                <w:rFonts w:ascii="Times New Roman"/>
                <w:sz w:val="21"/>
              </w:rPr>
              <w:t>/</w:t>
            </w:r>
          </w:p>
        </w:tc>
      </w:tr>
    </w:tbl>
    <w:p/>
    <w:bookmarkEnd w:id="133"/>
    <w:bookmarkEnd w:id="134"/>
    <w:p>
      <w:pPr>
        <w:pStyle w:val="7"/>
        <w:ind w:left="0" w:firstLine="0"/>
        <w:rPr>
          <w:rFonts w:hint="eastAsia"/>
          <w:lang w:eastAsia="zh-CN"/>
        </w:rPr>
      </w:pPr>
      <w:bookmarkStart w:id="152" w:name="_Toc248308556"/>
      <w:bookmarkStart w:id="153" w:name="_Toc16032"/>
      <w:r>
        <w:rPr>
          <w:rFonts w:hint="eastAsia"/>
          <w:lang w:eastAsia="zh-CN"/>
        </w:rPr>
        <w:t>污染源分析</w:t>
      </w:r>
      <w:bookmarkEnd w:id="152"/>
      <w:bookmarkEnd w:id="153"/>
    </w:p>
    <w:p>
      <w:pPr>
        <w:pStyle w:val="1659"/>
        <w:rPr>
          <w:rFonts w:hint="eastAsia" w:eastAsia="宋体"/>
          <w:lang w:eastAsia="zh-CN"/>
        </w:rPr>
      </w:pPr>
      <w:r>
        <w:rPr>
          <w:rFonts w:hint="eastAsia"/>
          <w:lang w:eastAsia="zh-CN"/>
        </w:rPr>
        <w:t>（</w:t>
      </w:r>
      <w:r>
        <w:rPr>
          <w:rFonts w:hint="eastAsia"/>
          <w:lang w:val="en-US" w:eastAsia="zh-CN"/>
        </w:rPr>
        <w:t>1</w:t>
      </w:r>
      <w:r>
        <w:rPr>
          <w:rFonts w:hint="eastAsia"/>
          <w:lang w:eastAsia="zh-CN"/>
        </w:rPr>
        <w:t>）废水</w:t>
      </w:r>
    </w:p>
    <w:p>
      <w:pPr>
        <w:pStyle w:val="1659"/>
      </w:pPr>
      <w:r>
        <w:t>本项目产生的废水主要有肉牛屠宰废水、车辆清洗废水</w:t>
      </w:r>
      <w:r>
        <w:rPr>
          <w:rFonts w:hint="eastAsia"/>
          <w:lang w:eastAsia="zh-CN"/>
        </w:rPr>
        <w:t>、</w:t>
      </w:r>
      <w:r>
        <w:t>职工生活污水、食堂废水。</w:t>
      </w:r>
    </w:p>
    <w:p>
      <w:pPr>
        <w:pStyle w:val="1659"/>
      </w:pPr>
      <w:r>
        <w:t>①屠宰场废水</w:t>
      </w:r>
    </w:p>
    <w:p>
      <w:pPr>
        <w:pStyle w:val="1659"/>
      </w:pPr>
      <w:r>
        <w:t>根据前文项目排水量统计表可知，项目肉牛屠宰废水</w:t>
      </w:r>
      <w:r>
        <w:rPr>
          <w:rFonts w:hint="eastAsia"/>
          <w:lang w:val="en-US" w:eastAsia="zh-CN"/>
        </w:rPr>
        <w:t>为33.32m</w:t>
      </w:r>
      <w:r>
        <w:rPr>
          <w:vertAlign w:val="superscript"/>
        </w:rPr>
        <w:t>3</w:t>
      </w:r>
      <w:r>
        <w:t>/d（</w:t>
      </w:r>
      <w:r>
        <w:rPr>
          <w:rFonts w:hint="eastAsia"/>
          <w:lang w:val="en-US" w:eastAsia="zh-CN"/>
        </w:rPr>
        <w:t>11995.2</w:t>
      </w:r>
      <w:r>
        <w:t>m</w:t>
      </w:r>
      <w:r>
        <w:rPr>
          <w:vertAlign w:val="superscript"/>
        </w:rPr>
        <w:t>3</w:t>
      </w:r>
      <w:r>
        <w:t>/a)，废水中主要含有油脂、血污、碎肉、残留肠胃内容物及禽畜毛等，依据《屠宰与肉类加工废水治理工程技术规范》（HJ2004-2010），本项目屠宰废水中主要污染物浓度约为COD：1800mg/L，BOD5 ：900mg/L，SS：1000mg/L，氨氮：100mg/L，动植物油类：110mg/L。</w:t>
      </w:r>
    </w:p>
    <w:p>
      <w:pPr>
        <w:pStyle w:val="1659"/>
      </w:pPr>
      <w:r>
        <w:t>②车辆清洗废水</w:t>
      </w:r>
    </w:p>
    <w:p>
      <w:pPr>
        <w:pStyle w:val="1659"/>
      </w:pPr>
      <w:r>
        <w:t>根据前文项目排水量统计表可知，屠宰场车辆清洗废水排放量为2.4m</w:t>
      </w:r>
      <w:r>
        <w:rPr>
          <w:vertAlign w:val="superscript"/>
        </w:rPr>
        <w:t>3</w:t>
      </w:r>
      <w:r>
        <w:t>/d（864m</w:t>
      </w:r>
      <w:r>
        <w:rPr>
          <w:vertAlign w:val="superscript"/>
        </w:rPr>
        <w:t>3</w:t>
      </w:r>
      <w:r>
        <w:t>/a），废水中主要含有肠胃内容物、肉沫、残余血液、粪便等，经估算，废水中污染物浓度分别为COD：500mg/L，BOD</w:t>
      </w:r>
      <w:r>
        <w:rPr>
          <w:vertAlign w:val="subscript"/>
        </w:rPr>
        <w:t>5</w:t>
      </w:r>
      <w:r>
        <w:t>：300mg/L，SS：400mg/L，氨氮：40mg/L，动植物油类：50mg/L。</w:t>
      </w:r>
    </w:p>
    <w:p>
      <w:pPr>
        <w:pStyle w:val="1659"/>
      </w:pPr>
      <w:r>
        <w:t>③职工生活污水</w:t>
      </w:r>
    </w:p>
    <w:p>
      <w:pPr>
        <w:pStyle w:val="1659"/>
      </w:pPr>
      <w:r>
        <w:t>根据前文项目排水量统计表可知，项目职工生活污水产生量为</w:t>
      </w:r>
      <w:r>
        <w:rPr>
          <w:rFonts w:hint="eastAsia"/>
          <w:lang w:val="en-US" w:eastAsia="zh-CN"/>
        </w:rPr>
        <w:t>5.57</w:t>
      </w:r>
      <w:r>
        <w:t>m</w:t>
      </w:r>
      <w:r>
        <w:rPr>
          <w:vertAlign w:val="superscript"/>
        </w:rPr>
        <w:t>3</w:t>
      </w:r>
      <w:r>
        <w:t>/d（</w:t>
      </w:r>
      <w:r>
        <w:rPr>
          <w:rFonts w:hint="eastAsia"/>
          <w:lang w:val="en-US" w:eastAsia="zh-CN"/>
        </w:rPr>
        <w:t>2005.2</w:t>
      </w:r>
      <w:r>
        <w:t>m</w:t>
      </w:r>
      <w:r>
        <w:rPr>
          <w:vertAlign w:val="superscript"/>
        </w:rPr>
        <w:t>3</w:t>
      </w:r>
      <w:r>
        <w:t>/a），项目生活污水水质类比一般生活污水水质，项目生活污水水质为COD：300mg/L，BOD</w:t>
      </w:r>
      <w:r>
        <w:rPr>
          <w:vertAlign w:val="subscript"/>
        </w:rPr>
        <w:t>5</w:t>
      </w:r>
      <w:r>
        <w:t>：180mg/L，SS：200mg/L，氨氮：30mg/L，动植物油30mg/L。</w:t>
      </w:r>
    </w:p>
    <w:p>
      <w:pPr>
        <w:pStyle w:val="1659"/>
      </w:pPr>
      <w:r>
        <w:t>④食堂废水</w:t>
      </w:r>
    </w:p>
    <w:p>
      <w:pPr>
        <w:pStyle w:val="1659"/>
      </w:pPr>
      <w:r>
        <w:t>根据前文项目排水量统计表可知，食堂废水量为</w:t>
      </w:r>
      <w:r>
        <w:rPr>
          <w:rFonts w:hint="eastAsia"/>
          <w:lang w:val="en-US" w:eastAsia="zh-CN"/>
        </w:rPr>
        <w:t>2.78</w:t>
      </w:r>
      <w:r>
        <w:t>m³/d（</w:t>
      </w:r>
      <w:r>
        <w:rPr>
          <w:rFonts w:hint="eastAsia"/>
          <w:lang w:val="en-US" w:eastAsia="zh-CN"/>
        </w:rPr>
        <w:t>1000.8</w:t>
      </w:r>
      <w:r>
        <w:t>m3/a）。主要污染物浓度为COD500mg/L，BOD</w:t>
      </w:r>
      <w:r>
        <w:rPr>
          <w:vertAlign w:val="subscript"/>
        </w:rPr>
        <w:t>5</w:t>
      </w:r>
      <w:r>
        <w:t>350mg/L，SS 400mg/L，NH</w:t>
      </w:r>
      <w:r>
        <w:rPr>
          <w:vertAlign w:val="subscript"/>
        </w:rPr>
        <w:t>3</w:t>
      </w:r>
      <w:r>
        <w:t>-N35mg/L，动植物油100mg/L。</w:t>
      </w:r>
    </w:p>
    <w:p>
      <w:pPr>
        <w:pStyle w:val="1659"/>
      </w:pPr>
      <w:r>
        <w:t>综上，项目厂区综合废水产生量为</w:t>
      </w:r>
      <w:r>
        <w:rPr>
          <w:rFonts w:hint="eastAsia"/>
          <w:lang w:val="en-US" w:eastAsia="zh-CN"/>
        </w:rPr>
        <w:t>44.07</w:t>
      </w:r>
      <w:r>
        <w:t>m</w:t>
      </w:r>
      <w:r>
        <w:rPr>
          <w:vertAlign w:val="superscript"/>
        </w:rPr>
        <w:t>3</w:t>
      </w:r>
      <w:r>
        <w:t>/d(</w:t>
      </w:r>
      <w:r>
        <w:rPr>
          <w:rFonts w:hint="eastAsia"/>
          <w:lang w:val="en-US" w:eastAsia="zh-CN"/>
        </w:rPr>
        <w:t>15865.2</w:t>
      </w:r>
      <w:r>
        <w:t>m</w:t>
      </w:r>
      <w:r>
        <w:rPr>
          <w:vertAlign w:val="superscript"/>
        </w:rPr>
        <w:t>3</w:t>
      </w:r>
      <w:r>
        <w:t>/a)，污染物浓度为COD：</w:t>
      </w:r>
      <w:r>
        <w:rPr>
          <w:rFonts w:hint="eastAsia"/>
          <w:lang w:val="en-US" w:eastAsia="zh-CN"/>
        </w:rPr>
        <w:t>1458</w:t>
      </w:r>
      <w:r>
        <w:t>mg/L，BOD</w:t>
      </w:r>
      <w:r>
        <w:rPr>
          <w:vertAlign w:val="subscript"/>
        </w:rPr>
        <w:t>5</w:t>
      </w:r>
      <w:r>
        <w:t>：</w:t>
      </w:r>
      <w:r>
        <w:rPr>
          <w:rFonts w:hint="eastAsia"/>
          <w:lang w:val="en-US" w:eastAsia="zh-CN"/>
        </w:rPr>
        <w:t>742</w:t>
      </w:r>
      <w:r>
        <w:t>mg/L，SS：</w:t>
      </w:r>
      <w:r>
        <w:rPr>
          <w:rFonts w:hint="eastAsia"/>
          <w:lang w:val="en-US" w:eastAsia="zh-CN"/>
        </w:rPr>
        <w:t>828</w:t>
      </w:r>
      <w:r>
        <w:t>mg/L，氨氮：</w:t>
      </w:r>
      <w:r>
        <w:rPr>
          <w:rFonts w:hint="eastAsia"/>
          <w:lang w:val="en-US" w:eastAsia="zh-CN"/>
        </w:rPr>
        <w:t>84</w:t>
      </w:r>
      <w:r>
        <w:t>mg/L，动植物油</w:t>
      </w:r>
      <w:r>
        <w:rPr>
          <w:rFonts w:hint="eastAsia"/>
          <w:lang w:val="en-US" w:eastAsia="zh-CN"/>
        </w:rPr>
        <w:t>90</w:t>
      </w:r>
      <w:r>
        <w:t>mg/L。经污水处理站处理后达标</w:t>
      </w:r>
      <w:r>
        <w:rPr>
          <w:rFonts w:hint="eastAsia"/>
          <w:lang w:eastAsia="zh-CN"/>
        </w:rPr>
        <w:t>（</w:t>
      </w:r>
      <w:r>
        <w:t>COD：</w:t>
      </w:r>
      <w:r>
        <w:rPr>
          <w:rFonts w:hint="eastAsia"/>
          <w:lang w:val="en-US" w:eastAsia="zh-CN"/>
        </w:rPr>
        <w:t>50</w:t>
      </w:r>
      <w:r>
        <w:t>mg/L，BOD</w:t>
      </w:r>
      <w:r>
        <w:rPr>
          <w:vertAlign w:val="subscript"/>
        </w:rPr>
        <w:t>5</w:t>
      </w:r>
      <w:r>
        <w:t>：</w:t>
      </w:r>
      <w:r>
        <w:rPr>
          <w:rFonts w:hint="eastAsia"/>
          <w:lang w:val="en-US" w:eastAsia="zh-CN"/>
        </w:rPr>
        <w:t>18</w:t>
      </w:r>
      <w:r>
        <w:t>mg/L，SS：</w:t>
      </w:r>
      <w:r>
        <w:rPr>
          <w:rFonts w:hint="eastAsia"/>
          <w:lang w:val="en-US" w:eastAsia="zh-CN"/>
        </w:rPr>
        <w:t>20</w:t>
      </w:r>
      <w:r>
        <w:t>mg/L，氨氮：</w:t>
      </w:r>
      <w:r>
        <w:rPr>
          <w:rFonts w:hint="eastAsia"/>
          <w:lang w:val="en-US" w:eastAsia="zh-CN"/>
        </w:rPr>
        <w:t>10</w:t>
      </w:r>
      <w:r>
        <w:t>mg/L，动植物油</w:t>
      </w:r>
      <w:r>
        <w:rPr>
          <w:rFonts w:hint="eastAsia"/>
          <w:lang w:val="en-US" w:eastAsia="zh-CN"/>
        </w:rPr>
        <w:t>10</w:t>
      </w:r>
      <w:r>
        <w:t>mg/L</w:t>
      </w:r>
      <w:r>
        <w:rPr>
          <w:rFonts w:hint="eastAsia"/>
          <w:lang w:eastAsia="zh-CN"/>
        </w:rPr>
        <w:t>）</w:t>
      </w:r>
      <w:r>
        <w:t>排放量为</w:t>
      </w:r>
      <w:r>
        <w:rPr>
          <w:rFonts w:hint="eastAsia"/>
          <w:lang w:val="en-US" w:eastAsia="zh-CN"/>
        </w:rPr>
        <w:t>44.07</w:t>
      </w:r>
      <w:r>
        <w:t>m</w:t>
      </w:r>
      <w:r>
        <w:rPr>
          <w:vertAlign w:val="superscript"/>
        </w:rPr>
        <w:t>3</w:t>
      </w:r>
      <w:r>
        <w:t>/d(</w:t>
      </w:r>
      <w:r>
        <w:rPr>
          <w:rFonts w:hint="eastAsia"/>
          <w:lang w:val="en-US" w:eastAsia="zh-CN"/>
        </w:rPr>
        <w:t>15865.2</w:t>
      </w:r>
      <w:r>
        <w:t>m</w:t>
      </w:r>
      <w:r>
        <w:rPr>
          <w:vertAlign w:val="superscript"/>
        </w:rPr>
        <w:t>3</w:t>
      </w:r>
      <w:r>
        <w:t>/a)</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3-5</w:t>
      </w:r>
      <w:r>
        <w:rPr>
          <w:b/>
          <w:sz w:val="24"/>
        </w:rPr>
        <w:t xml:space="preserve"> </w:t>
      </w:r>
      <w:r>
        <w:rPr>
          <w:rFonts w:hint="eastAsia"/>
          <w:b/>
          <w:sz w:val="24"/>
          <w:lang w:val="en-US" w:eastAsia="zh-CN"/>
        </w:rPr>
        <w:t xml:space="preserve">  废水产排情况明细</w:t>
      </w:r>
      <w:r>
        <w:rPr>
          <w:rFonts w:hint="eastAsia"/>
          <w:b/>
          <w:sz w:val="24"/>
          <w:lang w:eastAsia="zh-CN"/>
        </w:rPr>
        <w:t>表</w:t>
      </w:r>
    </w:p>
    <w:tbl>
      <w:tblPr>
        <w:tblStyle w:val="88"/>
        <w:tblW w:w="5000"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fixed"/>
        <w:tblCellMar>
          <w:top w:w="0" w:type="dxa"/>
          <w:left w:w="0" w:type="dxa"/>
          <w:bottom w:w="0" w:type="dxa"/>
          <w:right w:w="0" w:type="dxa"/>
        </w:tblCellMar>
      </w:tblPr>
      <w:tblGrid>
        <w:gridCol w:w="771"/>
        <w:gridCol w:w="663"/>
        <w:gridCol w:w="596"/>
        <w:gridCol w:w="677"/>
        <w:gridCol w:w="677"/>
        <w:gridCol w:w="758"/>
        <w:gridCol w:w="677"/>
        <w:gridCol w:w="677"/>
        <w:gridCol w:w="840"/>
        <w:gridCol w:w="759"/>
        <w:gridCol w:w="124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510" w:hRule="atLeast"/>
        </w:trPr>
        <w:tc>
          <w:tcPr>
            <w:tcW w:w="4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废水</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类型</w:t>
            </w:r>
          </w:p>
        </w:tc>
        <w:tc>
          <w:tcPr>
            <w:tcW w:w="754"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废水量</w:t>
            </w:r>
          </w:p>
        </w:tc>
        <w:tc>
          <w:tcPr>
            <w:tcW w:w="40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因子</w:t>
            </w:r>
          </w:p>
        </w:tc>
        <w:tc>
          <w:tcPr>
            <w:tcW w:w="4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污染物产生浓度</w:t>
            </w:r>
          </w:p>
        </w:tc>
        <w:tc>
          <w:tcPr>
            <w:tcW w:w="860"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污染物产生量</w:t>
            </w:r>
          </w:p>
        </w:tc>
        <w:tc>
          <w:tcPr>
            <w:tcW w:w="4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污染物排放浓度</w:t>
            </w:r>
          </w:p>
        </w:tc>
        <w:tc>
          <w:tcPr>
            <w:tcW w:w="95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污染物排放量</w:t>
            </w:r>
          </w:p>
        </w:tc>
        <w:tc>
          <w:tcPr>
            <w:tcW w:w="746"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年削减量（t/a）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t/d</w:t>
            </w:r>
          </w:p>
        </w:tc>
        <w:tc>
          <w:tcPr>
            <w:tcW w:w="3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t/a</w:t>
            </w:r>
          </w:p>
        </w:tc>
        <w:tc>
          <w:tcPr>
            <w:tcW w:w="40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（mg</w:t>
            </w:r>
            <w:r>
              <w:rPr>
                <w:rFonts w:hint="default" w:ascii="宋体" w:hAnsi="宋体" w:eastAsia="宋体" w:cs="宋体"/>
                <w:b w:val="0"/>
                <w:bCs/>
                <w:i w:val="0"/>
                <w:color w:val="000000"/>
                <w:kern w:val="0"/>
                <w:sz w:val="21"/>
                <w:szCs w:val="21"/>
                <w:u w:val="none"/>
                <w:lang w:val="en-US" w:eastAsia="zh-CN" w:bidi="ar"/>
              </w:rPr>
              <w:t>/L</w:t>
            </w:r>
            <w:r>
              <w:rPr>
                <w:rFonts w:hint="eastAsia" w:ascii="宋体" w:hAnsi="宋体" w:eastAsia="宋体" w:cs="宋体"/>
                <w:b w:val="0"/>
                <w:bCs/>
                <w:i w:val="0"/>
                <w:color w:val="000000"/>
                <w:kern w:val="0"/>
                <w:sz w:val="21"/>
                <w:szCs w:val="21"/>
                <w:u w:val="none"/>
                <w:lang w:val="en-US" w:eastAsia="zh-CN" w:bidi="ar"/>
              </w:rPr>
              <w:t>）</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(t/d)</w:t>
            </w:r>
          </w:p>
        </w:tc>
        <w:tc>
          <w:tcPr>
            <w:tcW w:w="4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（t/a）</w:t>
            </w:r>
          </w:p>
        </w:tc>
        <w:tc>
          <w:tcPr>
            <w:tcW w:w="40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（mg</w:t>
            </w:r>
            <w:r>
              <w:rPr>
                <w:rFonts w:hint="default" w:ascii="宋体" w:hAnsi="宋体" w:eastAsia="宋体" w:cs="宋体"/>
                <w:b w:val="0"/>
                <w:bCs/>
                <w:i w:val="0"/>
                <w:color w:val="000000"/>
                <w:kern w:val="0"/>
                <w:sz w:val="21"/>
                <w:szCs w:val="21"/>
                <w:u w:val="none"/>
                <w:lang w:val="en-US" w:eastAsia="zh-CN" w:bidi="ar"/>
              </w:rPr>
              <w:t>/L</w:t>
            </w:r>
            <w:r>
              <w:rPr>
                <w:rFonts w:hint="eastAsia" w:ascii="宋体" w:hAnsi="宋体" w:eastAsia="宋体" w:cs="宋体"/>
                <w:b w:val="0"/>
                <w:bCs/>
                <w:i w:val="0"/>
                <w:color w:val="000000"/>
                <w:kern w:val="0"/>
                <w:sz w:val="21"/>
                <w:szCs w:val="21"/>
                <w:u w:val="none"/>
                <w:lang w:val="en-US" w:eastAsia="zh-CN" w:bidi="ar"/>
              </w:rPr>
              <w:t>）</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(t/d)</w:t>
            </w:r>
          </w:p>
        </w:tc>
        <w:tc>
          <w:tcPr>
            <w:tcW w:w="45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（t/a）</w:t>
            </w:r>
          </w:p>
        </w:tc>
        <w:tc>
          <w:tcPr>
            <w:tcW w:w="746"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屠宰</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废水</w:t>
            </w:r>
          </w:p>
        </w:tc>
        <w:tc>
          <w:tcPr>
            <w:tcW w:w="39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33.32</w:t>
            </w:r>
          </w:p>
        </w:tc>
        <w:tc>
          <w:tcPr>
            <w:tcW w:w="35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11995.2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COD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1800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0.059976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21.59136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0.001666</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0.59976</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20.9916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BOD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900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0.029988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10.79568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18</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0.00059976</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0.2159136</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10.5797664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SS</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0.03332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11.9952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0.0006664</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0.239904</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11.755296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NH3-N</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0.003332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1.19952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0.0003332</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0.119952</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1.079568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动植物油</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110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0.0036652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1.319472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0.0003332</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0.119952</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1.19952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25" w:hRule="atLeast"/>
        </w:trPr>
        <w:tc>
          <w:tcPr>
            <w:tcW w:w="46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车辆</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清洗</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废水</w:t>
            </w:r>
          </w:p>
        </w:tc>
        <w:tc>
          <w:tcPr>
            <w:tcW w:w="39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r>
              <w:rPr>
                <w:rFonts w:hint="default" w:ascii="宋体" w:hAnsi="宋体" w:eastAsia="宋体" w:cs="宋体"/>
                <w:b w:val="0"/>
                <w:bCs/>
                <w:i w:val="0"/>
                <w:color w:val="000000"/>
                <w:kern w:val="0"/>
                <w:sz w:val="21"/>
                <w:szCs w:val="21"/>
                <w:u w:val="none"/>
                <w:lang w:val="en-US" w:eastAsia="zh-CN" w:bidi="ar"/>
              </w:rPr>
              <w:t>2.4</w:t>
            </w:r>
          </w:p>
        </w:tc>
        <w:tc>
          <w:tcPr>
            <w:tcW w:w="35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r>
              <w:rPr>
                <w:rFonts w:hint="default" w:ascii="宋体" w:hAnsi="宋体" w:eastAsia="宋体" w:cs="宋体"/>
                <w:b w:val="0"/>
                <w:bCs/>
                <w:i w:val="0"/>
                <w:color w:val="000000"/>
                <w:kern w:val="0"/>
                <w:sz w:val="21"/>
                <w:szCs w:val="21"/>
                <w:u w:val="none"/>
                <w:lang w:val="en-US" w:eastAsia="zh-CN" w:bidi="ar"/>
              </w:rPr>
              <w:t>864</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COD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0.432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0.00012</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0.0432</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0.3888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BOD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0.00072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0.2592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18</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0.0000432</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0.015552</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0.243648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SS</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400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0.00096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0.3456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0.000048</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0.01728</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0.32832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NH3-N</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40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0.000096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0.03456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0.000024</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0.00864</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0.02592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动植物油</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0.0432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0.000024</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0.00864</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0.03456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46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职工</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生活</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污水</w:t>
            </w:r>
          </w:p>
        </w:tc>
        <w:tc>
          <w:tcPr>
            <w:tcW w:w="39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5.57</w:t>
            </w:r>
          </w:p>
        </w:tc>
        <w:tc>
          <w:tcPr>
            <w:tcW w:w="35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2005.2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COD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0.001671</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0.60156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0.0002785</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0.10026</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0.5013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BOD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180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0.0010026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0.360936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18</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0.00010026</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0.0360936</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0.3248424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SS</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0.001114</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0.40104</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0.0001114</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0.040104</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0.360936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NH3-N</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0.0001671</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0.060156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0.0000557</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0.020052</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0.040104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动植物油</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0.0001671</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0.060156</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0.0000557</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0.020052</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0.040104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食堂</w:t>
            </w:r>
          </w:p>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废水</w:t>
            </w:r>
          </w:p>
        </w:tc>
        <w:tc>
          <w:tcPr>
            <w:tcW w:w="39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2.78</w:t>
            </w:r>
          </w:p>
        </w:tc>
        <w:tc>
          <w:tcPr>
            <w:tcW w:w="35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1000.8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COD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0.00139</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0.5004</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50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0.000139</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0.05004</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0.45036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BOD</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350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0.000973</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0.35028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18</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0.00005004</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0.0180144</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0.3322656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SS</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400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0.001112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0.40032</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20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0.0000556</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0.020016</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0.380304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NH3-N</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35</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0.0000973</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0.035028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0.0000278</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0.010008</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0.02502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46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35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动植物油</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0.0000278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0.010008</w:t>
            </w:r>
          </w:p>
        </w:tc>
        <w:tc>
          <w:tcPr>
            <w:tcW w:w="4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10</w:t>
            </w:r>
          </w:p>
        </w:tc>
        <w:tc>
          <w:tcPr>
            <w:tcW w:w="50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0.0000278</w:t>
            </w:r>
          </w:p>
        </w:tc>
        <w:tc>
          <w:tcPr>
            <w:tcW w:w="45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0.010008</w:t>
            </w:r>
          </w:p>
        </w:tc>
        <w:tc>
          <w:tcPr>
            <w:tcW w:w="74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val="0"/>
                <w:bCs/>
                <w:i w:val="0"/>
                <w:color w:val="000000"/>
                <w:kern w:val="0"/>
                <w:sz w:val="21"/>
                <w:szCs w:val="21"/>
                <w:u w:val="none"/>
                <w:lang w:val="en-US" w:eastAsia="zh-CN" w:bidi="ar"/>
              </w:rPr>
              <w:t>0</w:t>
            </w:r>
          </w:p>
        </w:tc>
      </w:tr>
    </w:tbl>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3-6</w:t>
      </w:r>
      <w:r>
        <w:rPr>
          <w:b/>
          <w:sz w:val="24"/>
        </w:rPr>
        <w:t xml:space="preserve"> </w:t>
      </w:r>
      <w:r>
        <w:rPr>
          <w:rFonts w:hint="eastAsia"/>
          <w:b/>
          <w:sz w:val="24"/>
          <w:lang w:val="en-US" w:eastAsia="zh-CN"/>
        </w:rPr>
        <w:t xml:space="preserve">  废水产排情况汇总</w:t>
      </w:r>
      <w:r>
        <w:rPr>
          <w:rFonts w:hint="eastAsia"/>
          <w:b/>
          <w:sz w:val="24"/>
          <w:lang w:eastAsia="zh-CN"/>
        </w:rPr>
        <w:t>表</w:t>
      </w:r>
    </w:p>
    <w:tbl>
      <w:tblPr>
        <w:tblStyle w:val="88"/>
        <w:tblW w:w="4999"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Layout w:type="autofit"/>
        <w:tblCellMar>
          <w:top w:w="0" w:type="dxa"/>
          <w:left w:w="0" w:type="dxa"/>
          <w:bottom w:w="0" w:type="dxa"/>
          <w:right w:w="0" w:type="dxa"/>
        </w:tblCellMar>
      </w:tblPr>
      <w:tblGrid>
        <w:gridCol w:w="1540"/>
        <w:gridCol w:w="2588"/>
        <w:gridCol w:w="2438"/>
        <w:gridCol w:w="17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auto"/>
          <w:tblCellMar>
            <w:top w:w="0" w:type="dxa"/>
            <w:left w:w="0" w:type="dxa"/>
            <w:bottom w:w="0" w:type="dxa"/>
            <w:right w:w="0" w:type="dxa"/>
          </w:tblCellMar>
        </w:tblPrEx>
        <w:trPr>
          <w:trHeight w:val="285" w:hRule="atLeast"/>
        </w:trPr>
        <w:tc>
          <w:tcPr>
            <w:tcW w:w="923" w:type="pct"/>
            <w:tcBorders>
              <w:tl2br w:val="nil"/>
              <w:tr2bl w:val="nil"/>
            </w:tcBorders>
            <w:shd w:val="clear" w:color="auto" w:fill="auto"/>
            <w:noWrap/>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产生量t/a</w:t>
            </w:r>
          </w:p>
        </w:tc>
        <w:tc>
          <w:tcPr>
            <w:tcW w:w="14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排放量t/a</w:t>
            </w:r>
          </w:p>
        </w:tc>
        <w:tc>
          <w:tcPr>
            <w:tcW w:w="10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削减量t/a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9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COD</w:t>
            </w:r>
          </w:p>
        </w:tc>
        <w:tc>
          <w:tcPr>
            <w:tcW w:w="1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23.13</w:t>
            </w:r>
          </w:p>
        </w:tc>
        <w:tc>
          <w:tcPr>
            <w:tcW w:w="14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0.79</w:t>
            </w:r>
          </w:p>
        </w:tc>
        <w:tc>
          <w:tcPr>
            <w:tcW w:w="10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22.33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9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BOD</w:t>
            </w:r>
          </w:p>
        </w:tc>
        <w:tc>
          <w:tcPr>
            <w:tcW w:w="1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11.77</w:t>
            </w:r>
          </w:p>
        </w:tc>
        <w:tc>
          <w:tcPr>
            <w:tcW w:w="14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0.29</w:t>
            </w:r>
          </w:p>
        </w:tc>
        <w:tc>
          <w:tcPr>
            <w:tcW w:w="10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11.48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9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SS</w:t>
            </w:r>
          </w:p>
        </w:tc>
        <w:tc>
          <w:tcPr>
            <w:tcW w:w="1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13.14</w:t>
            </w:r>
          </w:p>
        </w:tc>
        <w:tc>
          <w:tcPr>
            <w:tcW w:w="14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0.32</w:t>
            </w:r>
          </w:p>
        </w:tc>
        <w:tc>
          <w:tcPr>
            <w:tcW w:w="10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9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NH3-N</w:t>
            </w:r>
          </w:p>
        </w:tc>
        <w:tc>
          <w:tcPr>
            <w:tcW w:w="1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1.33</w:t>
            </w:r>
          </w:p>
        </w:tc>
        <w:tc>
          <w:tcPr>
            <w:tcW w:w="14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0.16</w:t>
            </w:r>
          </w:p>
        </w:tc>
        <w:tc>
          <w:tcPr>
            <w:tcW w:w="10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92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动植物油</w:t>
            </w:r>
          </w:p>
        </w:tc>
        <w:tc>
          <w:tcPr>
            <w:tcW w:w="15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1.43</w:t>
            </w:r>
          </w:p>
        </w:tc>
        <w:tc>
          <w:tcPr>
            <w:tcW w:w="146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0.16</w:t>
            </w:r>
          </w:p>
        </w:tc>
        <w:tc>
          <w:tcPr>
            <w:tcW w:w="10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1.27</w:t>
            </w:r>
          </w:p>
        </w:tc>
      </w:tr>
    </w:tbl>
    <w:p>
      <w:pPr>
        <w:pStyle w:val="1659"/>
      </w:pPr>
    </w:p>
    <w:p>
      <w:pPr>
        <w:pStyle w:val="1659"/>
      </w:pPr>
    </w:p>
    <w:p>
      <w:pPr>
        <w:pStyle w:val="1659"/>
      </w:pPr>
    </w:p>
    <w:p>
      <w:pPr>
        <w:pStyle w:val="6"/>
      </w:pPr>
      <w:bookmarkStart w:id="154" w:name="_Toc248308558"/>
      <w:bookmarkStart w:id="155" w:name="_Toc17629"/>
      <w:r>
        <w:t>废气污染源分析</w:t>
      </w:r>
      <w:bookmarkEnd w:id="154"/>
      <w:bookmarkEnd w:id="155"/>
    </w:p>
    <w:p>
      <w:pPr>
        <w:pStyle w:val="1659"/>
        <w:rPr>
          <w:rFonts w:hint="eastAsia"/>
          <w:lang w:eastAsia="zh-CN"/>
        </w:rPr>
      </w:pPr>
      <w:r>
        <w:rPr>
          <w:rFonts w:hint="eastAsia"/>
          <w:lang w:eastAsia="zh-CN"/>
        </w:rPr>
        <w:t>本项目废气主要为锅炉烟气，恶臭气体、餐饮油烟。</w:t>
      </w:r>
    </w:p>
    <w:p>
      <w:pPr>
        <w:pStyle w:val="1659"/>
        <w:rPr>
          <w:rFonts w:hint="eastAsia"/>
          <w:lang w:eastAsia="zh-CN"/>
        </w:rPr>
      </w:pPr>
      <w:r>
        <w:rPr>
          <w:rFonts w:hint="eastAsia"/>
          <w:lang w:eastAsia="zh-CN"/>
        </w:rPr>
        <w:t>（</w:t>
      </w:r>
      <w:r>
        <w:rPr>
          <w:rFonts w:hint="eastAsia"/>
          <w:lang w:val="en-US" w:eastAsia="zh-CN"/>
        </w:rPr>
        <w:t>1</w:t>
      </w:r>
      <w:r>
        <w:rPr>
          <w:rFonts w:hint="eastAsia"/>
          <w:lang w:eastAsia="zh-CN"/>
        </w:rPr>
        <w:t>）恶臭气体</w:t>
      </w:r>
    </w:p>
    <w:p>
      <w:pPr>
        <w:pStyle w:val="1659"/>
        <w:rPr>
          <w:rFonts w:hint="eastAsia"/>
          <w:lang w:eastAsia="zh-CN"/>
        </w:rPr>
      </w:pPr>
      <w:r>
        <w:rPr>
          <w:rFonts w:hint="eastAsia"/>
          <w:lang w:eastAsia="zh-CN"/>
        </w:rPr>
        <w:t>①恶臭气体来源</w:t>
      </w:r>
    </w:p>
    <w:p>
      <w:pPr>
        <w:pStyle w:val="1659"/>
        <w:rPr>
          <w:rFonts w:hint="eastAsia"/>
          <w:lang w:eastAsia="zh-CN"/>
        </w:rPr>
      </w:pPr>
      <w:r>
        <w:rPr>
          <w:rFonts w:hint="eastAsia"/>
          <w:lang w:eastAsia="zh-CN"/>
        </w:rPr>
        <w:t>本项目恶臭主要产生于待宰区、屠宰车间及污水处理站，散发的气体中含有氨、H</w:t>
      </w:r>
      <w:r>
        <w:rPr>
          <w:rFonts w:hint="eastAsia"/>
          <w:vertAlign w:val="subscript"/>
          <w:lang w:eastAsia="zh-CN"/>
        </w:rPr>
        <w:t>2</w:t>
      </w:r>
      <w:r>
        <w:rPr>
          <w:rFonts w:hint="eastAsia"/>
          <w:lang w:eastAsia="zh-CN"/>
        </w:rPr>
        <w:t>S、胺、甲硫醇、挥发性有机酸、吲哚、恶臭素等恶臭物质，具体分析如下：</w:t>
      </w:r>
    </w:p>
    <w:p>
      <w:pPr>
        <w:pStyle w:val="1659"/>
        <w:rPr>
          <w:rFonts w:hint="eastAsia"/>
          <w:lang w:eastAsia="zh-CN"/>
        </w:rPr>
      </w:pPr>
      <w:r>
        <w:rPr>
          <w:rFonts w:hint="eastAsia"/>
          <w:lang w:eastAsia="zh-CN"/>
        </w:rPr>
        <w:t>待宰圈：包括待宰牛皮脂腺和汗腺的分泌物、体外激素、粘附在体表的污 物等都会散发出难闻的气味，以及粪便、牛尿产生的臭气。</w:t>
      </w:r>
    </w:p>
    <w:p>
      <w:pPr>
        <w:pStyle w:val="1659"/>
        <w:rPr>
          <w:rFonts w:hint="eastAsia"/>
          <w:lang w:eastAsia="zh-CN"/>
        </w:rPr>
      </w:pPr>
      <w:r>
        <w:rPr>
          <w:rFonts w:hint="eastAsia"/>
          <w:lang w:eastAsia="zh-CN"/>
        </w:rPr>
        <w:t>屠宰车间：牛宰杀许多作业都要使用热水或冷水，地面上容易积有大量冷热水，所以空气湿度很高。室温各处相差悬殊，由于工作场所很大，而且通常又无隔墙，因而空气流动量相当大。宰杀牛的毛、血、胃内容物和粪尿等的臭气混杂在一起，产生刺鼻的腥臭味，并扩散至整个厂区及周围地区。如果有血、肉、骨或脂肪残留而不及时处理，便会迅速腐烂，腥臭气更为严重。</w:t>
      </w:r>
    </w:p>
    <w:p>
      <w:pPr>
        <w:pStyle w:val="1659"/>
        <w:rPr>
          <w:rFonts w:hint="eastAsia"/>
          <w:lang w:eastAsia="zh-CN"/>
        </w:rPr>
      </w:pPr>
      <w:r>
        <w:rPr>
          <w:rFonts w:hint="eastAsia"/>
          <w:lang w:eastAsia="zh-CN"/>
        </w:rPr>
        <w:t>污水处理站：本项目自建污水处理站过程中会蓄积VFA（挥发性脂肪酸）、酚类、吲哚、粪臭素等，产生恶臭。</w:t>
      </w:r>
    </w:p>
    <w:p>
      <w:pPr>
        <w:pStyle w:val="1659"/>
        <w:rPr>
          <w:rFonts w:hint="eastAsia"/>
          <w:lang w:eastAsia="zh-CN"/>
        </w:rPr>
      </w:pPr>
      <w:r>
        <w:rPr>
          <w:rFonts w:hint="eastAsia"/>
          <w:lang w:eastAsia="zh-CN"/>
        </w:rPr>
        <w:t>几种主要恶臭物质的理化性质如下表</w:t>
      </w:r>
      <w:r>
        <w:rPr>
          <w:rFonts w:hint="eastAsia"/>
          <w:lang w:val="en-US" w:eastAsia="zh-CN"/>
        </w:rPr>
        <w:t>3.3-7</w:t>
      </w:r>
      <w:r>
        <w:rPr>
          <w:rFonts w:hint="eastAsia"/>
          <w:lang w:eastAsia="zh-CN"/>
        </w:rPr>
        <w:t>所示：</w:t>
      </w:r>
    </w:p>
    <w:p>
      <w:pPr>
        <w:spacing w:before="156" w:beforeLines="50"/>
        <w:jc w:val="center"/>
        <w:rPr>
          <w:rFonts w:hint="eastAsia" w:eastAsia="宋体"/>
          <w:b/>
          <w:sz w:val="24"/>
          <w:lang w:eastAsia="zh-CN"/>
        </w:rPr>
      </w:pPr>
      <w:r>
        <w:rPr>
          <w:rFonts w:hint="eastAsia"/>
          <w:b/>
          <w:sz w:val="24"/>
        </w:rPr>
        <w:t>表</w:t>
      </w:r>
      <w:r>
        <w:rPr>
          <w:b/>
          <w:sz w:val="24"/>
        </w:rPr>
        <w:t>3.</w:t>
      </w:r>
      <w:r>
        <w:rPr>
          <w:rFonts w:hint="eastAsia"/>
          <w:b/>
          <w:sz w:val="24"/>
          <w:lang w:val="en-US" w:eastAsia="zh-CN"/>
        </w:rPr>
        <w:t>3-7</w:t>
      </w:r>
      <w:r>
        <w:rPr>
          <w:b/>
          <w:sz w:val="24"/>
        </w:rPr>
        <w:t xml:space="preserve"> </w:t>
      </w:r>
      <w:r>
        <w:rPr>
          <w:rFonts w:hint="eastAsia"/>
          <w:b/>
          <w:sz w:val="24"/>
          <w:lang w:val="en-US" w:eastAsia="zh-CN"/>
        </w:rPr>
        <w:t xml:space="preserve">  恶臭物质的理化性质</w:t>
      </w:r>
    </w:p>
    <w:tbl>
      <w:tblPr>
        <w:tblStyle w:val="88"/>
        <w:tblW w:w="0" w:type="auto"/>
        <w:tblInd w:w="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26"/>
        <w:gridCol w:w="2125"/>
        <w:gridCol w:w="2126"/>
        <w:gridCol w:w="212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exact"/>
        </w:trPr>
        <w:tc>
          <w:tcPr>
            <w:tcW w:w="2126" w:type="dxa"/>
            <w:tcBorders>
              <w:tl2br w:val="nil"/>
              <w:tr2bl w:val="nil"/>
            </w:tcBorders>
          </w:tcPr>
          <w:p>
            <w:pPr>
              <w:pStyle w:val="4069"/>
              <w:spacing w:before="5" w:line="240" w:lineRule="auto"/>
              <w:ind w:left="837" w:right="0"/>
              <w:jc w:val="left"/>
              <w:rPr>
                <w:rFonts w:ascii="宋体" w:hAnsi="宋体" w:eastAsia="宋体" w:cs="宋体"/>
                <w:sz w:val="21"/>
                <w:szCs w:val="21"/>
              </w:rPr>
            </w:pPr>
            <w:r>
              <w:rPr>
                <w:rFonts w:ascii="宋体" w:hAnsi="宋体" w:eastAsia="宋体" w:cs="宋体"/>
                <w:sz w:val="21"/>
                <w:szCs w:val="21"/>
              </w:rPr>
              <w:t>恶臭物质</w:t>
            </w:r>
          </w:p>
        </w:tc>
        <w:tc>
          <w:tcPr>
            <w:tcW w:w="2125" w:type="dxa"/>
            <w:tcBorders>
              <w:tl2br w:val="nil"/>
              <w:tr2bl w:val="nil"/>
            </w:tcBorders>
          </w:tcPr>
          <w:p>
            <w:pPr>
              <w:pStyle w:val="4069"/>
              <w:spacing w:before="5" w:line="240" w:lineRule="auto"/>
              <w:ind w:left="952" w:right="0"/>
              <w:jc w:val="left"/>
              <w:rPr>
                <w:rFonts w:ascii="宋体" w:hAnsi="宋体" w:eastAsia="宋体" w:cs="宋体"/>
                <w:sz w:val="21"/>
                <w:szCs w:val="21"/>
              </w:rPr>
            </w:pPr>
            <w:r>
              <w:rPr>
                <w:rFonts w:ascii="宋体" w:hAnsi="宋体" w:eastAsia="宋体" w:cs="宋体"/>
                <w:sz w:val="21"/>
                <w:szCs w:val="21"/>
              </w:rPr>
              <w:t>分子式</w:t>
            </w:r>
          </w:p>
        </w:tc>
        <w:tc>
          <w:tcPr>
            <w:tcW w:w="2126" w:type="dxa"/>
            <w:tcBorders>
              <w:tl2br w:val="nil"/>
              <w:tr2bl w:val="nil"/>
            </w:tcBorders>
          </w:tcPr>
          <w:p>
            <w:pPr>
              <w:pStyle w:val="4069"/>
              <w:spacing w:before="5" w:line="240" w:lineRule="auto"/>
              <w:ind w:left="545" w:right="0"/>
              <w:jc w:val="left"/>
              <w:rPr>
                <w:rFonts w:ascii="宋体" w:hAnsi="宋体" w:eastAsia="宋体" w:cs="宋体"/>
                <w:sz w:val="21"/>
                <w:szCs w:val="21"/>
              </w:rPr>
            </w:pPr>
            <w:r>
              <w:rPr>
                <w:rFonts w:ascii="宋体" w:hAnsi="宋体" w:eastAsia="宋体" w:cs="宋体"/>
                <w:sz w:val="21"/>
                <w:szCs w:val="21"/>
              </w:rPr>
              <w:t>嗅阈值（</w:t>
            </w:r>
            <w:r>
              <w:rPr>
                <w:rFonts w:ascii="Calibri" w:hAnsi="Calibri" w:eastAsia="Calibri" w:cs="Calibri"/>
                <w:b/>
                <w:bCs/>
                <w:sz w:val="21"/>
                <w:szCs w:val="21"/>
              </w:rPr>
              <w:t>ppm</w:t>
            </w:r>
            <w:r>
              <w:rPr>
                <w:rFonts w:ascii="宋体" w:hAnsi="宋体" w:eastAsia="宋体" w:cs="宋体"/>
                <w:sz w:val="21"/>
                <w:szCs w:val="21"/>
              </w:rPr>
              <w:t>）</w:t>
            </w:r>
          </w:p>
        </w:tc>
        <w:tc>
          <w:tcPr>
            <w:tcW w:w="2126" w:type="dxa"/>
            <w:tcBorders>
              <w:tl2br w:val="nil"/>
              <w:tr2bl w:val="nil"/>
            </w:tcBorders>
          </w:tcPr>
          <w:p>
            <w:pPr>
              <w:pStyle w:val="4069"/>
              <w:spacing w:before="5" w:line="240" w:lineRule="auto"/>
              <w:ind w:left="847" w:right="0"/>
              <w:jc w:val="left"/>
              <w:rPr>
                <w:rFonts w:ascii="宋体" w:hAnsi="宋体" w:eastAsia="宋体" w:cs="宋体"/>
                <w:sz w:val="21"/>
                <w:szCs w:val="21"/>
              </w:rPr>
            </w:pPr>
            <w:r>
              <w:rPr>
                <w:rFonts w:ascii="宋体" w:hAnsi="宋体" w:eastAsia="宋体" w:cs="宋体"/>
                <w:sz w:val="21"/>
                <w:szCs w:val="21"/>
              </w:rPr>
              <w:t>臭气特征</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exact"/>
        </w:trPr>
        <w:tc>
          <w:tcPr>
            <w:tcW w:w="2126" w:type="dxa"/>
            <w:tcBorders>
              <w:tl2br w:val="nil"/>
              <w:tr2bl w:val="nil"/>
            </w:tcBorders>
          </w:tcPr>
          <w:p>
            <w:pPr>
              <w:pStyle w:val="4069"/>
              <w:spacing w:line="260" w:lineRule="exact"/>
              <w:ind w:left="837" w:right="0"/>
              <w:jc w:val="left"/>
              <w:rPr>
                <w:rFonts w:ascii="宋体" w:hAnsi="宋体" w:eastAsia="宋体" w:cs="宋体"/>
                <w:sz w:val="21"/>
                <w:szCs w:val="21"/>
              </w:rPr>
            </w:pPr>
            <w:r>
              <w:rPr>
                <w:rFonts w:ascii="宋体" w:hAnsi="宋体" w:eastAsia="宋体" w:cs="宋体"/>
                <w:sz w:val="21"/>
                <w:szCs w:val="21"/>
              </w:rPr>
              <w:t>三甲基胺</w:t>
            </w:r>
          </w:p>
        </w:tc>
        <w:tc>
          <w:tcPr>
            <w:tcW w:w="2125" w:type="dxa"/>
            <w:tcBorders>
              <w:tl2br w:val="nil"/>
              <w:tr2bl w:val="nil"/>
            </w:tcBorders>
          </w:tcPr>
          <w:p>
            <w:pPr>
              <w:pStyle w:val="4069"/>
              <w:spacing w:before="27" w:line="240" w:lineRule="auto"/>
              <w:ind w:left="418" w:right="0"/>
              <w:jc w:val="center"/>
              <w:rPr>
                <w:rFonts w:ascii="Calibri" w:hAnsi="Calibri" w:eastAsia="Calibri" w:cs="Calibri"/>
                <w:sz w:val="21"/>
                <w:szCs w:val="21"/>
              </w:rPr>
            </w:pPr>
            <w:r>
              <w:rPr>
                <w:rFonts w:ascii="Calibri"/>
                <w:sz w:val="21"/>
              </w:rPr>
              <w:t>/</w:t>
            </w:r>
          </w:p>
        </w:tc>
        <w:tc>
          <w:tcPr>
            <w:tcW w:w="2126" w:type="dxa"/>
            <w:tcBorders>
              <w:tl2br w:val="nil"/>
              <w:tr2bl w:val="nil"/>
            </w:tcBorders>
          </w:tcPr>
          <w:p>
            <w:pPr>
              <w:pStyle w:val="4069"/>
              <w:spacing w:before="27" w:line="240" w:lineRule="auto"/>
              <w:ind w:left="869" w:right="0"/>
              <w:jc w:val="left"/>
              <w:rPr>
                <w:rFonts w:ascii="Calibri" w:hAnsi="Calibri" w:eastAsia="Calibri" w:cs="Calibri"/>
                <w:sz w:val="21"/>
                <w:szCs w:val="21"/>
              </w:rPr>
            </w:pPr>
            <w:r>
              <w:rPr>
                <w:rFonts w:ascii="Calibri"/>
                <w:sz w:val="21"/>
              </w:rPr>
              <w:t>0.000027</w:t>
            </w:r>
          </w:p>
        </w:tc>
        <w:tc>
          <w:tcPr>
            <w:tcW w:w="2126" w:type="dxa"/>
            <w:tcBorders>
              <w:tl2br w:val="nil"/>
              <w:tr2bl w:val="nil"/>
            </w:tcBorders>
          </w:tcPr>
          <w:p>
            <w:pPr>
              <w:pStyle w:val="4069"/>
              <w:spacing w:line="260" w:lineRule="exact"/>
              <w:ind w:left="952" w:right="0"/>
              <w:jc w:val="left"/>
              <w:rPr>
                <w:rFonts w:ascii="宋体" w:hAnsi="宋体" w:eastAsia="宋体" w:cs="宋体"/>
                <w:sz w:val="21"/>
                <w:szCs w:val="21"/>
              </w:rPr>
            </w:pPr>
            <w:r>
              <w:rPr>
                <w:rFonts w:ascii="宋体" w:hAnsi="宋体" w:eastAsia="宋体" w:cs="宋体"/>
                <w:sz w:val="21"/>
                <w:szCs w:val="21"/>
              </w:rPr>
              <w:t>臭鱼味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2126" w:type="dxa"/>
            <w:tcBorders>
              <w:tl2br w:val="nil"/>
              <w:tr2bl w:val="nil"/>
            </w:tcBorders>
          </w:tcPr>
          <w:p>
            <w:pPr>
              <w:pStyle w:val="4069"/>
              <w:spacing w:line="259" w:lineRule="exact"/>
              <w:ind w:left="409" w:right="0"/>
              <w:jc w:val="center"/>
              <w:rPr>
                <w:rFonts w:ascii="宋体" w:hAnsi="宋体" w:eastAsia="宋体" w:cs="宋体"/>
                <w:sz w:val="21"/>
                <w:szCs w:val="21"/>
              </w:rPr>
            </w:pPr>
            <w:r>
              <w:rPr>
                <w:rFonts w:ascii="宋体" w:hAnsi="宋体" w:eastAsia="宋体" w:cs="宋体"/>
                <w:sz w:val="21"/>
                <w:szCs w:val="21"/>
              </w:rPr>
              <w:t>氨</w:t>
            </w:r>
          </w:p>
        </w:tc>
        <w:tc>
          <w:tcPr>
            <w:tcW w:w="2125" w:type="dxa"/>
            <w:tcBorders>
              <w:tl2br w:val="nil"/>
              <w:tr2bl w:val="nil"/>
            </w:tcBorders>
          </w:tcPr>
          <w:p>
            <w:pPr>
              <w:pStyle w:val="4069"/>
              <w:spacing w:before="26" w:line="240" w:lineRule="auto"/>
              <w:ind w:left="1100" w:right="0"/>
              <w:jc w:val="left"/>
              <w:rPr>
                <w:rFonts w:ascii="Calibri" w:hAnsi="Calibri" w:eastAsia="Calibri" w:cs="Calibri"/>
                <w:sz w:val="13"/>
                <w:szCs w:val="13"/>
              </w:rPr>
            </w:pPr>
            <w:r>
              <w:rPr>
                <w:rFonts w:ascii="Calibri"/>
                <w:spacing w:val="-1"/>
                <w:position w:val="2"/>
                <w:sz w:val="21"/>
              </w:rPr>
              <w:t>NH</w:t>
            </w:r>
            <w:r>
              <w:rPr>
                <w:rFonts w:ascii="Calibri"/>
                <w:spacing w:val="-1"/>
                <w:sz w:val="13"/>
              </w:rPr>
              <w:t>3</w:t>
            </w:r>
          </w:p>
        </w:tc>
        <w:tc>
          <w:tcPr>
            <w:tcW w:w="2126" w:type="dxa"/>
            <w:tcBorders>
              <w:tl2br w:val="nil"/>
              <w:tr2bl w:val="nil"/>
            </w:tcBorders>
          </w:tcPr>
          <w:p>
            <w:pPr>
              <w:pStyle w:val="4069"/>
              <w:spacing w:before="27" w:line="240" w:lineRule="auto"/>
              <w:ind w:left="1082" w:right="0"/>
              <w:jc w:val="left"/>
              <w:rPr>
                <w:rFonts w:ascii="Calibri" w:hAnsi="Calibri" w:eastAsia="Calibri" w:cs="Calibri"/>
                <w:sz w:val="21"/>
                <w:szCs w:val="21"/>
              </w:rPr>
            </w:pPr>
            <w:r>
              <w:rPr>
                <w:rFonts w:ascii="Calibri"/>
                <w:sz w:val="21"/>
              </w:rPr>
              <w:t>1.54</w:t>
            </w:r>
          </w:p>
        </w:tc>
        <w:tc>
          <w:tcPr>
            <w:tcW w:w="2126" w:type="dxa"/>
            <w:tcBorders>
              <w:tl2br w:val="nil"/>
              <w:tr2bl w:val="nil"/>
            </w:tcBorders>
          </w:tcPr>
          <w:p>
            <w:pPr>
              <w:pStyle w:val="4069"/>
              <w:spacing w:line="259" w:lineRule="exact"/>
              <w:ind w:left="952" w:right="0"/>
              <w:jc w:val="left"/>
              <w:rPr>
                <w:rFonts w:ascii="宋体" w:hAnsi="宋体" w:eastAsia="宋体" w:cs="宋体"/>
                <w:sz w:val="21"/>
                <w:szCs w:val="21"/>
              </w:rPr>
            </w:pPr>
            <w:r>
              <w:rPr>
                <w:rFonts w:ascii="宋体" w:hAnsi="宋体" w:eastAsia="宋体" w:cs="宋体"/>
                <w:sz w:val="21"/>
                <w:szCs w:val="21"/>
              </w:rPr>
              <w:t>刺激味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2126" w:type="dxa"/>
            <w:tcBorders>
              <w:tl2br w:val="nil"/>
              <w:tr2bl w:val="nil"/>
            </w:tcBorders>
          </w:tcPr>
          <w:p>
            <w:pPr>
              <w:pStyle w:val="4069"/>
              <w:spacing w:line="260" w:lineRule="exact"/>
              <w:ind w:left="943" w:right="0"/>
              <w:jc w:val="left"/>
              <w:rPr>
                <w:rFonts w:ascii="宋体" w:hAnsi="宋体" w:eastAsia="宋体" w:cs="宋体"/>
                <w:sz w:val="21"/>
                <w:szCs w:val="21"/>
              </w:rPr>
            </w:pPr>
            <w:r>
              <w:rPr>
                <w:rFonts w:ascii="宋体" w:hAnsi="宋体" w:eastAsia="宋体" w:cs="宋体"/>
                <w:sz w:val="21"/>
                <w:szCs w:val="21"/>
              </w:rPr>
              <w:t>硫化氢</w:t>
            </w:r>
          </w:p>
        </w:tc>
        <w:tc>
          <w:tcPr>
            <w:tcW w:w="2125" w:type="dxa"/>
            <w:tcBorders>
              <w:tl2br w:val="nil"/>
              <w:tr2bl w:val="nil"/>
            </w:tcBorders>
          </w:tcPr>
          <w:p>
            <w:pPr>
              <w:pStyle w:val="4069"/>
              <w:spacing w:before="26" w:line="240" w:lineRule="auto"/>
              <w:ind w:left="1120" w:right="0"/>
              <w:jc w:val="left"/>
              <w:rPr>
                <w:rFonts w:ascii="Calibri" w:hAnsi="Calibri" w:eastAsia="Calibri" w:cs="Calibri"/>
                <w:sz w:val="21"/>
                <w:szCs w:val="21"/>
              </w:rPr>
            </w:pPr>
            <w:r>
              <w:rPr>
                <w:rFonts w:ascii="Calibri"/>
                <w:spacing w:val="-1"/>
                <w:position w:val="2"/>
                <w:sz w:val="21"/>
              </w:rPr>
              <w:t>H</w:t>
            </w:r>
            <w:r>
              <w:rPr>
                <w:rFonts w:ascii="Calibri"/>
                <w:spacing w:val="-1"/>
                <w:sz w:val="13"/>
              </w:rPr>
              <w:t>2</w:t>
            </w:r>
            <w:r>
              <w:rPr>
                <w:rFonts w:ascii="Calibri"/>
                <w:spacing w:val="-1"/>
                <w:position w:val="2"/>
                <w:sz w:val="21"/>
              </w:rPr>
              <w:t>S</w:t>
            </w:r>
          </w:p>
        </w:tc>
        <w:tc>
          <w:tcPr>
            <w:tcW w:w="2126" w:type="dxa"/>
            <w:tcBorders>
              <w:tl2br w:val="nil"/>
              <w:tr2bl w:val="nil"/>
            </w:tcBorders>
          </w:tcPr>
          <w:p>
            <w:pPr>
              <w:pStyle w:val="4069"/>
              <w:spacing w:before="27" w:line="240" w:lineRule="auto"/>
              <w:ind w:left="975" w:right="0"/>
              <w:jc w:val="left"/>
              <w:rPr>
                <w:rFonts w:ascii="Calibri" w:hAnsi="Calibri" w:eastAsia="Calibri" w:cs="Calibri"/>
                <w:sz w:val="21"/>
                <w:szCs w:val="21"/>
              </w:rPr>
            </w:pPr>
            <w:r>
              <w:rPr>
                <w:rFonts w:ascii="Calibri"/>
                <w:sz w:val="21"/>
              </w:rPr>
              <w:t>0.0041</w:t>
            </w:r>
          </w:p>
        </w:tc>
        <w:tc>
          <w:tcPr>
            <w:tcW w:w="2126" w:type="dxa"/>
            <w:tcBorders>
              <w:tl2br w:val="nil"/>
              <w:tr2bl w:val="nil"/>
            </w:tcBorders>
          </w:tcPr>
          <w:p>
            <w:pPr>
              <w:pStyle w:val="4069"/>
              <w:spacing w:line="260" w:lineRule="exact"/>
              <w:ind w:left="952" w:right="0"/>
              <w:jc w:val="left"/>
              <w:rPr>
                <w:rFonts w:ascii="宋体" w:hAnsi="宋体" w:eastAsia="宋体" w:cs="宋体"/>
                <w:sz w:val="21"/>
                <w:szCs w:val="21"/>
              </w:rPr>
            </w:pPr>
            <w:r>
              <w:rPr>
                <w:rFonts w:ascii="宋体" w:hAnsi="宋体" w:eastAsia="宋体" w:cs="宋体"/>
                <w:sz w:val="21"/>
                <w:szCs w:val="21"/>
              </w:rPr>
              <w:t>臭蛋味</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exact"/>
        </w:trPr>
        <w:tc>
          <w:tcPr>
            <w:tcW w:w="2126" w:type="dxa"/>
            <w:tcBorders>
              <w:tl2br w:val="nil"/>
              <w:tr2bl w:val="nil"/>
            </w:tcBorders>
          </w:tcPr>
          <w:p>
            <w:pPr>
              <w:pStyle w:val="4069"/>
              <w:spacing w:line="260" w:lineRule="exact"/>
              <w:ind w:left="733" w:right="0"/>
              <w:jc w:val="left"/>
              <w:rPr>
                <w:rFonts w:ascii="宋体" w:hAnsi="宋体" w:eastAsia="宋体" w:cs="宋体"/>
                <w:sz w:val="21"/>
                <w:szCs w:val="21"/>
              </w:rPr>
            </w:pPr>
            <w:r>
              <w:rPr>
                <w:rFonts w:ascii="宋体" w:hAnsi="宋体" w:eastAsia="宋体" w:cs="宋体"/>
                <w:sz w:val="21"/>
                <w:szCs w:val="21"/>
              </w:rPr>
              <w:t>粪臭基硫酸</w:t>
            </w:r>
          </w:p>
        </w:tc>
        <w:tc>
          <w:tcPr>
            <w:tcW w:w="2125" w:type="dxa"/>
            <w:tcBorders>
              <w:tl2br w:val="nil"/>
              <w:tr2bl w:val="nil"/>
            </w:tcBorders>
          </w:tcPr>
          <w:p>
            <w:pPr>
              <w:pStyle w:val="4069"/>
              <w:spacing w:before="27" w:line="240" w:lineRule="auto"/>
              <w:ind w:left="418" w:right="0"/>
              <w:jc w:val="center"/>
              <w:rPr>
                <w:rFonts w:ascii="Calibri" w:hAnsi="Calibri" w:eastAsia="Calibri" w:cs="Calibri"/>
                <w:sz w:val="21"/>
                <w:szCs w:val="21"/>
              </w:rPr>
            </w:pPr>
            <w:r>
              <w:rPr>
                <w:rFonts w:ascii="Calibri"/>
                <w:sz w:val="21"/>
              </w:rPr>
              <w:t>/</w:t>
            </w:r>
          </w:p>
        </w:tc>
        <w:tc>
          <w:tcPr>
            <w:tcW w:w="2126" w:type="dxa"/>
            <w:tcBorders>
              <w:tl2br w:val="nil"/>
              <w:tr2bl w:val="nil"/>
            </w:tcBorders>
          </w:tcPr>
          <w:p>
            <w:pPr>
              <w:pStyle w:val="4069"/>
              <w:spacing w:before="27" w:line="240" w:lineRule="auto"/>
              <w:ind w:left="817" w:right="0"/>
              <w:jc w:val="left"/>
              <w:rPr>
                <w:rFonts w:ascii="Calibri" w:hAnsi="Calibri" w:eastAsia="Calibri" w:cs="Calibri"/>
                <w:sz w:val="21"/>
                <w:szCs w:val="21"/>
              </w:rPr>
            </w:pPr>
            <w:r>
              <w:rPr>
                <w:rFonts w:ascii="Calibri"/>
                <w:sz w:val="21"/>
              </w:rPr>
              <w:t>0.0000056</w:t>
            </w:r>
          </w:p>
        </w:tc>
        <w:tc>
          <w:tcPr>
            <w:tcW w:w="2126" w:type="dxa"/>
            <w:tcBorders>
              <w:tl2br w:val="nil"/>
              <w:tr2bl w:val="nil"/>
            </w:tcBorders>
          </w:tcPr>
          <w:p>
            <w:pPr>
              <w:pStyle w:val="4069"/>
              <w:spacing w:line="260" w:lineRule="exact"/>
              <w:ind w:left="952" w:right="0"/>
              <w:jc w:val="left"/>
              <w:rPr>
                <w:rFonts w:ascii="宋体" w:hAnsi="宋体" w:eastAsia="宋体" w:cs="宋体"/>
                <w:sz w:val="21"/>
                <w:szCs w:val="21"/>
              </w:rPr>
            </w:pPr>
            <w:r>
              <w:rPr>
                <w:rFonts w:ascii="宋体" w:hAnsi="宋体" w:eastAsia="宋体" w:cs="宋体"/>
                <w:sz w:val="21"/>
                <w:szCs w:val="21"/>
              </w:rPr>
              <w:t>粪便味</w:t>
            </w:r>
          </w:p>
        </w:tc>
      </w:tr>
    </w:tbl>
    <w:p>
      <w:pPr>
        <w:pStyle w:val="1659"/>
        <w:rPr>
          <w:rFonts w:hint="eastAsia"/>
          <w:lang w:eastAsia="zh-CN"/>
        </w:rPr>
      </w:pPr>
      <w:r>
        <w:rPr>
          <w:rFonts w:hint="eastAsia"/>
          <w:lang w:eastAsia="zh-CN"/>
        </w:rPr>
        <w:t>②恶臭源强分析</w:t>
      </w:r>
    </w:p>
    <w:p>
      <w:pPr>
        <w:pStyle w:val="1659"/>
        <w:rPr>
          <w:rFonts w:hint="eastAsia"/>
          <w:lang w:eastAsia="zh-CN"/>
        </w:rPr>
      </w:pPr>
      <w:r>
        <w:rPr>
          <w:spacing w:val="2"/>
        </w:rPr>
        <w:t>待宰圈：待宰牛羊仅在各待宰圈实行</w:t>
      </w:r>
      <w:r>
        <w:rPr>
          <w:spacing w:val="-57"/>
        </w:rPr>
        <w:t xml:space="preserve"> </w:t>
      </w:r>
      <w:r>
        <w:rPr>
          <w:rFonts w:ascii="Calibri" w:hAnsi="Calibri" w:eastAsia="Calibri" w:cs="Calibri"/>
          <w:spacing w:val="-1"/>
        </w:rPr>
        <w:t>12‐24h</w:t>
      </w:r>
      <w:r>
        <w:rPr>
          <w:rFonts w:ascii="Calibri" w:hAnsi="Calibri" w:eastAsia="Calibri" w:cs="Calibri"/>
          <w:spacing w:val="9"/>
        </w:rPr>
        <w:t xml:space="preserve"> </w:t>
      </w:r>
      <w:r>
        <w:rPr>
          <w:spacing w:val="1"/>
        </w:rPr>
        <w:t>的待宰管理，只进水不喂</w:t>
      </w:r>
      <w:r>
        <w:t>食</w:t>
      </w:r>
      <w:r>
        <w:rPr>
          <w:spacing w:val="-30"/>
        </w:rPr>
        <w:t>，</w:t>
      </w:r>
      <w:r>
        <w:t>产生粪便较少</w:t>
      </w:r>
      <w:r>
        <w:rPr>
          <w:spacing w:val="-30"/>
        </w:rPr>
        <w:t>。</w:t>
      </w:r>
      <w:r>
        <w:t>通过类比南充市红兴畜禽定点屠宰有限公</w:t>
      </w:r>
      <w:r>
        <w:rPr>
          <w:spacing w:val="-29"/>
        </w:rPr>
        <w:t>司</w:t>
      </w:r>
      <w:r>
        <w:t>《红兴畜禽屠宰</w:t>
      </w:r>
      <w:r>
        <w:rPr>
          <w:spacing w:val="3"/>
        </w:rPr>
        <w:t>建设项目环境影响报告书》，一公斤牲畜粪便约释放</w:t>
      </w:r>
      <w:r>
        <w:rPr>
          <w:rFonts w:ascii="Calibri" w:hAnsi="Calibri" w:eastAsia="Calibri" w:cs="Calibri"/>
        </w:rPr>
        <w:t>NH</w:t>
      </w:r>
      <w:r>
        <w:rPr>
          <w:rFonts w:ascii="Calibri" w:hAnsi="Calibri" w:eastAsia="Calibri" w:cs="Calibri"/>
          <w:position w:val="-1"/>
          <w:sz w:val="15"/>
          <w:szCs w:val="15"/>
        </w:rPr>
        <w:t>3</w:t>
      </w:r>
      <w:r>
        <w:rPr>
          <w:rFonts w:ascii="Calibri" w:hAnsi="Calibri" w:eastAsia="Calibri" w:cs="Calibri"/>
        </w:rPr>
        <w:t>1.17g</w:t>
      </w:r>
      <w:r>
        <w:t>、</w:t>
      </w:r>
      <w:r>
        <w:rPr>
          <w:rFonts w:ascii="Calibri" w:hAnsi="Calibri" w:eastAsia="Calibri" w:cs="Calibri"/>
        </w:rPr>
        <w:t>H</w:t>
      </w:r>
      <w:r>
        <w:rPr>
          <w:rFonts w:ascii="Calibri" w:hAnsi="Calibri" w:eastAsia="Calibri" w:cs="Calibri"/>
          <w:position w:val="-1"/>
          <w:sz w:val="15"/>
          <w:szCs w:val="15"/>
        </w:rPr>
        <w:t>2</w:t>
      </w:r>
      <w:r>
        <w:rPr>
          <w:rFonts w:ascii="Calibri" w:hAnsi="Calibri" w:eastAsia="Calibri" w:cs="Calibri"/>
        </w:rPr>
        <w:t>S0.17g</w:t>
      </w:r>
      <w:r>
        <w:t>。本项目待宰圈每天最大可容纳肉牛</w:t>
      </w:r>
      <w:r>
        <w:rPr>
          <w:rFonts w:ascii="Calibri" w:hAnsi="Calibri" w:eastAsia="Calibri" w:cs="Calibri"/>
          <w:spacing w:val="-1"/>
        </w:rPr>
        <w:t>300</w:t>
      </w:r>
      <w:r>
        <w:t>头。根据农业污染源产排污</w:t>
      </w:r>
      <w:r>
        <w:rPr>
          <w:spacing w:val="3"/>
        </w:rPr>
        <w:t>系数手册，西南地区肉牛牛粪产生系数为</w:t>
      </w:r>
      <w:r>
        <w:rPr>
          <w:rFonts w:ascii="Calibri" w:hAnsi="Calibri" w:eastAsia="Calibri" w:cs="Calibri"/>
          <w:spacing w:val="2"/>
        </w:rPr>
        <w:t>12.10kg/</w:t>
      </w:r>
      <w:r>
        <w:rPr>
          <w:spacing w:val="2"/>
        </w:rPr>
        <w:t>头</w:t>
      </w:r>
      <w:r>
        <w:rPr>
          <w:rFonts w:ascii="Calibri" w:hAnsi="Calibri" w:eastAsia="Calibri" w:cs="Calibri"/>
          <w:spacing w:val="2"/>
        </w:rPr>
        <w:t>.</w:t>
      </w:r>
      <w:r>
        <w:rPr>
          <w:spacing w:val="2"/>
        </w:rPr>
        <w:t>天，</w:t>
      </w:r>
      <w:r>
        <w:rPr>
          <w:spacing w:val="4"/>
        </w:rPr>
        <w:t>由于本项目待宰圈内牛羊不再进食，因此本评价按上述产污量的</w:t>
      </w:r>
      <w:r>
        <w:rPr>
          <w:rFonts w:ascii="Calibri" w:hAnsi="Calibri" w:eastAsia="Calibri" w:cs="Calibri"/>
          <w:spacing w:val="-1"/>
        </w:rPr>
        <w:t>10</w:t>
      </w:r>
      <w:r>
        <w:rPr>
          <w:rFonts w:ascii="Calibri" w:hAnsi="Calibri" w:eastAsia="Calibri" w:cs="Calibri"/>
          <w:spacing w:val="1"/>
        </w:rPr>
        <w:t>%</w:t>
      </w:r>
      <w:r>
        <w:t>计</w:t>
      </w:r>
      <w:r>
        <w:rPr>
          <w:spacing w:val="-26"/>
        </w:rPr>
        <w:t>，</w:t>
      </w:r>
      <w:r>
        <w:t>则一天产生牛粪为</w:t>
      </w:r>
      <w:r>
        <w:rPr>
          <w:rFonts w:ascii="Calibri" w:hAnsi="Calibri" w:eastAsia="Calibri" w:cs="Calibri"/>
          <w:spacing w:val="-1"/>
        </w:rPr>
        <w:t>363k</w:t>
      </w:r>
      <w:r>
        <w:rPr>
          <w:rFonts w:ascii="Calibri" w:hAnsi="Calibri" w:eastAsia="Calibri" w:cs="Calibri"/>
          <w:spacing w:val="1"/>
        </w:rPr>
        <w:t>g</w:t>
      </w:r>
      <w:r>
        <w:rPr>
          <w:spacing w:val="-27"/>
        </w:rPr>
        <w:t>。</w:t>
      </w:r>
      <w:r>
        <w:t>可计算本项目牛待宰圈产生</w:t>
      </w:r>
      <w:r>
        <w:rPr>
          <w:rFonts w:ascii="Calibri" w:hAnsi="Calibri" w:eastAsia="Calibri" w:cs="Calibri"/>
          <w:spacing w:val="1"/>
        </w:rPr>
        <w:t>N</w:t>
      </w:r>
      <w:r>
        <w:rPr>
          <w:rFonts w:ascii="Calibri" w:hAnsi="Calibri" w:eastAsia="Calibri" w:cs="Calibri"/>
          <w:spacing w:val="-1"/>
        </w:rPr>
        <w:t>H</w:t>
      </w:r>
      <w:r>
        <w:rPr>
          <w:rFonts w:ascii="Calibri" w:hAnsi="Calibri" w:eastAsia="Calibri" w:cs="Calibri"/>
          <w:position w:val="-1"/>
          <w:sz w:val="15"/>
          <w:szCs w:val="15"/>
        </w:rPr>
        <w:t>3</w:t>
      </w:r>
      <w:r>
        <w:t>、</w:t>
      </w:r>
      <w:r>
        <w:rPr>
          <w:rFonts w:ascii="Calibri" w:hAnsi="Calibri" w:eastAsia="Calibri" w:cs="Calibri"/>
          <w:spacing w:val="-1"/>
        </w:rPr>
        <w:t>H</w:t>
      </w:r>
      <w:r>
        <w:rPr>
          <w:rFonts w:ascii="Calibri" w:hAnsi="Calibri" w:eastAsia="Calibri" w:cs="Calibri"/>
          <w:spacing w:val="-1"/>
          <w:position w:val="-1"/>
          <w:sz w:val="15"/>
          <w:szCs w:val="15"/>
        </w:rPr>
        <w:t>2</w:t>
      </w:r>
      <w:r>
        <w:rPr>
          <w:rFonts w:ascii="Calibri" w:hAnsi="Calibri" w:eastAsia="Calibri" w:cs="Calibri"/>
          <w:spacing w:val="-1"/>
        </w:rPr>
        <w:t>S</w:t>
      </w:r>
      <w:r>
        <w:rPr>
          <w:spacing w:val="3"/>
        </w:rPr>
        <w:t>强度分别为</w:t>
      </w:r>
      <w:r>
        <w:rPr>
          <w:spacing w:val="-59"/>
        </w:rPr>
        <w:t xml:space="preserve"> </w:t>
      </w:r>
      <w:r>
        <w:rPr>
          <w:rFonts w:ascii="Calibri" w:hAnsi="Calibri" w:eastAsia="Calibri" w:cs="Calibri"/>
          <w:spacing w:val="1"/>
        </w:rPr>
        <w:t>0.0017kg/h</w:t>
      </w:r>
      <w:r>
        <w:rPr>
          <w:spacing w:val="1"/>
        </w:rPr>
        <w:t>、</w:t>
      </w:r>
      <w:r>
        <w:rPr>
          <w:rFonts w:ascii="Calibri" w:hAnsi="Calibri" w:eastAsia="Calibri" w:cs="Calibri"/>
          <w:spacing w:val="1"/>
        </w:rPr>
        <w:t>0.00105kg/h</w:t>
      </w:r>
      <w:r>
        <w:rPr>
          <w:spacing w:val="-1"/>
        </w:rPr>
        <w:t>。具体产生情</w:t>
      </w:r>
      <w:r>
        <w:rPr>
          <w:spacing w:val="4"/>
        </w:rPr>
        <w:t>况如下表</w:t>
      </w:r>
      <w:r>
        <w:rPr>
          <w:rFonts w:hint="eastAsia"/>
          <w:spacing w:val="4"/>
          <w:lang w:val="en-US" w:eastAsia="zh-CN"/>
        </w:rPr>
        <w:t>3.3-8</w:t>
      </w:r>
      <w:r>
        <w:rPr>
          <w:spacing w:val="4"/>
        </w:rPr>
        <w:t>所</w:t>
      </w:r>
      <w:r>
        <w:t>示：</w:t>
      </w:r>
    </w:p>
    <w:p>
      <w:pPr>
        <w:spacing w:before="127"/>
        <w:ind w:left="2842" w:right="0" w:firstLine="0"/>
        <w:jc w:val="left"/>
        <w:rPr>
          <w:rFonts w:ascii="宋体" w:hAnsi="宋体" w:eastAsia="宋体" w:cs="宋体"/>
          <w:sz w:val="24"/>
          <w:szCs w:val="24"/>
        </w:rPr>
      </w:pPr>
      <w:r>
        <w:rPr>
          <w:rFonts w:ascii="宋体" w:hAnsi="宋体" w:eastAsia="宋体" w:cs="宋体"/>
          <w:sz w:val="24"/>
          <w:szCs w:val="24"/>
        </w:rPr>
        <w:t>表</w:t>
      </w:r>
      <w:r>
        <w:rPr>
          <w:rFonts w:hint="eastAsia" w:ascii="宋体" w:hAnsi="宋体" w:eastAsia="宋体" w:cs="宋体"/>
          <w:sz w:val="24"/>
          <w:szCs w:val="24"/>
          <w:lang w:val="en-US" w:eastAsia="zh-CN"/>
        </w:rPr>
        <w:t>3.3-8</w:t>
      </w:r>
      <w:r>
        <w:rPr>
          <w:rFonts w:ascii="宋体" w:hAnsi="宋体" w:eastAsia="宋体" w:cs="宋体"/>
          <w:sz w:val="24"/>
          <w:szCs w:val="24"/>
        </w:rPr>
        <w:t xml:space="preserve"> 待宰圈臭气污染源类比表</w:t>
      </w:r>
    </w:p>
    <w:tbl>
      <w:tblPr>
        <w:tblStyle w:val="88"/>
        <w:tblW w:w="0" w:type="auto"/>
        <w:tblInd w:w="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255"/>
        <w:gridCol w:w="1350"/>
        <w:gridCol w:w="1426"/>
        <w:gridCol w:w="1061"/>
        <w:gridCol w:w="1220"/>
        <w:gridCol w:w="119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exact"/>
        </w:trPr>
        <w:tc>
          <w:tcPr>
            <w:tcW w:w="2255" w:type="dxa"/>
            <w:vMerge w:val="restart"/>
            <w:tcBorders>
              <w:tl2br w:val="nil"/>
              <w:tr2bl w:val="nil"/>
            </w:tcBorders>
          </w:tcPr>
          <w:p>
            <w:pPr>
              <w:pStyle w:val="4069"/>
              <w:spacing w:line="200" w:lineRule="exact"/>
              <w:ind w:right="0"/>
              <w:jc w:val="left"/>
              <w:rPr>
                <w:sz w:val="20"/>
                <w:szCs w:val="20"/>
              </w:rPr>
            </w:pPr>
          </w:p>
          <w:p>
            <w:pPr>
              <w:pStyle w:val="4069"/>
              <w:spacing w:before="2" w:line="280" w:lineRule="exact"/>
              <w:ind w:right="0"/>
              <w:jc w:val="left"/>
              <w:rPr>
                <w:sz w:val="28"/>
                <w:szCs w:val="28"/>
              </w:rPr>
            </w:pPr>
          </w:p>
          <w:p>
            <w:pPr>
              <w:pStyle w:val="4069"/>
              <w:spacing w:line="240" w:lineRule="auto"/>
              <w:ind w:left="692" w:right="0"/>
              <w:jc w:val="left"/>
              <w:rPr>
                <w:rFonts w:ascii="宋体" w:hAnsi="宋体" w:eastAsia="宋体" w:cs="宋体"/>
                <w:sz w:val="21"/>
                <w:szCs w:val="21"/>
              </w:rPr>
            </w:pPr>
            <w:r>
              <w:rPr>
                <w:rFonts w:ascii="宋体" w:hAnsi="宋体" w:eastAsia="宋体" w:cs="宋体"/>
                <w:sz w:val="21"/>
                <w:szCs w:val="21"/>
              </w:rPr>
              <w:t>项目名称</w:t>
            </w:r>
          </w:p>
        </w:tc>
        <w:tc>
          <w:tcPr>
            <w:tcW w:w="1350" w:type="dxa"/>
            <w:vMerge w:val="restart"/>
            <w:tcBorders>
              <w:tl2br w:val="nil"/>
              <w:tr2bl w:val="nil"/>
            </w:tcBorders>
          </w:tcPr>
          <w:p>
            <w:pPr>
              <w:pStyle w:val="4069"/>
              <w:spacing w:line="200" w:lineRule="exact"/>
              <w:ind w:right="0"/>
              <w:jc w:val="left"/>
              <w:rPr>
                <w:sz w:val="20"/>
                <w:szCs w:val="20"/>
              </w:rPr>
            </w:pPr>
          </w:p>
          <w:p>
            <w:pPr>
              <w:pStyle w:val="4069"/>
              <w:spacing w:before="2" w:line="280" w:lineRule="exact"/>
              <w:ind w:right="0"/>
              <w:jc w:val="left"/>
              <w:rPr>
                <w:sz w:val="28"/>
                <w:szCs w:val="28"/>
              </w:rPr>
            </w:pPr>
          </w:p>
          <w:p>
            <w:pPr>
              <w:pStyle w:val="4069"/>
              <w:spacing w:line="240" w:lineRule="auto"/>
              <w:ind w:left="145" w:right="0"/>
              <w:jc w:val="left"/>
              <w:rPr>
                <w:rFonts w:ascii="宋体" w:hAnsi="宋体" w:eastAsia="宋体" w:cs="宋体"/>
                <w:sz w:val="21"/>
                <w:szCs w:val="21"/>
              </w:rPr>
            </w:pPr>
            <w:r>
              <w:rPr>
                <w:rFonts w:ascii="宋体" w:hAnsi="宋体" w:eastAsia="宋体" w:cs="宋体"/>
                <w:sz w:val="21"/>
                <w:szCs w:val="21"/>
              </w:rPr>
              <w:t>最大存栏量</w:t>
            </w:r>
          </w:p>
        </w:tc>
        <w:tc>
          <w:tcPr>
            <w:tcW w:w="4900" w:type="dxa"/>
            <w:gridSpan w:val="4"/>
            <w:tcBorders>
              <w:tl2br w:val="nil"/>
              <w:tr2bl w:val="nil"/>
            </w:tcBorders>
          </w:tcPr>
          <w:p>
            <w:pPr>
              <w:pStyle w:val="4069"/>
              <w:spacing w:before="4" w:line="240" w:lineRule="auto"/>
              <w:ind w:left="13" w:right="0"/>
              <w:jc w:val="center"/>
              <w:rPr>
                <w:rFonts w:ascii="宋体" w:hAnsi="宋体" w:eastAsia="宋体" w:cs="宋体"/>
                <w:sz w:val="21"/>
                <w:szCs w:val="21"/>
              </w:rPr>
            </w:pPr>
            <w:r>
              <w:rPr>
                <w:rFonts w:ascii="宋体" w:hAnsi="宋体" w:eastAsia="宋体" w:cs="宋体"/>
                <w:sz w:val="21"/>
                <w:szCs w:val="21"/>
              </w:rPr>
              <w:t>污染物产生情况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2255" w:type="dxa"/>
            <w:vMerge w:val="continue"/>
            <w:tcBorders>
              <w:tl2br w:val="nil"/>
              <w:tr2bl w:val="nil"/>
            </w:tcBorders>
          </w:tcPr>
          <w:p/>
        </w:tc>
        <w:tc>
          <w:tcPr>
            <w:tcW w:w="1350" w:type="dxa"/>
            <w:vMerge w:val="continue"/>
            <w:tcBorders>
              <w:tl2br w:val="nil"/>
              <w:tr2bl w:val="nil"/>
            </w:tcBorders>
          </w:tcPr>
          <w:p/>
        </w:tc>
        <w:tc>
          <w:tcPr>
            <w:tcW w:w="2487" w:type="dxa"/>
            <w:gridSpan w:val="2"/>
            <w:tcBorders>
              <w:tl2br w:val="nil"/>
              <w:tr2bl w:val="nil"/>
            </w:tcBorders>
          </w:tcPr>
          <w:p>
            <w:pPr>
              <w:pStyle w:val="4069"/>
              <w:spacing w:line="259" w:lineRule="exact"/>
              <w:ind w:right="0"/>
              <w:jc w:val="center"/>
              <w:rPr>
                <w:rFonts w:ascii="宋体" w:hAnsi="宋体" w:eastAsia="宋体" w:cs="宋体"/>
                <w:sz w:val="21"/>
                <w:szCs w:val="21"/>
              </w:rPr>
            </w:pPr>
            <w:r>
              <w:rPr>
                <w:rFonts w:ascii="宋体" w:hAnsi="宋体" w:eastAsia="宋体" w:cs="宋体"/>
                <w:sz w:val="21"/>
                <w:szCs w:val="21"/>
              </w:rPr>
              <w:t>硫化氢</w:t>
            </w:r>
          </w:p>
        </w:tc>
        <w:tc>
          <w:tcPr>
            <w:tcW w:w="2413" w:type="dxa"/>
            <w:gridSpan w:val="2"/>
            <w:tcBorders>
              <w:tl2br w:val="nil"/>
              <w:tr2bl w:val="nil"/>
            </w:tcBorders>
          </w:tcPr>
          <w:p>
            <w:pPr>
              <w:pStyle w:val="4069"/>
              <w:spacing w:line="259" w:lineRule="exact"/>
              <w:ind w:left="7" w:right="0"/>
              <w:jc w:val="center"/>
              <w:rPr>
                <w:rFonts w:ascii="宋体" w:hAnsi="宋体" w:eastAsia="宋体" w:cs="宋体"/>
                <w:sz w:val="21"/>
                <w:szCs w:val="21"/>
              </w:rPr>
            </w:pPr>
            <w:r>
              <w:rPr>
                <w:rFonts w:ascii="宋体" w:hAnsi="宋体" w:eastAsia="宋体" w:cs="宋体"/>
                <w:sz w:val="21"/>
                <w:szCs w:val="21"/>
              </w:rPr>
              <w:t>氨气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4" w:hRule="exact"/>
        </w:trPr>
        <w:tc>
          <w:tcPr>
            <w:tcW w:w="2255" w:type="dxa"/>
            <w:vMerge w:val="continue"/>
            <w:tcBorders>
              <w:tl2br w:val="nil"/>
              <w:tr2bl w:val="nil"/>
            </w:tcBorders>
          </w:tcPr>
          <w:p/>
        </w:tc>
        <w:tc>
          <w:tcPr>
            <w:tcW w:w="1350" w:type="dxa"/>
            <w:vMerge w:val="continue"/>
            <w:tcBorders>
              <w:tl2br w:val="nil"/>
              <w:tr2bl w:val="nil"/>
            </w:tcBorders>
          </w:tcPr>
          <w:p/>
        </w:tc>
        <w:tc>
          <w:tcPr>
            <w:tcW w:w="1426" w:type="dxa"/>
            <w:tcBorders>
              <w:tl2br w:val="nil"/>
              <w:tr2bl w:val="nil"/>
            </w:tcBorders>
          </w:tcPr>
          <w:p>
            <w:pPr>
              <w:pStyle w:val="4069"/>
              <w:spacing w:before="144" w:line="240" w:lineRule="auto"/>
              <w:ind w:left="104" w:right="0"/>
              <w:jc w:val="left"/>
              <w:rPr>
                <w:rFonts w:ascii="宋体" w:hAnsi="宋体" w:eastAsia="宋体" w:cs="宋体"/>
                <w:sz w:val="21"/>
                <w:szCs w:val="21"/>
              </w:rPr>
            </w:pPr>
            <w:r>
              <w:rPr>
                <w:rFonts w:ascii="宋体" w:hAnsi="宋体" w:eastAsia="宋体" w:cs="宋体"/>
                <w:sz w:val="21"/>
                <w:szCs w:val="21"/>
              </w:rPr>
              <w:t>速率（</w:t>
            </w:r>
            <w:r>
              <w:rPr>
                <w:rFonts w:ascii="Calibri" w:hAnsi="Calibri" w:eastAsia="Calibri" w:cs="Calibri"/>
                <w:b/>
                <w:bCs/>
                <w:sz w:val="21"/>
                <w:szCs w:val="21"/>
              </w:rPr>
              <w:t>kg/h</w:t>
            </w:r>
            <w:r>
              <w:rPr>
                <w:rFonts w:ascii="宋体" w:hAnsi="宋体" w:eastAsia="宋体" w:cs="宋体"/>
                <w:sz w:val="21"/>
                <w:szCs w:val="21"/>
              </w:rPr>
              <w:t>）</w:t>
            </w:r>
          </w:p>
        </w:tc>
        <w:tc>
          <w:tcPr>
            <w:tcW w:w="1061" w:type="dxa"/>
            <w:tcBorders>
              <w:tl2br w:val="nil"/>
              <w:tr2bl w:val="nil"/>
            </w:tcBorders>
          </w:tcPr>
          <w:p>
            <w:pPr>
              <w:pStyle w:val="4069"/>
              <w:spacing w:line="260" w:lineRule="exact"/>
              <w:ind w:right="0"/>
              <w:jc w:val="center"/>
              <w:rPr>
                <w:rFonts w:ascii="宋体" w:hAnsi="宋体" w:eastAsia="宋体" w:cs="宋体"/>
                <w:sz w:val="21"/>
                <w:szCs w:val="21"/>
              </w:rPr>
            </w:pPr>
            <w:r>
              <w:rPr>
                <w:rFonts w:ascii="宋体" w:hAnsi="宋体" w:eastAsia="宋体" w:cs="宋体"/>
                <w:spacing w:val="1"/>
                <w:sz w:val="21"/>
                <w:szCs w:val="21"/>
              </w:rPr>
              <w:t>速率</w:t>
            </w:r>
          </w:p>
          <w:p>
            <w:pPr>
              <w:pStyle w:val="4069"/>
              <w:spacing w:before="40" w:line="240" w:lineRule="auto"/>
              <w:ind w:right="0"/>
              <w:jc w:val="center"/>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c>
          <w:tcPr>
            <w:tcW w:w="1220" w:type="dxa"/>
            <w:tcBorders>
              <w:tl2br w:val="nil"/>
              <w:tr2bl w:val="nil"/>
            </w:tcBorders>
          </w:tcPr>
          <w:p>
            <w:pPr>
              <w:pStyle w:val="4069"/>
              <w:spacing w:line="260" w:lineRule="exact"/>
              <w:ind w:left="1" w:right="0"/>
              <w:jc w:val="center"/>
              <w:rPr>
                <w:rFonts w:ascii="宋体" w:hAnsi="宋体" w:eastAsia="宋体" w:cs="宋体"/>
                <w:sz w:val="21"/>
                <w:szCs w:val="21"/>
              </w:rPr>
            </w:pPr>
            <w:r>
              <w:rPr>
                <w:rFonts w:ascii="宋体" w:hAnsi="宋体" w:eastAsia="宋体" w:cs="宋体"/>
                <w:spacing w:val="1"/>
                <w:sz w:val="21"/>
                <w:szCs w:val="21"/>
              </w:rPr>
              <w:t>速率</w:t>
            </w:r>
          </w:p>
          <w:p>
            <w:pPr>
              <w:pStyle w:val="4069"/>
              <w:spacing w:before="40" w:line="240" w:lineRule="auto"/>
              <w:ind w:left="2" w:right="0"/>
              <w:jc w:val="center"/>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1193" w:type="dxa"/>
            <w:tcBorders>
              <w:tl2br w:val="nil"/>
              <w:tr2bl w:val="nil"/>
            </w:tcBorders>
          </w:tcPr>
          <w:p>
            <w:pPr>
              <w:pStyle w:val="4069"/>
              <w:spacing w:before="144" w:line="240" w:lineRule="auto"/>
              <w:ind w:left="105" w:right="-13"/>
              <w:jc w:val="left"/>
              <w:rPr>
                <w:rFonts w:ascii="宋体" w:hAnsi="宋体" w:eastAsia="宋体" w:cs="宋体"/>
                <w:sz w:val="21"/>
                <w:szCs w:val="21"/>
              </w:rPr>
            </w:pPr>
            <w:r>
              <w:rPr>
                <w:rFonts w:ascii="宋体" w:hAnsi="宋体" w:eastAsia="宋体" w:cs="宋体"/>
                <w:spacing w:val="-4"/>
                <w:sz w:val="21"/>
                <w:szCs w:val="21"/>
              </w:rPr>
              <w:t>速率（</w:t>
            </w:r>
            <w:r>
              <w:rPr>
                <w:rFonts w:ascii="Calibri" w:hAnsi="Calibri" w:eastAsia="Calibri" w:cs="Calibri"/>
                <w:b/>
                <w:bCs/>
                <w:spacing w:val="-5"/>
                <w:sz w:val="21"/>
                <w:szCs w:val="21"/>
              </w:rPr>
              <w:t>t/a</w:t>
            </w:r>
            <w:r>
              <w:rPr>
                <w:rFonts w:ascii="宋体" w:hAnsi="宋体" w:eastAsia="宋体" w:cs="宋体"/>
                <w:spacing w:val="-4"/>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exact"/>
        </w:trPr>
        <w:tc>
          <w:tcPr>
            <w:tcW w:w="2255" w:type="dxa"/>
            <w:tcBorders>
              <w:tl2br w:val="nil"/>
              <w:tr2bl w:val="nil"/>
            </w:tcBorders>
          </w:tcPr>
          <w:p>
            <w:pPr>
              <w:pStyle w:val="4069"/>
              <w:spacing w:line="260" w:lineRule="exact"/>
              <w:ind w:left="692" w:right="0"/>
              <w:jc w:val="left"/>
              <w:rPr>
                <w:rFonts w:ascii="宋体" w:hAnsi="宋体" w:eastAsia="宋体" w:cs="宋体"/>
                <w:sz w:val="21"/>
                <w:szCs w:val="21"/>
              </w:rPr>
            </w:pPr>
            <w:r>
              <w:rPr>
                <w:rFonts w:ascii="宋体" w:hAnsi="宋体" w:eastAsia="宋体" w:cs="宋体"/>
                <w:sz w:val="21"/>
                <w:szCs w:val="21"/>
              </w:rPr>
              <w:t>牛待宰圈</w:t>
            </w:r>
          </w:p>
        </w:tc>
        <w:tc>
          <w:tcPr>
            <w:tcW w:w="1350" w:type="dxa"/>
            <w:tcBorders>
              <w:tl2br w:val="nil"/>
              <w:tr2bl w:val="nil"/>
            </w:tcBorders>
          </w:tcPr>
          <w:p>
            <w:pPr>
              <w:pStyle w:val="4069"/>
              <w:spacing w:line="288" w:lineRule="exact"/>
              <w:ind w:left="380" w:right="0"/>
              <w:jc w:val="left"/>
              <w:rPr>
                <w:rFonts w:ascii="宋体" w:hAnsi="宋体" w:eastAsia="宋体" w:cs="宋体"/>
                <w:sz w:val="21"/>
                <w:szCs w:val="21"/>
              </w:rPr>
            </w:pPr>
            <w:r>
              <w:rPr>
                <w:rFonts w:ascii="Calibri" w:hAnsi="Calibri" w:eastAsia="Calibri" w:cs="Calibri"/>
                <w:sz w:val="21"/>
                <w:szCs w:val="21"/>
              </w:rPr>
              <w:t>300</w:t>
            </w:r>
            <w:r>
              <w:rPr>
                <w:rFonts w:ascii="Calibri" w:hAnsi="Calibri" w:eastAsia="Calibri" w:cs="Calibri"/>
                <w:spacing w:val="-1"/>
                <w:sz w:val="21"/>
                <w:szCs w:val="21"/>
              </w:rPr>
              <w:t xml:space="preserve"> </w:t>
            </w:r>
            <w:r>
              <w:rPr>
                <w:rFonts w:ascii="宋体" w:hAnsi="宋体" w:eastAsia="宋体" w:cs="宋体"/>
                <w:sz w:val="21"/>
                <w:szCs w:val="21"/>
              </w:rPr>
              <w:t>头</w:t>
            </w:r>
          </w:p>
        </w:tc>
        <w:tc>
          <w:tcPr>
            <w:tcW w:w="1426" w:type="dxa"/>
            <w:tcBorders>
              <w:tl2br w:val="nil"/>
              <w:tr2bl w:val="nil"/>
            </w:tcBorders>
          </w:tcPr>
          <w:p>
            <w:pPr>
              <w:pStyle w:val="4069"/>
              <w:spacing w:before="27" w:line="240" w:lineRule="auto"/>
              <w:ind w:left="362" w:right="0"/>
              <w:jc w:val="left"/>
              <w:rPr>
                <w:rFonts w:ascii="Calibri" w:hAnsi="Calibri" w:eastAsia="Calibri" w:cs="Calibri"/>
                <w:sz w:val="21"/>
                <w:szCs w:val="21"/>
              </w:rPr>
            </w:pPr>
            <w:r>
              <w:rPr>
                <w:rFonts w:ascii="Calibri"/>
                <w:sz w:val="21"/>
              </w:rPr>
              <w:t>0.00105</w:t>
            </w:r>
          </w:p>
        </w:tc>
        <w:tc>
          <w:tcPr>
            <w:tcW w:w="1061" w:type="dxa"/>
            <w:tcBorders>
              <w:tl2br w:val="nil"/>
              <w:tr2bl w:val="nil"/>
            </w:tcBorders>
          </w:tcPr>
          <w:p>
            <w:pPr>
              <w:pStyle w:val="4069"/>
              <w:spacing w:before="27" w:line="240" w:lineRule="auto"/>
              <w:ind w:right="441"/>
              <w:jc w:val="both"/>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0.0091</w:t>
            </w:r>
          </w:p>
        </w:tc>
        <w:tc>
          <w:tcPr>
            <w:tcW w:w="1220" w:type="dxa"/>
            <w:tcBorders>
              <w:tl2br w:val="nil"/>
              <w:tr2bl w:val="nil"/>
            </w:tcBorders>
          </w:tcPr>
          <w:p>
            <w:pPr>
              <w:pStyle w:val="4069"/>
              <w:spacing w:before="27" w:line="240" w:lineRule="auto"/>
              <w:ind w:left="313" w:right="0"/>
              <w:jc w:val="left"/>
              <w:rPr>
                <w:rFonts w:ascii="Calibri" w:hAnsi="Calibri" w:eastAsia="Calibri" w:cs="Calibri"/>
                <w:sz w:val="21"/>
                <w:szCs w:val="21"/>
              </w:rPr>
            </w:pPr>
            <w:r>
              <w:rPr>
                <w:rFonts w:ascii="Calibri"/>
                <w:spacing w:val="-1"/>
                <w:sz w:val="21"/>
              </w:rPr>
              <w:t>0.0017</w:t>
            </w:r>
          </w:p>
        </w:tc>
        <w:tc>
          <w:tcPr>
            <w:tcW w:w="1193" w:type="dxa"/>
            <w:tcBorders>
              <w:tl2br w:val="nil"/>
              <w:tr2bl w:val="nil"/>
            </w:tcBorders>
          </w:tcPr>
          <w:p>
            <w:pPr>
              <w:pStyle w:val="4069"/>
              <w:spacing w:before="27" w:line="240" w:lineRule="auto"/>
              <w:ind w:left="11" w:right="0"/>
              <w:jc w:val="center"/>
              <w:rPr>
                <w:rFonts w:hint="default" w:ascii="Calibri" w:hAnsi="Calibri" w:eastAsia="宋体" w:cs="Calibri"/>
                <w:sz w:val="21"/>
                <w:szCs w:val="21"/>
                <w:lang w:val="en-US" w:eastAsia="zh-CN"/>
              </w:rPr>
            </w:pPr>
            <w:r>
              <w:rPr>
                <w:rFonts w:hint="eastAsia" w:ascii="Calibri" w:hAnsi="Calibri" w:eastAsia="宋体" w:cs="Calibri"/>
                <w:spacing w:val="1"/>
                <w:sz w:val="21"/>
                <w:szCs w:val="21"/>
                <w:lang w:val="en-US" w:eastAsia="zh-CN"/>
              </w:rPr>
              <w:t>0.0147</w:t>
            </w:r>
          </w:p>
        </w:tc>
      </w:tr>
    </w:tbl>
    <w:p>
      <w:pPr>
        <w:pStyle w:val="2"/>
        <w:spacing w:before="60" w:line="351" w:lineRule="auto"/>
        <w:ind w:left="0" w:leftChars="0" w:right="251" w:firstLine="468" w:firstLineChars="200"/>
        <w:jc w:val="both"/>
      </w:pPr>
      <w:r>
        <w:rPr>
          <w:spacing w:val="-3"/>
        </w:rPr>
        <w:t>屠宰</w:t>
      </w:r>
      <w:r>
        <w:rPr>
          <w:rFonts w:hint="eastAsia"/>
          <w:spacing w:val="-3"/>
          <w:lang w:eastAsia="zh-CN"/>
        </w:rPr>
        <w:t>车间</w:t>
      </w:r>
      <w:r>
        <w:rPr>
          <w:spacing w:val="-3"/>
        </w:rPr>
        <w:t>：屠宰车间内湿度较高，屠宰后的牲畜的湿皮、血、肠</w:t>
      </w:r>
      <w:r>
        <w:t>胃内容物</w:t>
      </w:r>
      <w:r>
        <w:rPr>
          <w:spacing w:val="-30"/>
        </w:rPr>
        <w:t>、</w:t>
      </w:r>
      <w:r>
        <w:t>粪尿等产生的臭气混杂在一起</w:t>
      </w:r>
      <w:r>
        <w:rPr>
          <w:spacing w:val="-29"/>
        </w:rPr>
        <w:t>，</w:t>
      </w:r>
      <w:r>
        <w:t>产生刺鼻的腥臭味</w:t>
      </w:r>
      <w:r>
        <w:rPr>
          <w:spacing w:val="-29"/>
        </w:rPr>
        <w:t>，</w:t>
      </w:r>
      <w:r>
        <w:t>并扩散至整个厂</w:t>
      </w:r>
      <w:r>
        <w:rPr>
          <w:spacing w:val="-1"/>
        </w:rPr>
        <w:t>区及周围地区。根据类比，在正常情况下整个屠宰区产生的</w:t>
      </w:r>
      <w:r>
        <w:rPr>
          <w:rFonts w:ascii="Calibri" w:hAnsi="Calibri" w:eastAsia="Calibri" w:cs="Calibri"/>
        </w:rPr>
        <w:t>NH</w:t>
      </w:r>
      <w:r>
        <w:rPr>
          <w:rFonts w:ascii="Calibri" w:hAnsi="Calibri" w:eastAsia="Calibri" w:cs="Calibri"/>
          <w:position w:val="-1"/>
          <w:sz w:val="15"/>
          <w:szCs w:val="15"/>
        </w:rPr>
        <w:t>3</w:t>
      </w:r>
      <w:r>
        <w:t>、</w:t>
      </w:r>
      <w:r>
        <w:rPr>
          <w:rFonts w:ascii="Calibri" w:hAnsi="Calibri" w:eastAsia="Calibri" w:cs="Calibri"/>
        </w:rPr>
        <w:t>H</w:t>
      </w:r>
      <w:r>
        <w:rPr>
          <w:rFonts w:ascii="Calibri" w:hAnsi="Calibri" w:eastAsia="Calibri" w:cs="Calibri"/>
          <w:position w:val="-1"/>
          <w:sz w:val="15"/>
          <w:szCs w:val="15"/>
        </w:rPr>
        <w:t>2</w:t>
      </w:r>
      <w:r>
        <w:rPr>
          <w:rFonts w:ascii="Calibri" w:hAnsi="Calibri" w:eastAsia="Calibri" w:cs="Calibri"/>
        </w:rPr>
        <w:t>S</w:t>
      </w:r>
      <w:r>
        <w:rPr>
          <w:rFonts w:ascii="Calibri" w:hAnsi="Calibri" w:eastAsia="Calibri" w:cs="Calibri"/>
          <w:spacing w:val="8"/>
        </w:rPr>
        <w:t xml:space="preserve"> </w:t>
      </w:r>
      <w:r>
        <w:rPr>
          <w:spacing w:val="1"/>
        </w:rPr>
        <w:t>强度分别</w:t>
      </w:r>
      <w:r>
        <w:t>为</w:t>
      </w:r>
      <w:r>
        <w:rPr>
          <w:rFonts w:ascii="Calibri" w:hAnsi="Calibri" w:eastAsia="Calibri" w:cs="Calibri"/>
          <w:spacing w:val="-1"/>
        </w:rPr>
        <w:t>0.0034kg/h</w:t>
      </w:r>
      <w:r>
        <w:rPr>
          <w:spacing w:val="-1"/>
        </w:rPr>
        <w:t>（</w:t>
      </w:r>
      <w:r>
        <w:rPr>
          <w:rFonts w:ascii="Calibri" w:hAnsi="Calibri" w:eastAsia="Calibri" w:cs="Calibri"/>
          <w:spacing w:val="-1"/>
        </w:rPr>
        <w:t>0.029t/a</w:t>
      </w:r>
      <w:r>
        <w:rPr>
          <w:spacing w:val="-1"/>
        </w:rPr>
        <w:t>）、</w:t>
      </w:r>
      <w:r>
        <w:rPr>
          <w:rFonts w:ascii="Calibri" w:hAnsi="Calibri" w:eastAsia="Calibri" w:cs="Calibri"/>
          <w:spacing w:val="-1"/>
        </w:rPr>
        <w:t>0.0006kg/h</w:t>
      </w:r>
      <w:r>
        <w:rPr>
          <w:spacing w:val="-1"/>
        </w:rPr>
        <w:t>（</w:t>
      </w:r>
      <w:r>
        <w:rPr>
          <w:rFonts w:ascii="Calibri" w:hAnsi="Calibri" w:eastAsia="Calibri" w:cs="Calibri"/>
          <w:spacing w:val="-1"/>
        </w:rPr>
        <w:t>0.0051t/a</w:t>
      </w:r>
      <w:r>
        <w:rPr>
          <w:spacing w:val="-1"/>
        </w:rPr>
        <w:t>）。</w:t>
      </w:r>
    </w:p>
    <w:p>
      <w:pPr>
        <w:pStyle w:val="1659"/>
        <w:rPr>
          <w:rFonts w:hint="eastAsia"/>
          <w:lang w:eastAsia="zh-CN"/>
        </w:rPr>
      </w:pPr>
      <w:r>
        <w:rPr>
          <w:spacing w:val="1"/>
        </w:rPr>
        <w:t>待宰圈、屠宰区恶臭气体产生及排放情况见表</w:t>
      </w:r>
      <w:r>
        <w:rPr>
          <w:rFonts w:hint="eastAsia" w:ascii="Calibri" w:hAnsi="Calibri" w:cs="Calibri"/>
          <w:lang w:val="en-US" w:eastAsia="zh-CN"/>
        </w:rPr>
        <w:t>3.3-9</w:t>
      </w:r>
      <w:r>
        <w:t>。本项目采用清洁、氧臭、通风和活性炭吸臭等措施进行除臭，查阅相关资料，除臭效率为</w:t>
      </w:r>
      <w:r>
        <w:rPr>
          <w:rFonts w:hint="eastAsia"/>
          <w:lang w:val="en-US" w:eastAsia="zh-CN"/>
        </w:rPr>
        <w:t>7</w:t>
      </w:r>
      <w:r>
        <w:rPr>
          <w:rFonts w:ascii="Calibri" w:hAnsi="Calibri" w:eastAsia="Calibri" w:cs="Calibri"/>
        </w:rPr>
        <w:t>0%</w:t>
      </w:r>
      <w:r>
        <w:t>，因此屠宰加工车间恶臭气体无组织排放情况见表</w:t>
      </w:r>
      <w:r>
        <w:rPr>
          <w:rFonts w:hint="eastAsia" w:ascii="Calibri" w:hAnsi="Calibri" w:cs="Calibri"/>
          <w:spacing w:val="-1"/>
          <w:lang w:val="en-US" w:eastAsia="zh-CN"/>
        </w:rPr>
        <w:t>3.3-10</w:t>
      </w:r>
      <w:r>
        <w:rPr>
          <w:spacing w:val="-1"/>
        </w:rPr>
        <w:t>。</w:t>
      </w:r>
    </w:p>
    <w:p>
      <w:pPr>
        <w:spacing w:before="18"/>
        <w:ind w:left="1342" w:right="0" w:firstLine="0"/>
        <w:jc w:val="left"/>
        <w:rPr>
          <w:rFonts w:ascii="宋体" w:hAnsi="宋体" w:eastAsia="宋体" w:cs="宋体"/>
          <w:sz w:val="24"/>
          <w:szCs w:val="24"/>
        </w:rPr>
      </w:pPr>
      <w:r>
        <w:rPr>
          <w:rFonts w:ascii="Times New Roman" w:hAnsi="Times New Roman" w:eastAsia="宋体" w:cs="Times New Roman"/>
          <w:kern w:val="2"/>
          <w:sz w:val="24"/>
          <w:szCs w:val="22"/>
          <w:lang w:val="en-US" w:eastAsia="zh-CN" w:bidi="ar-SA"/>
        </w:rPr>
        <w:t>表</w:t>
      </w:r>
      <w:r>
        <w:rPr>
          <w:rFonts w:hint="eastAsia" w:ascii="Times New Roman" w:hAnsi="Times New Roman" w:eastAsia="宋体" w:cs="Times New Roman"/>
          <w:kern w:val="2"/>
          <w:sz w:val="24"/>
          <w:szCs w:val="22"/>
          <w:lang w:val="en-US" w:eastAsia="zh-CN" w:bidi="ar-SA"/>
        </w:rPr>
        <w:t>3.3-9</w:t>
      </w:r>
      <w:r>
        <w:rPr>
          <w:rFonts w:ascii="Times New Roman" w:hAnsi="Times New Roman" w:eastAsia="宋体" w:cs="Times New Roman"/>
          <w:kern w:val="2"/>
          <w:sz w:val="24"/>
          <w:szCs w:val="22"/>
          <w:lang w:val="en-US" w:eastAsia="zh-CN" w:bidi="ar-SA"/>
        </w:rPr>
        <w:t xml:space="preserve"> </w:t>
      </w:r>
      <w:r>
        <w:rPr>
          <w:rFonts w:ascii="宋体" w:hAnsi="宋体" w:eastAsia="宋体" w:cs="宋体"/>
          <w:sz w:val="24"/>
          <w:szCs w:val="24"/>
        </w:rPr>
        <w:t>待宰圈、屠宰区恶臭气体产生及有组织排放情况</w:t>
      </w:r>
    </w:p>
    <w:tbl>
      <w:tblPr>
        <w:tblStyle w:val="88"/>
        <w:tblW w:w="0" w:type="auto"/>
        <w:tblInd w:w="9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402"/>
        <w:gridCol w:w="1721"/>
        <w:gridCol w:w="1338"/>
        <w:gridCol w:w="1530"/>
        <w:gridCol w:w="13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4" w:hRule="exact"/>
        </w:trPr>
        <w:tc>
          <w:tcPr>
            <w:tcW w:w="2402" w:type="dxa"/>
            <w:vMerge w:val="restart"/>
            <w:tcBorders>
              <w:tl2br w:val="nil"/>
              <w:tr2bl w:val="nil"/>
            </w:tcBorders>
          </w:tcPr>
          <w:p>
            <w:pPr>
              <w:pStyle w:val="4069"/>
              <w:spacing w:before="8" w:line="140" w:lineRule="exact"/>
              <w:ind w:right="0"/>
              <w:jc w:val="left"/>
              <w:rPr>
                <w:sz w:val="14"/>
                <w:szCs w:val="14"/>
              </w:rPr>
            </w:pPr>
          </w:p>
          <w:p>
            <w:pPr>
              <w:pStyle w:val="4069"/>
              <w:spacing w:line="200" w:lineRule="exact"/>
              <w:ind w:right="0"/>
              <w:jc w:val="left"/>
              <w:rPr>
                <w:sz w:val="20"/>
                <w:szCs w:val="20"/>
              </w:rPr>
            </w:pPr>
          </w:p>
          <w:p>
            <w:pPr>
              <w:pStyle w:val="4069"/>
              <w:spacing w:line="240" w:lineRule="auto"/>
              <w:ind w:right="7"/>
              <w:jc w:val="center"/>
              <w:rPr>
                <w:rFonts w:ascii="宋体" w:hAnsi="宋体" w:eastAsia="宋体" w:cs="宋体"/>
                <w:sz w:val="21"/>
                <w:szCs w:val="21"/>
              </w:rPr>
            </w:pPr>
            <w:r>
              <w:rPr>
                <w:rFonts w:ascii="宋体" w:hAnsi="宋体" w:eastAsia="宋体" w:cs="宋体"/>
                <w:spacing w:val="1"/>
                <w:sz w:val="21"/>
                <w:szCs w:val="21"/>
              </w:rPr>
              <w:t>名称</w:t>
            </w:r>
          </w:p>
        </w:tc>
        <w:tc>
          <w:tcPr>
            <w:tcW w:w="3059" w:type="dxa"/>
            <w:gridSpan w:val="2"/>
            <w:tcBorders>
              <w:tl2br w:val="nil"/>
              <w:tr2bl w:val="nil"/>
            </w:tcBorders>
          </w:tcPr>
          <w:p>
            <w:pPr>
              <w:pStyle w:val="4069"/>
              <w:spacing w:before="21" w:line="240" w:lineRule="auto"/>
              <w:ind w:left="2" w:right="0"/>
              <w:jc w:val="center"/>
              <w:rPr>
                <w:rFonts w:ascii="宋体" w:hAnsi="宋体" w:eastAsia="宋体" w:cs="宋体"/>
                <w:sz w:val="21"/>
                <w:szCs w:val="21"/>
              </w:rPr>
            </w:pPr>
            <w:r>
              <w:rPr>
                <w:rFonts w:ascii="宋体" w:hAnsi="宋体" w:eastAsia="宋体" w:cs="宋体"/>
                <w:spacing w:val="-1"/>
                <w:position w:val="2"/>
                <w:sz w:val="21"/>
                <w:szCs w:val="21"/>
              </w:rPr>
              <w:t>氨（</w:t>
            </w:r>
            <w:r>
              <w:rPr>
                <w:rFonts w:ascii="Calibri" w:hAnsi="Calibri" w:eastAsia="Calibri" w:cs="Calibri"/>
                <w:b/>
                <w:bCs/>
                <w:spacing w:val="-1"/>
                <w:position w:val="2"/>
                <w:sz w:val="21"/>
                <w:szCs w:val="21"/>
              </w:rPr>
              <w:t>NH</w:t>
            </w:r>
            <w:r>
              <w:rPr>
                <w:rFonts w:ascii="Calibri" w:hAnsi="Calibri" w:eastAsia="Calibri" w:cs="Calibri"/>
                <w:b/>
                <w:bCs/>
                <w:spacing w:val="-1"/>
                <w:sz w:val="13"/>
                <w:szCs w:val="13"/>
              </w:rPr>
              <w:t>3</w:t>
            </w:r>
            <w:r>
              <w:rPr>
                <w:rFonts w:ascii="宋体" w:hAnsi="宋体" w:eastAsia="宋体" w:cs="宋体"/>
                <w:spacing w:val="-1"/>
                <w:position w:val="2"/>
                <w:sz w:val="21"/>
                <w:szCs w:val="21"/>
              </w:rPr>
              <w:t>）</w:t>
            </w:r>
          </w:p>
        </w:tc>
        <w:tc>
          <w:tcPr>
            <w:tcW w:w="2906" w:type="dxa"/>
            <w:gridSpan w:val="2"/>
            <w:tcBorders>
              <w:tl2br w:val="nil"/>
              <w:tr2bl w:val="nil"/>
            </w:tcBorders>
          </w:tcPr>
          <w:p>
            <w:pPr>
              <w:pStyle w:val="4069"/>
              <w:spacing w:before="21" w:line="240" w:lineRule="auto"/>
              <w:ind w:left="771" w:right="0"/>
              <w:jc w:val="left"/>
              <w:rPr>
                <w:rFonts w:ascii="宋体" w:hAnsi="宋体" w:eastAsia="宋体" w:cs="宋体"/>
                <w:sz w:val="21"/>
                <w:szCs w:val="21"/>
              </w:rPr>
            </w:pPr>
            <w:r>
              <w:rPr>
                <w:rFonts w:ascii="宋体" w:hAnsi="宋体" w:eastAsia="宋体" w:cs="宋体"/>
                <w:position w:val="2"/>
                <w:sz w:val="21"/>
                <w:szCs w:val="21"/>
              </w:rPr>
              <w:t>硫化氢（</w:t>
            </w:r>
            <w:r>
              <w:rPr>
                <w:rFonts w:ascii="Calibri" w:hAnsi="Calibri" w:eastAsia="Calibri" w:cs="Calibri"/>
                <w:b/>
                <w:bCs/>
                <w:position w:val="2"/>
                <w:sz w:val="21"/>
                <w:szCs w:val="21"/>
              </w:rPr>
              <w:t>H</w:t>
            </w:r>
            <w:r>
              <w:rPr>
                <w:rFonts w:ascii="Calibri" w:hAnsi="Calibri" w:eastAsia="Calibri" w:cs="Calibri"/>
                <w:b/>
                <w:bCs/>
                <w:sz w:val="13"/>
                <w:szCs w:val="13"/>
              </w:rPr>
              <w:t>2</w:t>
            </w:r>
            <w:r>
              <w:rPr>
                <w:rFonts w:ascii="Calibri" w:hAnsi="Calibri" w:eastAsia="Calibri" w:cs="Calibri"/>
                <w:b/>
                <w:bCs/>
                <w:position w:val="2"/>
                <w:sz w:val="21"/>
                <w:szCs w:val="21"/>
              </w:rPr>
              <w:t>S</w:t>
            </w:r>
            <w:r>
              <w:rPr>
                <w:rFonts w:ascii="宋体" w:hAnsi="宋体" w:eastAsia="宋体" w:cs="宋体"/>
                <w:position w:val="2"/>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exact"/>
        </w:trPr>
        <w:tc>
          <w:tcPr>
            <w:tcW w:w="2402" w:type="dxa"/>
            <w:vMerge w:val="continue"/>
            <w:tcBorders>
              <w:tl2br w:val="nil"/>
              <w:tr2bl w:val="nil"/>
            </w:tcBorders>
          </w:tcPr>
          <w:p/>
        </w:tc>
        <w:tc>
          <w:tcPr>
            <w:tcW w:w="1721" w:type="dxa"/>
            <w:tcBorders>
              <w:tl2br w:val="nil"/>
              <w:tr2bl w:val="nil"/>
            </w:tcBorders>
          </w:tcPr>
          <w:p>
            <w:pPr>
              <w:pStyle w:val="4069"/>
              <w:spacing w:line="268" w:lineRule="exact"/>
              <w:ind w:left="434" w:right="0"/>
              <w:jc w:val="left"/>
              <w:rPr>
                <w:rFonts w:ascii="宋体" w:hAnsi="宋体" w:eastAsia="宋体" w:cs="宋体"/>
                <w:sz w:val="21"/>
                <w:szCs w:val="21"/>
              </w:rPr>
            </w:pPr>
            <w:r>
              <w:rPr>
                <w:rFonts w:ascii="宋体" w:hAnsi="宋体" w:eastAsia="宋体" w:cs="宋体"/>
                <w:sz w:val="21"/>
                <w:szCs w:val="21"/>
              </w:rPr>
              <w:t>产生速率</w:t>
            </w:r>
          </w:p>
          <w:p>
            <w:pPr>
              <w:pStyle w:val="4069"/>
              <w:spacing w:before="41" w:line="240" w:lineRule="auto"/>
              <w:ind w:left="440"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1338" w:type="dxa"/>
            <w:tcBorders>
              <w:tl2br w:val="nil"/>
              <w:tr2bl w:val="nil"/>
            </w:tcBorders>
          </w:tcPr>
          <w:p>
            <w:pPr>
              <w:pStyle w:val="4069"/>
              <w:spacing w:line="268" w:lineRule="exact"/>
              <w:ind w:left="348" w:right="0"/>
              <w:jc w:val="left"/>
              <w:rPr>
                <w:rFonts w:ascii="宋体" w:hAnsi="宋体" w:eastAsia="宋体" w:cs="宋体"/>
                <w:sz w:val="21"/>
                <w:szCs w:val="21"/>
              </w:rPr>
            </w:pPr>
            <w:r>
              <w:rPr>
                <w:rFonts w:ascii="宋体" w:hAnsi="宋体" w:eastAsia="宋体" w:cs="宋体"/>
                <w:sz w:val="21"/>
                <w:szCs w:val="21"/>
              </w:rPr>
              <w:t>产生量</w:t>
            </w:r>
          </w:p>
          <w:p>
            <w:pPr>
              <w:pStyle w:val="4069"/>
              <w:spacing w:before="41" w:line="240" w:lineRule="auto"/>
              <w:ind w:left="322" w:right="0"/>
              <w:jc w:val="left"/>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b/>
                <w:bCs/>
                <w:spacing w:val="-1"/>
                <w:sz w:val="21"/>
                <w:szCs w:val="21"/>
              </w:rPr>
              <w:t>t/a</w:t>
            </w:r>
            <w:r>
              <w:rPr>
                <w:rFonts w:ascii="宋体" w:hAnsi="宋体" w:eastAsia="宋体" w:cs="宋体"/>
                <w:spacing w:val="-1"/>
                <w:sz w:val="21"/>
                <w:szCs w:val="21"/>
              </w:rPr>
              <w:t>）</w:t>
            </w:r>
          </w:p>
        </w:tc>
        <w:tc>
          <w:tcPr>
            <w:tcW w:w="1530" w:type="dxa"/>
            <w:tcBorders>
              <w:tl2br w:val="nil"/>
              <w:tr2bl w:val="nil"/>
            </w:tcBorders>
          </w:tcPr>
          <w:p>
            <w:pPr>
              <w:pStyle w:val="4069"/>
              <w:spacing w:line="268" w:lineRule="exact"/>
              <w:ind w:left="339" w:right="0"/>
              <w:jc w:val="left"/>
              <w:rPr>
                <w:rFonts w:ascii="宋体" w:hAnsi="宋体" w:eastAsia="宋体" w:cs="宋体"/>
                <w:sz w:val="21"/>
                <w:szCs w:val="21"/>
              </w:rPr>
            </w:pPr>
            <w:r>
              <w:rPr>
                <w:rFonts w:ascii="宋体" w:hAnsi="宋体" w:eastAsia="宋体" w:cs="宋体"/>
                <w:sz w:val="21"/>
                <w:szCs w:val="21"/>
              </w:rPr>
              <w:t>产生速率</w:t>
            </w:r>
          </w:p>
          <w:p>
            <w:pPr>
              <w:pStyle w:val="4069"/>
              <w:spacing w:before="41" w:line="240" w:lineRule="auto"/>
              <w:ind w:left="345"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1376" w:type="dxa"/>
            <w:tcBorders>
              <w:tl2br w:val="nil"/>
              <w:tr2bl w:val="nil"/>
            </w:tcBorders>
          </w:tcPr>
          <w:p>
            <w:pPr>
              <w:pStyle w:val="4069"/>
              <w:spacing w:line="268" w:lineRule="exact"/>
              <w:ind w:left="367" w:right="0"/>
              <w:jc w:val="left"/>
              <w:rPr>
                <w:rFonts w:ascii="宋体" w:hAnsi="宋体" w:eastAsia="宋体" w:cs="宋体"/>
                <w:sz w:val="21"/>
                <w:szCs w:val="21"/>
              </w:rPr>
            </w:pPr>
            <w:r>
              <w:rPr>
                <w:rFonts w:ascii="宋体" w:hAnsi="宋体" w:eastAsia="宋体" w:cs="宋体"/>
                <w:sz w:val="21"/>
                <w:szCs w:val="21"/>
              </w:rPr>
              <w:t>产生量</w:t>
            </w:r>
          </w:p>
          <w:p>
            <w:pPr>
              <w:pStyle w:val="4069"/>
              <w:spacing w:before="41" w:line="240" w:lineRule="auto"/>
              <w:ind w:left="342" w:right="0"/>
              <w:jc w:val="left"/>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6" w:hRule="exact"/>
        </w:trPr>
        <w:tc>
          <w:tcPr>
            <w:tcW w:w="2402" w:type="dxa"/>
            <w:tcBorders>
              <w:tl2br w:val="nil"/>
              <w:tr2bl w:val="nil"/>
            </w:tcBorders>
          </w:tcPr>
          <w:p>
            <w:pPr>
              <w:pStyle w:val="4069"/>
              <w:spacing w:line="266" w:lineRule="exact"/>
              <w:ind w:left="851" w:right="862"/>
              <w:jc w:val="center"/>
              <w:rPr>
                <w:rFonts w:ascii="宋体" w:hAnsi="宋体" w:eastAsia="宋体" w:cs="宋体"/>
                <w:sz w:val="21"/>
                <w:szCs w:val="21"/>
              </w:rPr>
            </w:pPr>
            <w:r>
              <w:rPr>
                <w:rFonts w:ascii="宋体" w:hAnsi="宋体" w:eastAsia="宋体" w:cs="宋体"/>
                <w:sz w:val="21"/>
                <w:szCs w:val="21"/>
              </w:rPr>
              <w:t>待宰圈</w:t>
            </w:r>
          </w:p>
        </w:tc>
        <w:tc>
          <w:tcPr>
            <w:tcW w:w="1721" w:type="dxa"/>
            <w:tcBorders>
              <w:tl2br w:val="nil"/>
              <w:tr2bl w:val="nil"/>
            </w:tcBorders>
            <w:vAlign w:val="top"/>
          </w:tcPr>
          <w:p>
            <w:pPr>
              <w:pStyle w:val="4069"/>
              <w:spacing w:before="27" w:line="240" w:lineRule="auto"/>
              <w:ind w:left="362" w:leftChars="0" w:right="0" w:rightChars="0"/>
              <w:jc w:val="left"/>
              <w:rPr>
                <w:rFonts w:ascii="Calibri" w:hAnsi="Calibri" w:eastAsia="Calibri" w:cs="Calibri"/>
                <w:sz w:val="21"/>
                <w:szCs w:val="21"/>
              </w:rPr>
            </w:pPr>
            <w:r>
              <w:rPr>
                <w:rFonts w:ascii="Calibri"/>
                <w:sz w:val="21"/>
              </w:rPr>
              <w:t>0.00105</w:t>
            </w:r>
          </w:p>
        </w:tc>
        <w:tc>
          <w:tcPr>
            <w:tcW w:w="1338" w:type="dxa"/>
            <w:tcBorders>
              <w:tl2br w:val="nil"/>
              <w:tr2bl w:val="nil"/>
            </w:tcBorders>
            <w:vAlign w:val="top"/>
          </w:tcPr>
          <w:p>
            <w:pPr>
              <w:pStyle w:val="4069"/>
              <w:spacing w:before="27" w:line="240" w:lineRule="auto"/>
              <w:ind w:right="441" w:rightChars="0"/>
              <w:jc w:val="both"/>
              <w:rPr>
                <w:rFonts w:ascii="Calibri" w:hAnsi="Calibri" w:eastAsia="Calibri" w:cs="Calibri"/>
                <w:sz w:val="21"/>
                <w:szCs w:val="21"/>
              </w:rPr>
            </w:pPr>
            <w:r>
              <w:rPr>
                <w:rFonts w:hint="eastAsia" w:ascii="Calibri" w:hAnsi="Calibri" w:eastAsia="宋体" w:cs="Calibri"/>
                <w:sz w:val="21"/>
                <w:szCs w:val="21"/>
                <w:lang w:val="en-US" w:eastAsia="zh-CN"/>
              </w:rPr>
              <w:t>0.0091</w:t>
            </w:r>
          </w:p>
        </w:tc>
        <w:tc>
          <w:tcPr>
            <w:tcW w:w="1530" w:type="dxa"/>
            <w:tcBorders>
              <w:tl2br w:val="nil"/>
              <w:tr2bl w:val="nil"/>
            </w:tcBorders>
            <w:vAlign w:val="top"/>
          </w:tcPr>
          <w:p>
            <w:pPr>
              <w:pStyle w:val="4069"/>
              <w:spacing w:before="27" w:line="240" w:lineRule="auto"/>
              <w:ind w:left="313" w:leftChars="0" w:right="0" w:rightChars="0"/>
              <w:jc w:val="left"/>
              <w:rPr>
                <w:rFonts w:ascii="Calibri" w:hAnsi="Calibri" w:eastAsia="Calibri" w:cs="Calibri"/>
                <w:sz w:val="21"/>
                <w:szCs w:val="21"/>
              </w:rPr>
            </w:pPr>
            <w:r>
              <w:rPr>
                <w:rFonts w:ascii="Calibri"/>
                <w:spacing w:val="-1"/>
                <w:sz w:val="21"/>
              </w:rPr>
              <w:t>0.0017</w:t>
            </w:r>
          </w:p>
        </w:tc>
        <w:tc>
          <w:tcPr>
            <w:tcW w:w="1376" w:type="dxa"/>
            <w:tcBorders>
              <w:tl2br w:val="nil"/>
              <w:tr2bl w:val="nil"/>
            </w:tcBorders>
            <w:vAlign w:val="top"/>
          </w:tcPr>
          <w:p>
            <w:pPr>
              <w:pStyle w:val="4069"/>
              <w:spacing w:before="27" w:line="240" w:lineRule="auto"/>
              <w:ind w:left="11" w:leftChars="0" w:right="0" w:rightChars="0"/>
              <w:jc w:val="center"/>
              <w:rPr>
                <w:rFonts w:ascii="Calibri" w:hAnsi="Calibri" w:eastAsia="Calibri" w:cs="Calibri"/>
                <w:sz w:val="21"/>
                <w:szCs w:val="21"/>
              </w:rPr>
            </w:pPr>
            <w:r>
              <w:rPr>
                <w:rFonts w:hint="eastAsia" w:ascii="Calibri" w:hAnsi="Calibri" w:eastAsia="宋体" w:cs="Calibri"/>
                <w:spacing w:val="1"/>
                <w:sz w:val="21"/>
                <w:szCs w:val="21"/>
                <w:lang w:val="en-US" w:eastAsia="zh-CN"/>
              </w:rPr>
              <w:t>0.0147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exact"/>
        </w:trPr>
        <w:tc>
          <w:tcPr>
            <w:tcW w:w="2402" w:type="dxa"/>
            <w:tcBorders>
              <w:tl2br w:val="nil"/>
              <w:tr2bl w:val="nil"/>
            </w:tcBorders>
          </w:tcPr>
          <w:p>
            <w:pPr>
              <w:pStyle w:val="4069"/>
              <w:spacing w:line="267" w:lineRule="exact"/>
              <w:ind w:left="851" w:right="862"/>
              <w:jc w:val="center"/>
              <w:rPr>
                <w:rFonts w:ascii="宋体" w:hAnsi="宋体" w:eastAsia="宋体" w:cs="宋体"/>
                <w:sz w:val="21"/>
                <w:szCs w:val="21"/>
              </w:rPr>
            </w:pPr>
            <w:r>
              <w:rPr>
                <w:rFonts w:ascii="宋体" w:hAnsi="宋体" w:eastAsia="宋体" w:cs="宋体"/>
                <w:sz w:val="21"/>
                <w:szCs w:val="21"/>
              </w:rPr>
              <w:t>屠宰区</w:t>
            </w:r>
          </w:p>
        </w:tc>
        <w:tc>
          <w:tcPr>
            <w:tcW w:w="1721" w:type="dxa"/>
            <w:tcBorders>
              <w:tl2br w:val="nil"/>
              <w:tr2bl w:val="nil"/>
            </w:tcBorders>
          </w:tcPr>
          <w:p>
            <w:pPr>
              <w:pStyle w:val="4069"/>
              <w:spacing w:before="34" w:line="240" w:lineRule="auto"/>
              <w:ind w:left="562" w:right="0"/>
              <w:jc w:val="left"/>
              <w:rPr>
                <w:rFonts w:ascii="Calibri" w:hAnsi="Calibri" w:eastAsia="Calibri" w:cs="Calibri"/>
                <w:sz w:val="21"/>
                <w:szCs w:val="21"/>
              </w:rPr>
            </w:pPr>
            <w:r>
              <w:rPr>
                <w:rFonts w:ascii="Calibri"/>
                <w:spacing w:val="-1"/>
                <w:sz w:val="21"/>
              </w:rPr>
              <w:t>0.0034</w:t>
            </w:r>
          </w:p>
        </w:tc>
        <w:tc>
          <w:tcPr>
            <w:tcW w:w="1338" w:type="dxa"/>
            <w:tcBorders>
              <w:tl2br w:val="nil"/>
              <w:tr2bl w:val="nil"/>
            </w:tcBorders>
          </w:tcPr>
          <w:p>
            <w:pPr>
              <w:pStyle w:val="4069"/>
              <w:spacing w:before="34" w:line="240" w:lineRule="auto"/>
              <w:ind w:left="424" w:right="0"/>
              <w:jc w:val="left"/>
              <w:rPr>
                <w:rFonts w:ascii="Calibri" w:hAnsi="Calibri" w:eastAsia="Calibri" w:cs="Calibri"/>
                <w:sz w:val="21"/>
                <w:szCs w:val="21"/>
              </w:rPr>
            </w:pPr>
            <w:r>
              <w:rPr>
                <w:rFonts w:ascii="Calibri"/>
                <w:sz w:val="21"/>
              </w:rPr>
              <w:t>0.029</w:t>
            </w:r>
          </w:p>
        </w:tc>
        <w:tc>
          <w:tcPr>
            <w:tcW w:w="1530" w:type="dxa"/>
            <w:tcBorders>
              <w:tl2br w:val="nil"/>
              <w:tr2bl w:val="nil"/>
            </w:tcBorders>
          </w:tcPr>
          <w:p>
            <w:pPr>
              <w:pStyle w:val="4069"/>
              <w:spacing w:before="34" w:line="240" w:lineRule="auto"/>
              <w:ind w:left="468" w:right="0"/>
              <w:jc w:val="left"/>
              <w:rPr>
                <w:rFonts w:ascii="Calibri" w:hAnsi="Calibri" w:eastAsia="Calibri" w:cs="Calibri"/>
                <w:sz w:val="21"/>
                <w:szCs w:val="21"/>
              </w:rPr>
            </w:pPr>
            <w:r>
              <w:rPr>
                <w:rFonts w:ascii="Calibri"/>
                <w:spacing w:val="-1"/>
                <w:sz w:val="21"/>
              </w:rPr>
              <w:t>0.0006</w:t>
            </w:r>
          </w:p>
        </w:tc>
        <w:tc>
          <w:tcPr>
            <w:tcW w:w="1376" w:type="dxa"/>
            <w:tcBorders>
              <w:tl2br w:val="nil"/>
              <w:tr2bl w:val="nil"/>
            </w:tcBorders>
          </w:tcPr>
          <w:p>
            <w:pPr>
              <w:pStyle w:val="4069"/>
              <w:spacing w:before="34" w:line="240" w:lineRule="auto"/>
              <w:ind w:left="390" w:right="0"/>
              <w:jc w:val="left"/>
              <w:rPr>
                <w:rFonts w:ascii="Calibri" w:hAnsi="Calibri" w:eastAsia="Calibri" w:cs="Calibri"/>
                <w:sz w:val="21"/>
                <w:szCs w:val="21"/>
              </w:rPr>
            </w:pPr>
            <w:r>
              <w:rPr>
                <w:rFonts w:ascii="Calibri"/>
                <w:spacing w:val="-1"/>
                <w:sz w:val="21"/>
              </w:rPr>
              <w:t>0.0051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exact"/>
        </w:trPr>
        <w:tc>
          <w:tcPr>
            <w:tcW w:w="8368" w:type="dxa"/>
            <w:gridSpan w:val="5"/>
            <w:tcBorders>
              <w:tl2br w:val="nil"/>
              <w:tr2bl w:val="nil"/>
            </w:tcBorders>
          </w:tcPr>
          <w:p>
            <w:pPr>
              <w:pStyle w:val="4069"/>
              <w:spacing w:line="294" w:lineRule="exact"/>
              <w:ind w:left="1" w:right="0"/>
              <w:jc w:val="center"/>
              <w:rPr>
                <w:rFonts w:ascii="Calibri" w:hAnsi="Calibri" w:eastAsia="Calibri" w:cs="Calibri"/>
                <w:sz w:val="21"/>
                <w:szCs w:val="21"/>
              </w:rPr>
            </w:pPr>
            <w:r>
              <w:rPr>
                <w:rFonts w:ascii="宋体" w:hAnsi="宋体" w:eastAsia="宋体" w:cs="宋体"/>
                <w:sz w:val="21"/>
                <w:szCs w:val="21"/>
              </w:rPr>
              <w:t>除臭效率为</w:t>
            </w:r>
            <w:r>
              <w:rPr>
                <w:rFonts w:ascii="宋体" w:hAnsi="宋体" w:eastAsia="宋体" w:cs="宋体"/>
                <w:spacing w:val="-58"/>
                <w:sz w:val="21"/>
                <w:szCs w:val="21"/>
              </w:rPr>
              <w:t xml:space="preserve"> </w:t>
            </w:r>
            <w:r>
              <w:rPr>
                <w:rFonts w:ascii="Calibri" w:hAnsi="Calibri" w:eastAsia="Calibri" w:cs="Calibri"/>
                <w:sz w:val="21"/>
                <w:szCs w:val="21"/>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4" w:hRule="exact"/>
        </w:trPr>
        <w:tc>
          <w:tcPr>
            <w:tcW w:w="2402" w:type="dxa"/>
            <w:tcBorders>
              <w:tl2br w:val="nil"/>
              <w:tr2bl w:val="nil"/>
            </w:tcBorders>
          </w:tcPr>
          <w:p>
            <w:pPr>
              <w:pStyle w:val="4069"/>
              <w:spacing w:before="3" w:line="180" w:lineRule="exact"/>
              <w:ind w:right="0"/>
              <w:jc w:val="left"/>
              <w:rPr>
                <w:sz w:val="18"/>
                <w:szCs w:val="18"/>
              </w:rPr>
            </w:pPr>
          </w:p>
          <w:p>
            <w:pPr>
              <w:pStyle w:val="4069"/>
              <w:spacing w:line="240" w:lineRule="auto"/>
              <w:ind w:right="7"/>
              <w:jc w:val="center"/>
              <w:rPr>
                <w:rFonts w:ascii="Calibri" w:hAnsi="Calibri" w:eastAsia="Calibri" w:cs="Calibri"/>
                <w:sz w:val="21"/>
                <w:szCs w:val="21"/>
              </w:rPr>
            </w:pPr>
            <w:r>
              <w:rPr>
                <w:rFonts w:ascii="Calibri" w:hAnsi="Calibri" w:eastAsia="Calibri" w:cs="Calibri"/>
                <w:sz w:val="21"/>
                <w:szCs w:val="21"/>
              </w:rPr>
              <w:t>‐‐</w:t>
            </w:r>
          </w:p>
        </w:tc>
        <w:tc>
          <w:tcPr>
            <w:tcW w:w="1721" w:type="dxa"/>
            <w:tcBorders>
              <w:tl2br w:val="nil"/>
              <w:tr2bl w:val="nil"/>
            </w:tcBorders>
          </w:tcPr>
          <w:p>
            <w:pPr>
              <w:pStyle w:val="4069"/>
              <w:spacing w:line="260" w:lineRule="exact"/>
              <w:ind w:left="434" w:right="0"/>
              <w:jc w:val="left"/>
              <w:rPr>
                <w:rFonts w:ascii="宋体" w:hAnsi="宋体" w:eastAsia="宋体" w:cs="宋体"/>
                <w:sz w:val="21"/>
                <w:szCs w:val="21"/>
              </w:rPr>
            </w:pPr>
            <w:r>
              <w:rPr>
                <w:rFonts w:ascii="宋体" w:hAnsi="宋体" w:eastAsia="宋体" w:cs="宋体"/>
                <w:sz w:val="21"/>
                <w:szCs w:val="21"/>
              </w:rPr>
              <w:t>排放速率</w:t>
            </w:r>
          </w:p>
          <w:p>
            <w:pPr>
              <w:pStyle w:val="4069"/>
              <w:spacing w:before="40" w:line="240" w:lineRule="auto"/>
              <w:ind w:left="440"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1338" w:type="dxa"/>
            <w:tcBorders>
              <w:tl2br w:val="nil"/>
              <w:tr2bl w:val="nil"/>
            </w:tcBorders>
          </w:tcPr>
          <w:p>
            <w:pPr>
              <w:pStyle w:val="4069"/>
              <w:spacing w:line="260" w:lineRule="exact"/>
              <w:ind w:left="348" w:right="0"/>
              <w:jc w:val="left"/>
              <w:rPr>
                <w:rFonts w:ascii="宋体" w:hAnsi="宋体" w:eastAsia="宋体" w:cs="宋体"/>
                <w:sz w:val="21"/>
                <w:szCs w:val="21"/>
              </w:rPr>
            </w:pPr>
            <w:r>
              <w:rPr>
                <w:rFonts w:ascii="宋体" w:hAnsi="宋体" w:eastAsia="宋体" w:cs="宋体"/>
                <w:sz w:val="21"/>
                <w:szCs w:val="21"/>
              </w:rPr>
              <w:t>排放量</w:t>
            </w:r>
          </w:p>
          <w:p>
            <w:pPr>
              <w:pStyle w:val="4069"/>
              <w:spacing w:before="40" w:line="240" w:lineRule="auto"/>
              <w:ind w:left="322" w:right="0"/>
              <w:jc w:val="left"/>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b/>
                <w:bCs/>
                <w:spacing w:val="-1"/>
                <w:sz w:val="21"/>
                <w:szCs w:val="21"/>
              </w:rPr>
              <w:t>t/a</w:t>
            </w:r>
            <w:r>
              <w:rPr>
                <w:rFonts w:ascii="宋体" w:hAnsi="宋体" w:eastAsia="宋体" w:cs="宋体"/>
                <w:spacing w:val="-1"/>
                <w:sz w:val="21"/>
                <w:szCs w:val="21"/>
              </w:rPr>
              <w:t>）</w:t>
            </w:r>
          </w:p>
        </w:tc>
        <w:tc>
          <w:tcPr>
            <w:tcW w:w="1530" w:type="dxa"/>
            <w:tcBorders>
              <w:tl2br w:val="nil"/>
              <w:tr2bl w:val="nil"/>
            </w:tcBorders>
          </w:tcPr>
          <w:p>
            <w:pPr>
              <w:pStyle w:val="4069"/>
              <w:spacing w:line="260" w:lineRule="exact"/>
              <w:ind w:left="339" w:right="0"/>
              <w:jc w:val="left"/>
              <w:rPr>
                <w:rFonts w:ascii="宋体" w:hAnsi="宋体" w:eastAsia="宋体" w:cs="宋体"/>
                <w:sz w:val="21"/>
                <w:szCs w:val="21"/>
              </w:rPr>
            </w:pPr>
            <w:r>
              <w:rPr>
                <w:rFonts w:ascii="宋体" w:hAnsi="宋体" w:eastAsia="宋体" w:cs="宋体"/>
                <w:sz w:val="21"/>
                <w:szCs w:val="21"/>
              </w:rPr>
              <w:t>排放速率</w:t>
            </w:r>
          </w:p>
          <w:p>
            <w:pPr>
              <w:pStyle w:val="4069"/>
              <w:spacing w:before="40" w:line="240" w:lineRule="auto"/>
              <w:ind w:left="345"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1376" w:type="dxa"/>
            <w:tcBorders>
              <w:tl2br w:val="nil"/>
              <w:tr2bl w:val="nil"/>
            </w:tcBorders>
          </w:tcPr>
          <w:p>
            <w:pPr>
              <w:pStyle w:val="4069"/>
              <w:spacing w:line="260" w:lineRule="exact"/>
              <w:ind w:left="367" w:right="0"/>
              <w:jc w:val="left"/>
              <w:rPr>
                <w:rFonts w:ascii="宋体" w:hAnsi="宋体" w:eastAsia="宋体" w:cs="宋体"/>
                <w:sz w:val="21"/>
                <w:szCs w:val="21"/>
              </w:rPr>
            </w:pPr>
            <w:r>
              <w:rPr>
                <w:rFonts w:ascii="宋体" w:hAnsi="宋体" w:eastAsia="宋体" w:cs="宋体"/>
                <w:sz w:val="21"/>
                <w:szCs w:val="21"/>
              </w:rPr>
              <w:t>排放量</w:t>
            </w:r>
          </w:p>
          <w:p>
            <w:pPr>
              <w:pStyle w:val="4069"/>
              <w:spacing w:before="40" w:line="240" w:lineRule="auto"/>
              <w:ind w:left="342" w:right="0"/>
              <w:jc w:val="left"/>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exact"/>
        </w:trPr>
        <w:tc>
          <w:tcPr>
            <w:tcW w:w="2402" w:type="dxa"/>
            <w:tcBorders>
              <w:tl2br w:val="nil"/>
              <w:tr2bl w:val="nil"/>
            </w:tcBorders>
          </w:tcPr>
          <w:p>
            <w:pPr>
              <w:pStyle w:val="4069"/>
              <w:spacing w:line="267" w:lineRule="exact"/>
              <w:ind w:left="851" w:right="862"/>
              <w:jc w:val="center"/>
              <w:rPr>
                <w:rFonts w:ascii="宋体" w:hAnsi="宋体" w:eastAsia="宋体" w:cs="宋体"/>
                <w:sz w:val="21"/>
                <w:szCs w:val="21"/>
              </w:rPr>
            </w:pPr>
            <w:r>
              <w:rPr>
                <w:rFonts w:ascii="宋体" w:hAnsi="宋体" w:eastAsia="宋体" w:cs="宋体"/>
                <w:sz w:val="21"/>
                <w:szCs w:val="21"/>
              </w:rPr>
              <w:t>待宰圈</w:t>
            </w:r>
          </w:p>
        </w:tc>
        <w:tc>
          <w:tcPr>
            <w:tcW w:w="1721"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0.000315</w:t>
            </w:r>
          </w:p>
        </w:tc>
        <w:tc>
          <w:tcPr>
            <w:tcW w:w="1338"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0.00273</w:t>
            </w:r>
          </w:p>
        </w:tc>
        <w:tc>
          <w:tcPr>
            <w:tcW w:w="1530"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0.00051</w:t>
            </w:r>
          </w:p>
        </w:tc>
        <w:tc>
          <w:tcPr>
            <w:tcW w:w="1376"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0.00441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exact"/>
        </w:trPr>
        <w:tc>
          <w:tcPr>
            <w:tcW w:w="2402" w:type="dxa"/>
            <w:tcBorders>
              <w:tl2br w:val="nil"/>
              <w:tr2bl w:val="nil"/>
            </w:tcBorders>
          </w:tcPr>
          <w:p>
            <w:pPr>
              <w:pStyle w:val="4069"/>
              <w:spacing w:line="267" w:lineRule="exact"/>
              <w:ind w:left="851" w:right="862"/>
              <w:jc w:val="center"/>
              <w:rPr>
                <w:rFonts w:ascii="宋体" w:hAnsi="宋体" w:eastAsia="宋体" w:cs="宋体"/>
                <w:sz w:val="21"/>
                <w:szCs w:val="21"/>
              </w:rPr>
            </w:pPr>
            <w:r>
              <w:rPr>
                <w:rFonts w:ascii="宋体" w:hAnsi="宋体" w:eastAsia="宋体" w:cs="宋体"/>
                <w:sz w:val="21"/>
                <w:szCs w:val="21"/>
              </w:rPr>
              <w:t>屠宰区</w:t>
            </w:r>
          </w:p>
        </w:tc>
        <w:tc>
          <w:tcPr>
            <w:tcW w:w="1721"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0.00102</w:t>
            </w:r>
          </w:p>
        </w:tc>
        <w:tc>
          <w:tcPr>
            <w:tcW w:w="1338"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0.0087</w:t>
            </w:r>
          </w:p>
        </w:tc>
        <w:tc>
          <w:tcPr>
            <w:tcW w:w="1530"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0.00018</w:t>
            </w:r>
          </w:p>
        </w:tc>
        <w:tc>
          <w:tcPr>
            <w:tcW w:w="1376" w:type="dxa"/>
            <w:tcBorders>
              <w:tl2br w:val="nil"/>
              <w:tr2bl w:val="nil"/>
            </w:tcBorders>
            <w:vAlign w:val="top"/>
          </w:tcPr>
          <w:p>
            <w:pPr>
              <w:keepNext w:val="0"/>
              <w:keepLines w:val="0"/>
              <w:widowControl/>
              <w:suppressLineNumbers w:val="0"/>
              <w:jc w:val="left"/>
              <w:textAlignment w:val="top"/>
              <w:rPr>
                <w:rFonts w:ascii="Calibri" w:hAnsi="Calibri" w:eastAsia="Calibri" w:cs="Calibri"/>
                <w:sz w:val="21"/>
                <w:szCs w:val="21"/>
              </w:rPr>
            </w:pPr>
            <w:r>
              <w:rPr>
                <w:rFonts w:hint="default" w:ascii="Calibri" w:hAnsi="Calibri" w:eastAsia="宋体" w:cs="Calibri"/>
                <w:i w:val="0"/>
                <w:color w:val="000000"/>
                <w:kern w:val="0"/>
                <w:sz w:val="21"/>
                <w:szCs w:val="21"/>
                <w:u w:val="none"/>
                <w:lang w:val="en-US" w:eastAsia="zh-CN" w:bidi="ar"/>
              </w:rPr>
              <w:t>0.00153</w:t>
            </w:r>
          </w:p>
        </w:tc>
      </w:tr>
    </w:tbl>
    <w:p>
      <w:pPr>
        <w:spacing w:before="59"/>
        <w:ind w:left="2182" w:right="0" w:firstLine="0"/>
        <w:jc w:val="left"/>
        <w:rPr>
          <w:rFonts w:ascii="宋体" w:hAnsi="宋体" w:eastAsia="宋体" w:cs="宋体"/>
          <w:sz w:val="24"/>
          <w:szCs w:val="24"/>
        </w:rPr>
      </w:pPr>
      <w:r>
        <w:rPr>
          <w:rFonts w:hint="eastAsia" w:ascii="Times New Roman" w:hAnsi="Times New Roman" w:eastAsia="宋体" w:cs="Times New Roman"/>
          <w:kern w:val="2"/>
          <w:sz w:val="24"/>
          <w:szCs w:val="22"/>
          <w:lang w:val="en-US" w:eastAsia="zh-CN" w:bidi="ar-SA"/>
        </w:rPr>
        <w:t xml:space="preserve">表3.3-10  </w:t>
      </w:r>
      <w:r>
        <w:rPr>
          <w:rFonts w:ascii="宋体" w:hAnsi="宋体" w:eastAsia="宋体" w:cs="宋体"/>
          <w:sz w:val="24"/>
          <w:szCs w:val="24"/>
        </w:rPr>
        <w:t>屠宰区恶臭气体无组织排放情况</w:t>
      </w:r>
    </w:p>
    <w:p>
      <w:pPr>
        <w:spacing w:before="19" w:line="80" w:lineRule="exact"/>
        <w:rPr>
          <w:sz w:val="8"/>
          <w:szCs w:val="8"/>
        </w:rPr>
      </w:pPr>
    </w:p>
    <w:tbl>
      <w:tblPr>
        <w:tblStyle w:val="88"/>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2562"/>
        <w:gridCol w:w="1668"/>
        <w:gridCol w:w="1295"/>
        <w:gridCol w:w="1481"/>
        <w:gridCol w:w="132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3" w:hRule="exact"/>
        </w:trPr>
        <w:tc>
          <w:tcPr>
            <w:tcW w:w="1538" w:type="pct"/>
            <w:vMerge w:val="restart"/>
            <w:tcBorders>
              <w:tl2br w:val="nil"/>
              <w:tr2bl w:val="nil"/>
            </w:tcBorders>
          </w:tcPr>
          <w:p>
            <w:pPr>
              <w:pStyle w:val="4069"/>
              <w:spacing w:before="8" w:line="140" w:lineRule="exact"/>
              <w:ind w:right="0"/>
              <w:jc w:val="left"/>
              <w:rPr>
                <w:sz w:val="14"/>
                <w:szCs w:val="14"/>
              </w:rPr>
            </w:pPr>
          </w:p>
          <w:p>
            <w:pPr>
              <w:pStyle w:val="4069"/>
              <w:spacing w:line="200" w:lineRule="exact"/>
              <w:ind w:right="0"/>
              <w:jc w:val="left"/>
              <w:rPr>
                <w:sz w:val="20"/>
                <w:szCs w:val="20"/>
              </w:rPr>
            </w:pPr>
          </w:p>
          <w:p>
            <w:pPr>
              <w:pStyle w:val="4069"/>
              <w:spacing w:line="240" w:lineRule="auto"/>
              <w:ind w:right="7"/>
              <w:jc w:val="center"/>
              <w:rPr>
                <w:rFonts w:ascii="宋体" w:hAnsi="宋体" w:eastAsia="宋体" w:cs="宋体"/>
                <w:sz w:val="21"/>
                <w:szCs w:val="21"/>
              </w:rPr>
            </w:pPr>
            <w:r>
              <w:rPr>
                <w:rFonts w:ascii="宋体" w:hAnsi="宋体" w:eastAsia="宋体" w:cs="宋体"/>
                <w:spacing w:val="1"/>
                <w:sz w:val="21"/>
                <w:szCs w:val="21"/>
              </w:rPr>
              <w:t>名称</w:t>
            </w:r>
          </w:p>
        </w:tc>
        <w:tc>
          <w:tcPr>
            <w:tcW w:w="1778" w:type="pct"/>
            <w:gridSpan w:val="2"/>
            <w:tcBorders>
              <w:tl2br w:val="nil"/>
              <w:tr2bl w:val="nil"/>
            </w:tcBorders>
          </w:tcPr>
          <w:p>
            <w:pPr>
              <w:pStyle w:val="4069"/>
              <w:spacing w:before="21" w:line="240" w:lineRule="auto"/>
              <w:ind w:left="593" w:right="0"/>
              <w:jc w:val="left"/>
              <w:rPr>
                <w:rFonts w:ascii="宋体" w:hAnsi="宋体" w:eastAsia="宋体" w:cs="宋体"/>
                <w:sz w:val="21"/>
                <w:szCs w:val="21"/>
              </w:rPr>
            </w:pPr>
            <w:r>
              <w:rPr>
                <w:rFonts w:ascii="宋体" w:hAnsi="宋体" w:eastAsia="宋体" w:cs="宋体"/>
                <w:spacing w:val="-1"/>
                <w:sz w:val="21"/>
                <w:szCs w:val="21"/>
              </w:rPr>
              <w:t>氨（</w:t>
            </w:r>
            <w:r>
              <w:rPr>
                <w:rFonts w:ascii="Calibri" w:hAnsi="Calibri" w:eastAsia="Calibri" w:cs="Calibri"/>
                <w:b/>
                <w:bCs/>
                <w:spacing w:val="-1"/>
                <w:sz w:val="21"/>
                <w:szCs w:val="21"/>
              </w:rPr>
              <w:t>NH</w:t>
            </w:r>
            <w:r>
              <w:rPr>
                <w:rFonts w:ascii="Calibri" w:hAnsi="Calibri" w:eastAsia="Calibri" w:cs="Calibri"/>
                <w:b/>
                <w:bCs/>
                <w:spacing w:val="-1"/>
                <w:position w:val="-1"/>
                <w:sz w:val="13"/>
                <w:szCs w:val="13"/>
              </w:rPr>
              <w:t>3</w:t>
            </w:r>
            <w:r>
              <w:rPr>
                <w:rFonts w:ascii="宋体" w:hAnsi="宋体" w:eastAsia="宋体" w:cs="宋体"/>
                <w:spacing w:val="-1"/>
                <w:sz w:val="21"/>
                <w:szCs w:val="21"/>
              </w:rPr>
              <w:t>）</w:t>
            </w:r>
          </w:p>
        </w:tc>
        <w:tc>
          <w:tcPr>
            <w:tcW w:w="1683" w:type="pct"/>
            <w:gridSpan w:val="2"/>
            <w:tcBorders>
              <w:tl2br w:val="nil"/>
              <w:tr2bl w:val="nil"/>
            </w:tcBorders>
          </w:tcPr>
          <w:p>
            <w:pPr>
              <w:pStyle w:val="4069"/>
              <w:spacing w:before="21" w:line="240" w:lineRule="auto"/>
              <w:ind w:left="344" w:right="0"/>
              <w:jc w:val="left"/>
              <w:rPr>
                <w:rFonts w:ascii="宋体" w:hAnsi="宋体" w:eastAsia="宋体" w:cs="宋体"/>
                <w:sz w:val="21"/>
                <w:szCs w:val="21"/>
              </w:rPr>
            </w:pPr>
            <w:r>
              <w:rPr>
                <w:rFonts w:ascii="宋体" w:hAnsi="宋体" w:eastAsia="宋体" w:cs="宋体"/>
                <w:sz w:val="21"/>
                <w:szCs w:val="21"/>
              </w:rPr>
              <w:t>硫化氢（</w:t>
            </w:r>
            <w:r>
              <w:rPr>
                <w:rFonts w:ascii="Calibri" w:hAnsi="Calibri" w:eastAsia="Calibri" w:cs="Calibri"/>
                <w:b/>
                <w:bCs/>
                <w:sz w:val="21"/>
                <w:szCs w:val="21"/>
              </w:rPr>
              <w:t>H</w:t>
            </w:r>
            <w:r>
              <w:rPr>
                <w:rFonts w:ascii="Calibri" w:hAnsi="Calibri" w:eastAsia="Calibri" w:cs="Calibri"/>
                <w:b/>
                <w:bCs/>
                <w:position w:val="-1"/>
                <w:sz w:val="13"/>
                <w:szCs w:val="13"/>
              </w:rPr>
              <w:t>2</w:t>
            </w:r>
            <w:r>
              <w:rPr>
                <w:rFonts w:ascii="Calibri" w:hAnsi="Calibri" w:eastAsia="Calibri" w:cs="Calibri"/>
                <w:b/>
                <w:bCs/>
                <w:sz w:val="21"/>
                <w:szCs w:val="21"/>
              </w:rPr>
              <w:t>S</w:t>
            </w:r>
            <w:r>
              <w:rPr>
                <w:rFonts w:ascii="宋体" w:hAnsi="宋体" w:eastAsia="宋体" w:cs="宋体"/>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4" w:hRule="exact"/>
        </w:trPr>
        <w:tc>
          <w:tcPr>
            <w:tcW w:w="1538" w:type="pct"/>
            <w:vMerge w:val="continue"/>
            <w:tcBorders>
              <w:tl2br w:val="nil"/>
              <w:tr2bl w:val="nil"/>
            </w:tcBorders>
          </w:tcPr>
          <w:p/>
        </w:tc>
        <w:tc>
          <w:tcPr>
            <w:tcW w:w="1001" w:type="pct"/>
            <w:tcBorders>
              <w:tl2br w:val="nil"/>
              <w:tr2bl w:val="nil"/>
            </w:tcBorders>
          </w:tcPr>
          <w:p>
            <w:pPr>
              <w:pStyle w:val="4069"/>
              <w:spacing w:line="270" w:lineRule="exact"/>
              <w:ind w:left="184" w:right="0"/>
              <w:jc w:val="left"/>
              <w:rPr>
                <w:rFonts w:ascii="宋体" w:hAnsi="宋体" w:eastAsia="宋体" w:cs="宋体"/>
                <w:sz w:val="21"/>
                <w:szCs w:val="21"/>
              </w:rPr>
            </w:pPr>
            <w:r>
              <w:rPr>
                <w:rFonts w:ascii="宋体" w:hAnsi="宋体" w:eastAsia="宋体" w:cs="宋体"/>
                <w:sz w:val="21"/>
                <w:szCs w:val="21"/>
              </w:rPr>
              <w:t>排放速率</w:t>
            </w:r>
          </w:p>
          <w:p>
            <w:pPr>
              <w:pStyle w:val="4069"/>
              <w:spacing w:before="41" w:line="240" w:lineRule="auto"/>
              <w:ind w:left="190"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777" w:type="pct"/>
            <w:tcBorders>
              <w:tl2br w:val="nil"/>
              <w:tr2bl w:val="nil"/>
            </w:tcBorders>
          </w:tcPr>
          <w:p>
            <w:pPr>
              <w:pStyle w:val="4069"/>
              <w:spacing w:line="270" w:lineRule="exact"/>
              <w:ind w:left="152" w:right="0"/>
              <w:jc w:val="left"/>
              <w:rPr>
                <w:rFonts w:ascii="宋体" w:hAnsi="宋体" w:eastAsia="宋体" w:cs="宋体"/>
                <w:sz w:val="21"/>
                <w:szCs w:val="21"/>
              </w:rPr>
            </w:pPr>
            <w:r>
              <w:rPr>
                <w:rFonts w:ascii="宋体" w:hAnsi="宋体" w:eastAsia="宋体" w:cs="宋体"/>
                <w:sz w:val="21"/>
                <w:szCs w:val="21"/>
              </w:rPr>
              <w:t>排放量</w:t>
            </w:r>
          </w:p>
          <w:p>
            <w:pPr>
              <w:pStyle w:val="4069"/>
              <w:spacing w:before="41" w:line="240" w:lineRule="auto"/>
              <w:ind w:left="127" w:right="0"/>
              <w:jc w:val="left"/>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c>
          <w:tcPr>
            <w:tcW w:w="889" w:type="pct"/>
            <w:tcBorders>
              <w:tl2br w:val="nil"/>
              <w:tr2bl w:val="nil"/>
            </w:tcBorders>
          </w:tcPr>
          <w:p>
            <w:pPr>
              <w:pStyle w:val="4069"/>
              <w:spacing w:line="270" w:lineRule="exact"/>
              <w:ind w:left="116" w:right="0"/>
              <w:jc w:val="left"/>
              <w:rPr>
                <w:rFonts w:ascii="宋体" w:hAnsi="宋体" w:eastAsia="宋体" w:cs="宋体"/>
                <w:sz w:val="21"/>
                <w:szCs w:val="21"/>
              </w:rPr>
            </w:pPr>
            <w:r>
              <w:rPr>
                <w:rFonts w:ascii="宋体" w:hAnsi="宋体" w:eastAsia="宋体" w:cs="宋体"/>
                <w:sz w:val="21"/>
                <w:szCs w:val="21"/>
              </w:rPr>
              <w:t>排放速率</w:t>
            </w:r>
          </w:p>
          <w:p>
            <w:pPr>
              <w:pStyle w:val="4069"/>
              <w:spacing w:before="41" w:line="240" w:lineRule="auto"/>
              <w:ind w:left="122"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793" w:type="pct"/>
            <w:tcBorders>
              <w:tl2br w:val="nil"/>
              <w:tr2bl w:val="nil"/>
            </w:tcBorders>
          </w:tcPr>
          <w:p>
            <w:pPr>
              <w:pStyle w:val="4069"/>
              <w:spacing w:line="270" w:lineRule="exact"/>
              <w:ind w:left="161" w:right="0"/>
              <w:jc w:val="left"/>
              <w:rPr>
                <w:rFonts w:ascii="宋体" w:hAnsi="宋体" w:eastAsia="宋体" w:cs="宋体"/>
                <w:sz w:val="21"/>
                <w:szCs w:val="21"/>
              </w:rPr>
            </w:pPr>
            <w:r>
              <w:rPr>
                <w:rFonts w:ascii="宋体" w:hAnsi="宋体" w:eastAsia="宋体" w:cs="宋体"/>
                <w:sz w:val="21"/>
                <w:szCs w:val="21"/>
              </w:rPr>
              <w:t>排放量</w:t>
            </w:r>
          </w:p>
          <w:p>
            <w:pPr>
              <w:pStyle w:val="4069"/>
              <w:spacing w:before="41" w:line="240" w:lineRule="auto"/>
              <w:ind w:left="136" w:right="0"/>
              <w:jc w:val="left"/>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 w:hRule="exact"/>
        </w:trPr>
        <w:tc>
          <w:tcPr>
            <w:tcW w:w="1538" w:type="pct"/>
            <w:tcBorders>
              <w:tl2br w:val="nil"/>
              <w:tr2bl w:val="nil"/>
            </w:tcBorders>
          </w:tcPr>
          <w:p>
            <w:pPr>
              <w:pStyle w:val="4069"/>
              <w:spacing w:line="267" w:lineRule="exact"/>
              <w:ind w:left="607" w:right="0"/>
              <w:jc w:val="left"/>
              <w:rPr>
                <w:rFonts w:ascii="宋体" w:hAnsi="宋体" w:eastAsia="宋体" w:cs="宋体"/>
                <w:sz w:val="21"/>
                <w:szCs w:val="21"/>
              </w:rPr>
            </w:pPr>
            <w:r>
              <w:rPr>
                <w:rFonts w:ascii="宋体" w:hAnsi="宋体" w:eastAsia="宋体" w:cs="宋体"/>
                <w:sz w:val="21"/>
                <w:szCs w:val="21"/>
              </w:rPr>
              <w:t>待宰圈</w:t>
            </w:r>
          </w:p>
        </w:tc>
        <w:tc>
          <w:tcPr>
            <w:tcW w:w="1001" w:type="pct"/>
            <w:tcBorders>
              <w:tl2br w:val="nil"/>
              <w:tr2bl w:val="nil"/>
            </w:tcBorders>
          </w:tcPr>
          <w:p>
            <w:pPr>
              <w:pStyle w:val="4069"/>
              <w:spacing w:before="34" w:line="240" w:lineRule="auto"/>
              <w:ind w:left="313" w:right="0"/>
              <w:jc w:val="left"/>
              <w:rPr>
                <w:rFonts w:ascii="Calibri" w:hAnsi="Calibri" w:eastAsia="Calibri" w:cs="Calibri"/>
                <w:sz w:val="21"/>
                <w:szCs w:val="21"/>
              </w:rPr>
            </w:pPr>
            <w:r>
              <w:rPr>
                <w:rFonts w:ascii="Calibri"/>
                <w:sz w:val="21"/>
              </w:rPr>
              <w:t>0.0004</w:t>
            </w:r>
          </w:p>
        </w:tc>
        <w:tc>
          <w:tcPr>
            <w:tcW w:w="777" w:type="pct"/>
            <w:tcBorders>
              <w:tl2br w:val="nil"/>
              <w:tr2bl w:val="nil"/>
            </w:tcBorders>
          </w:tcPr>
          <w:p>
            <w:pPr>
              <w:pStyle w:val="4069"/>
              <w:spacing w:before="34" w:line="240" w:lineRule="auto"/>
              <w:ind w:left="176" w:right="0"/>
              <w:jc w:val="left"/>
              <w:rPr>
                <w:rFonts w:ascii="Calibri" w:hAnsi="Calibri" w:eastAsia="Calibri" w:cs="Calibri"/>
                <w:sz w:val="21"/>
                <w:szCs w:val="21"/>
              </w:rPr>
            </w:pPr>
            <w:r>
              <w:rPr>
                <w:rFonts w:ascii="Calibri"/>
                <w:sz w:val="21"/>
              </w:rPr>
              <w:t>0.0034</w:t>
            </w:r>
          </w:p>
        </w:tc>
        <w:tc>
          <w:tcPr>
            <w:tcW w:w="889" w:type="pct"/>
            <w:tcBorders>
              <w:tl2br w:val="nil"/>
              <w:tr2bl w:val="nil"/>
            </w:tcBorders>
          </w:tcPr>
          <w:p>
            <w:pPr>
              <w:pStyle w:val="4069"/>
              <w:spacing w:before="34" w:line="240" w:lineRule="auto"/>
              <w:ind w:left="138" w:right="0"/>
              <w:jc w:val="left"/>
              <w:rPr>
                <w:rFonts w:ascii="Calibri" w:hAnsi="Calibri" w:eastAsia="Calibri" w:cs="Calibri"/>
                <w:sz w:val="21"/>
                <w:szCs w:val="21"/>
              </w:rPr>
            </w:pPr>
            <w:r>
              <w:rPr>
                <w:rFonts w:ascii="Calibri"/>
                <w:sz w:val="21"/>
              </w:rPr>
              <w:t>0.000034</w:t>
            </w:r>
          </w:p>
        </w:tc>
        <w:tc>
          <w:tcPr>
            <w:tcW w:w="793" w:type="pct"/>
            <w:tcBorders>
              <w:tl2br w:val="nil"/>
              <w:tr2bl w:val="nil"/>
            </w:tcBorders>
          </w:tcPr>
          <w:p>
            <w:pPr>
              <w:pStyle w:val="4069"/>
              <w:spacing w:before="34" w:line="240" w:lineRule="auto"/>
              <w:ind w:left="186" w:right="0"/>
              <w:jc w:val="left"/>
              <w:rPr>
                <w:rFonts w:ascii="Calibri" w:hAnsi="Calibri" w:eastAsia="Calibri" w:cs="Calibri"/>
                <w:sz w:val="21"/>
                <w:szCs w:val="21"/>
              </w:rPr>
            </w:pPr>
            <w:r>
              <w:rPr>
                <w:rFonts w:ascii="Calibri"/>
                <w:sz w:val="21"/>
              </w:rPr>
              <w:t>0.0029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1" w:hRule="exact"/>
        </w:trPr>
        <w:tc>
          <w:tcPr>
            <w:tcW w:w="1538" w:type="pct"/>
            <w:tcBorders>
              <w:tl2br w:val="nil"/>
              <w:tr2bl w:val="nil"/>
            </w:tcBorders>
          </w:tcPr>
          <w:p>
            <w:pPr>
              <w:pStyle w:val="4069"/>
              <w:spacing w:line="266" w:lineRule="exact"/>
              <w:ind w:left="607" w:right="0"/>
              <w:jc w:val="left"/>
              <w:rPr>
                <w:rFonts w:ascii="宋体" w:hAnsi="宋体" w:eastAsia="宋体" w:cs="宋体"/>
                <w:sz w:val="21"/>
                <w:szCs w:val="21"/>
              </w:rPr>
            </w:pPr>
            <w:r>
              <w:rPr>
                <w:rFonts w:ascii="宋体" w:hAnsi="宋体" w:eastAsia="宋体" w:cs="宋体"/>
                <w:sz w:val="21"/>
                <w:szCs w:val="21"/>
              </w:rPr>
              <w:t>屠宰区</w:t>
            </w:r>
          </w:p>
        </w:tc>
        <w:tc>
          <w:tcPr>
            <w:tcW w:w="1001" w:type="pct"/>
            <w:tcBorders>
              <w:tl2br w:val="nil"/>
              <w:tr2bl w:val="nil"/>
            </w:tcBorders>
          </w:tcPr>
          <w:p>
            <w:pPr>
              <w:pStyle w:val="4069"/>
              <w:spacing w:before="34" w:line="240" w:lineRule="auto"/>
              <w:ind w:left="259" w:right="0"/>
              <w:jc w:val="left"/>
              <w:rPr>
                <w:rFonts w:ascii="Calibri" w:hAnsi="Calibri" w:eastAsia="Calibri" w:cs="Calibri"/>
                <w:sz w:val="21"/>
                <w:szCs w:val="21"/>
              </w:rPr>
            </w:pPr>
            <w:r>
              <w:rPr>
                <w:rFonts w:ascii="Calibri"/>
                <w:sz w:val="21"/>
              </w:rPr>
              <w:t>0.00006</w:t>
            </w:r>
          </w:p>
        </w:tc>
        <w:tc>
          <w:tcPr>
            <w:tcW w:w="777" w:type="pct"/>
            <w:tcBorders>
              <w:tl2br w:val="nil"/>
              <w:tr2bl w:val="nil"/>
            </w:tcBorders>
          </w:tcPr>
          <w:p>
            <w:pPr>
              <w:pStyle w:val="4069"/>
              <w:spacing w:before="34" w:line="240" w:lineRule="auto"/>
              <w:ind w:left="123" w:right="0"/>
              <w:jc w:val="left"/>
              <w:rPr>
                <w:rFonts w:ascii="Calibri" w:hAnsi="Calibri" w:eastAsia="Calibri" w:cs="Calibri"/>
                <w:sz w:val="21"/>
                <w:szCs w:val="21"/>
              </w:rPr>
            </w:pPr>
            <w:r>
              <w:rPr>
                <w:rFonts w:ascii="Calibri"/>
                <w:sz w:val="21"/>
              </w:rPr>
              <w:t>0.00051</w:t>
            </w:r>
          </w:p>
        </w:tc>
        <w:tc>
          <w:tcPr>
            <w:tcW w:w="889" w:type="pct"/>
            <w:tcBorders>
              <w:tl2br w:val="nil"/>
              <w:tr2bl w:val="nil"/>
            </w:tcBorders>
          </w:tcPr>
          <w:p>
            <w:pPr>
              <w:pStyle w:val="4069"/>
              <w:spacing w:before="34" w:line="240" w:lineRule="auto"/>
              <w:ind w:left="138" w:right="0"/>
              <w:jc w:val="left"/>
              <w:rPr>
                <w:rFonts w:ascii="Calibri" w:hAnsi="Calibri" w:eastAsia="Calibri" w:cs="Calibri"/>
                <w:sz w:val="21"/>
                <w:szCs w:val="21"/>
              </w:rPr>
            </w:pPr>
            <w:r>
              <w:rPr>
                <w:rFonts w:ascii="Calibri"/>
                <w:sz w:val="21"/>
              </w:rPr>
              <w:t>0.000012</w:t>
            </w:r>
          </w:p>
        </w:tc>
        <w:tc>
          <w:tcPr>
            <w:tcW w:w="793" w:type="pct"/>
            <w:tcBorders>
              <w:tl2br w:val="nil"/>
              <w:tr2bl w:val="nil"/>
            </w:tcBorders>
          </w:tcPr>
          <w:p>
            <w:pPr>
              <w:pStyle w:val="4069"/>
              <w:spacing w:before="34" w:line="240" w:lineRule="auto"/>
              <w:ind w:left="186" w:right="0"/>
              <w:jc w:val="left"/>
              <w:rPr>
                <w:rFonts w:ascii="Calibri" w:hAnsi="Calibri" w:eastAsia="Calibri" w:cs="Calibri"/>
                <w:sz w:val="21"/>
                <w:szCs w:val="21"/>
              </w:rPr>
            </w:pPr>
            <w:r>
              <w:rPr>
                <w:rFonts w:ascii="Calibri"/>
                <w:sz w:val="21"/>
              </w:rPr>
              <w:t>0.0001</w:t>
            </w:r>
          </w:p>
        </w:tc>
      </w:tr>
    </w:tbl>
    <w:p>
      <w:pPr>
        <w:spacing w:before="6" w:line="180" w:lineRule="exact"/>
        <w:rPr>
          <w:sz w:val="18"/>
          <w:szCs w:val="18"/>
        </w:rPr>
      </w:pPr>
    </w:p>
    <w:p>
      <w:pPr>
        <w:pStyle w:val="2"/>
        <w:spacing w:before="29" w:line="361" w:lineRule="auto"/>
        <w:ind w:right="0"/>
        <w:jc w:val="left"/>
      </w:pPr>
      <w:r>
        <w:t>③污水处理站</w:t>
      </w:r>
    </w:p>
    <w:p>
      <w:pPr>
        <w:pStyle w:val="2"/>
        <w:spacing w:before="29" w:line="361" w:lineRule="auto"/>
        <w:ind w:right="0"/>
        <w:jc w:val="left"/>
      </w:pPr>
      <w:r>
        <w:t>污水处理站在运营期间</w:t>
      </w:r>
      <w:r>
        <w:rPr>
          <w:spacing w:val="-26"/>
        </w:rPr>
        <w:t>，</w:t>
      </w:r>
      <w:r>
        <w:t>不可避免地要产生一些恶臭物质</w:t>
      </w:r>
      <w:r>
        <w:rPr>
          <w:spacing w:val="-26"/>
        </w:rPr>
        <w:t>，</w:t>
      </w:r>
      <w:r>
        <w:t>主要成分是</w:t>
      </w:r>
      <w:r>
        <w:rPr>
          <w:spacing w:val="-62"/>
        </w:rPr>
        <w:t xml:space="preserve"> </w:t>
      </w:r>
      <w:r>
        <w:rPr>
          <w:rFonts w:ascii="Calibri" w:hAnsi="Calibri" w:eastAsia="Calibri" w:cs="Calibri"/>
        </w:rPr>
        <w:t>NH</w:t>
      </w:r>
      <w:r>
        <w:rPr>
          <w:rFonts w:ascii="Calibri" w:hAnsi="Calibri" w:eastAsia="Calibri" w:cs="Calibri"/>
          <w:position w:val="-1"/>
          <w:sz w:val="15"/>
          <w:szCs w:val="15"/>
        </w:rPr>
        <w:t>3</w:t>
      </w:r>
      <w:r>
        <w:t>和</w:t>
      </w:r>
      <w:r>
        <w:rPr>
          <w:spacing w:val="-58"/>
        </w:rPr>
        <w:t xml:space="preserve"> </w:t>
      </w:r>
      <w:r>
        <w:rPr>
          <w:rFonts w:ascii="Calibri" w:hAnsi="Calibri" w:eastAsia="Calibri" w:cs="Calibri"/>
          <w:spacing w:val="-1"/>
        </w:rPr>
        <w:t>H</w:t>
      </w:r>
      <w:r>
        <w:rPr>
          <w:rFonts w:ascii="Calibri" w:hAnsi="Calibri" w:eastAsia="Calibri" w:cs="Calibri"/>
          <w:spacing w:val="-1"/>
          <w:position w:val="-1"/>
          <w:sz w:val="15"/>
          <w:szCs w:val="15"/>
        </w:rPr>
        <w:t>2</w:t>
      </w:r>
      <w:r>
        <w:rPr>
          <w:rFonts w:ascii="Calibri" w:hAnsi="Calibri" w:eastAsia="Calibri" w:cs="Calibri"/>
          <w:spacing w:val="-1"/>
        </w:rPr>
        <w:t>S</w:t>
      </w:r>
      <w:r>
        <w:rPr>
          <w:spacing w:val="-1"/>
        </w:rPr>
        <w:t>，产生环节主要集中在预处理、生化处理及污泥处理等单元。</w:t>
      </w:r>
    </w:p>
    <w:p>
      <w:pPr>
        <w:pStyle w:val="2"/>
        <w:spacing w:before="29" w:line="468" w:lineRule="exact"/>
        <w:ind w:left="0" w:leftChars="0" w:right="226" w:firstLine="508" w:firstLineChars="200"/>
        <w:jc w:val="both"/>
      </w:pPr>
      <w:r>
        <w:rPr>
          <w:spacing w:val="7"/>
        </w:rPr>
        <w:t>根据《屠宰与肉类加工废水治理工程技术规范》（</w:t>
      </w:r>
      <w:r>
        <w:rPr>
          <w:rFonts w:ascii="Calibri" w:hAnsi="Calibri" w:eastAsia="Calibri" w:cs="Calibri"/>
          <w:spacing w:val="7"/>
        </w:rPr>
        <w:t>HJ</w:t>
      </w:r>
      <w:r>
        <w:rPr>
          <w:rFonts w:ascii="Calibri" w:hAnsi="Calibri" w:eastAsia="Calibri" w:cs="Calibri"/>
          <w:spacing w:val="1"/>
        </w:rPr>
        <w:t>2004‐2010</w:t>
      </w:r>
      <w:r>
        <w:rPr>
          <w:spacing w:val="1"/>
        </w:rPr>
        <w:t>）第</w:t>
      </w:r>
      <w:r>
        <w:rPr>
          <w:rFonts w:ascii="Calibri" w:hAnsi="Calibri" w:eastAsia="Calibri" w:cs="Calibri"/>
          <w:spacing w:val="-1"/>
        </w:rPr>
        <w:t>5.1.2</w:t>
      </w:r>
      <w:r>
        <w:t>条规定</w:t>
      </w:r>
      <w:r>
        <w:rPr>
          <w:spacing w:val="-45"/>
        </w:rPr>
        <w:t>：</w:t>
      </w:r>
      <w:r>
        <w:t>“屠宰与肉类加工废水处理工艺应包含消毒及除臭单元</w:t>
      </w:r>
      <w:r>
        <w:rPr>
          <w:spacing w:val="-22"/>
        </w:rPr>
        <w:t>”</w:t>
      </w:r>
      <w:r>
        <w:rPr>
          <w:spacing w:val="-23"/>
        </w:rPr>
        <w:t>，</w:t>
      </w:r>
      <w:r>
        <w:t>本工程除臭工艺推荐采用生物除臭工艺</w:t>
      </w:r>
      <w:r>
        <w:rPr>
          <w:spacing w:val="-42"/>
        </w:rPr>
        <w:t>，</w:t>
      </w:r>
      <w:r>
        <w:t>除臭效率一般在</w:t>
      </w:r>
      <w:r>
        <w:rPr>
          <w:spacing w:val="-63"/>
        </w:rPr>
        <w:t xml:space="preserve"> </w:t>
      </w:r>
      <w:r>
        <w:rPr>
          <w:rFonts w:ascii="Calibri" w:hAnsi="Calibri" w:eastAsia="Calibri" w:cs="Calibri"/>
          <w:spacing w:val="-1"/>
        </w:rPr>
        <w:t>80</w:t>
      </w:r>
      <w:r>
        <w:rPr>
          <w:rFonts w:ascii="Calibri" w:hAnsi="Calibri" w:eastAsia="Calibri" w:cs="Calibri"/>
          <w:spacing w:val="1"/>
        </w:rPr>
        <w:t>%</w:t>
      </w:r>
      <w:r>
        <w:t>左右</w:t>
      </w:r>
      <w:r>
        <w:rPr>
          <w:spacing w:val="-41"/>
        </w:rPr>
        <w:t>；</w:t>
      </w:r>
      <w:r>
        <w:t>通过引风机抽风收集恶</w:t>
      </w:r>
      <w:r>
        <w:rPr>
          <w:spacing w:val="3"/>
        </w:rPr>
        <w:t>臭单元的恶臭气体，送入生物除臭装置进行除臭处理，处理后的气体通过</w:t>
      </w:r>
      <w:r>
        <w:rPr>
          <w:spacing w:val="-67"/>
        </w:rPr>
        <w:t xml:space="preserve"> </w:t>
      </w:r>
      <w:r>
        <w:rPr>
          <w:rFonts w:ascii="Calibri" w:hAnsi="Calibri" w:eastAsia="Calibri" w:cs="Calibri"/>
        </w:rPr>
        <w:t>15m</w:t>
      </w:r>
      <w:r>
        <w:t>高的排气筒排放。</w:t>
      </w:r>
    </w:p>
    <w:p>
      <w:pPr>
        <w:pStyle w:val="1659"/>
        <w:rPr>
          <w:rFonts w:hint="eastAsia"/>
          <w:lang w:eastAsia="zh-CN"/>
        </w:rPr>
      </w:pPr>
      <w:r>
        <w:t>污水处理站恶臭物质的逸出和扩散机理比较复杂</w:t>
      </w:r>
      <w:r>
        <w:rPr>
          <w:spacing w:val="-45"/>
        </w:rPr>
        <w:t>，</w:t>
      </w:r>
      <w:r>
        <w:t>废气源强难于计算</w:t>
      </w:r>
      <w:r>
        <w:rPr>
          <w:spacing w:val="-45"/>
        </w:rPr>
        <w:t>；</w:t>
      </w:r>
      <w:r>
        <w:t>经查</w:t>
      </w:r>
      <w:r>
        <w:rPr>
          <w:spacing w:val="3"/>
        </w:rPr>
        <w:t>阅相关文献，污水每处理</w:t>
      </w:r>
      <w:r>
        <w:rPr>
          <w:rFonts w:ascii="Calibri" w:hAnsi="Calibri" w:eastAsia="Calibri" w:cs="Calibri"/>
          <w:spacing w:val="-1"/>
        </w:rPr>
        <w:t>1g</w:t>
      </w:r>
      <w:r>
        <w:t>的</w:t>
      </w:r>
      <w:r>
        <w:rPr>
          <w:rFonts w:ascii="Calibri" w:hAnsi="Calibri" w:eastAsia="Calibri" w:cs="Calibri"/>
          <w:spacing w:val="-1"/>
        </w:rPr>
        <w:t>BOD</w:t>
      </w:r>
      <w:r>
        <w:rPr>
          <w:rFonts w:ascii="Calibri" w:hAnsi="Calibri" w:eastAsia="Calibri" w:cs="Calibri"/>
          <w:spacing w:val="-1"/>
          <w:position w:val="-1"/>
          <w:sz w:val="15"/>
          <w:szCs w:val="15"/>
        </w:rPr>
        <w:t>5</w:t>
      </w:r>
      <w:r>
        <w:rPr>
          <w:spacing w:val="3"/>
        </w:rPr>
        <w:t>可产生</w:t>
      </w:r>
      <w:r>
        <w:rPr>
          <w:rFonts w:ascii="Calibri" w:hAnsi="Calibri" w:eastAsia="Calibri" w:cs="Calibri"/>
        </w:rPr>
        <w:t>3.1mg</w:t>
      </w:r>
      <w:r>
        <w:t>的</w:t>
      </w:r>
      <w:r>
        <w:rPr>
          <w:rFonts w:ascii="Calibri" w:hAnsi="Calibri" w:eastAsia="Calibri" w:cs="Calibri"/>
        </w:rPr>
        <w:t>NH</w:t>
      </w:r>
      <w:r>
        <w:rPr>
          <w:rFonts w:ascii="Calibri" w:hAnsi="Calibri" w:eastAsia="Calibri" w:cs="Calibri"/>
          <w:position w:val="-1"/>
          <w:sz w:val="15"/>
          <w:szCs w:val="15"/>
        </w:rPr>
        <w:t>3</w:t>
      </w:r>
      <w:r>
        <w:t>和</w:t>
      </w:r>
      <w:r>
        <w:rPr>
          <w:spacing w:val="-57"/>
        </w:rPr>
        <w:t xml:space="preserve"> </w:t>
      </w:r>
      <w:r>
        <w:rPr>
          <w:rFonts w:ascii="Calibri" w:hAnsi="Calibri" w:eastAsia="Calibri" w:cs="Calibri"/>
          <w:spacing w:val="-1"/>
        </w:rPr>
        <w:t>0.12mg</w:t>
      </w:r>
      <w:r>
        <w:t>的</w:t>
      </w:r>
      <w:r>
        <w:rPr>
          <w:rFonts w:ascii="Calibri" w:hAnsi="Calibri" w:eastAsia="Calibri" w:cs="Calibri"/>
          <w:spacing w:val="1"/>
        </w:rPr>
        <w:t>H</w:t>
      </w:r>
      <w:r>
        <w:rPr>
          <w:rFonts w:ascii="Calibri" w:hAnsi="Calibri" w:eastAsia="Calibri" w:cs="Calibri"/>
          <w:position w:val="-1"/>
          <w:sz w:val="15"/>
          <w:szCs w:val="15"/>
        </w:rPr>
        <w:t>2</w:t>
      </w:r>
      <w:r>
        <w:rPr>
          <w:rFonts w:ascii="Calibri" w:hAnsi="Calibri" w:eastAsia="Calibri" w:cs="Calibri"/>
          <w:spacing w:val="1"/>
        </w:rPr>
        <w:t>S</w:t>
      </w:r>
      <w:r>
        <w:rPr>
          <w:spacing w:val="1"/>
        </w:rPr>
        <w:t>。污</w:t>
      </w:r>
      <w:r>
        <w:t>水处理站恶臭污染物有组织排放源强详</w:t>
      </w:r>
      <w:r>
        <w:rPr>
          <w:rFonts w:eastAsia="宋体"/>
        </w:rPr>
        <w:t>见表</w:t>
      </w:r>
      <w:r>
        <w:rPr>
          <w:rFonts w:hint="eastAsia" w:eastAsia="宋体"/>
          <w:lang w:val="en-US" w:eastAsia="zh-CN"/>
        </w:rPr>
        <w:t>3.3-11</w:t>
      </w:r>
      <w:r>
        <w:rPr>
          <w:rFonts w:eastAsia="宋体"/>
        </w:rPr>
        <w:t>，无组织排放源强详见表</w:t>
      </w:r>
      <w:r>
        <w:rPr>
          <w:rFonts w:hint="eastAsia" w:eastAsia="宋体"/>
          <w:lang w:val="en-US" w:eastAsia="zh-CN"/>
        </w:rPr>
        <w:t>3.3-12</w:t>
      </w:r>
      <w:r>
        <w:rPr>
          <w:rFonts w:eastAsia="宋体"/>
        </w:rPr>
        <w:t>。</w:t>
      </w:r>
    </w:p>
    <w:p>
      <w:pPr>
        <w:spacing w:before="4"/>
        <w:ind w:left="1542" w:right="0" w:firstLine="0"/>
        <w:jc w:val="left"/>
        <w:rPr>
          <w:rFonts w:ascii="宋体" w:hAnsi="宋体" w:eastAsia="宋体" w:cs="宋体"/>
          <w:sz w:val="24"/>
          <w:szCs w:val="24"/>
        </w:rPr>
      </w:pPr>
      <w:r>
        <w:rPr>
          <w:rFonts w:hint="eastAsia" w:ascii="Times New Roman" w:hAnsi="Times New Roman" w:eastAsia="宋体" w:cs="Times New Roman"/>
          <w:kern w:val="2"/>
          <w:sz w:val="24"/>
          <w:szCs w:val="22"/>
          <w:lang w:val="en-US" w:eastAsia="zh-CN" w:bidi="ar-SA"/>
        </w:rPr>
        <w:t>表3.3-11</w:t>
      </w:r>
      <w:r>
        <w:rPr>
          <w:rFonts w:hint="eastAsia" w:eastAsia="宋体" w:cs="Times New Roman"/>
          <w:kern w:val="2"/>
          <w:sz w:val="24"/>
          <w:szCs w:val="22"/>
          <w:lang w:val="en-US" w:eastAsia="zh-CN" w:bidi="ar-SA"/>
        </w:rPr>
        <w:t xml:space="preserve"> </w:t>
      </w:r>
      <w:r>
        <w:rPr>
          <w:rFonts w:hint="eastAsia" w:ascii="Times New Roman" w:hAnsi="Times New Roman" w:eastAsia="宋体" w:cs="Times New Roman"/>
          <w:kern w:val="2"/>
          <w:sz w:val="24"/>
          <w:szCs w:val="22"/>
          <w:lang w:val="en-US" w:eastAsia="zh-CN" w:bidi="ar-SA"/>
        </w:rPr>
        <w:t>污</w:t>
      </w:r>
      <w:r>
        <w:rPr>
          <w:rFonts w:ascii="宋体" w:hAnsi="宋体" w:eastAsia="宋体" w:cs="宋体"/>
          <w:sz w:val="24"/>
          <w:szCs w:val="24"/>
        </w:rPr>
        <w:t>水处理站恶臭污染物有组织排放源强一览表</w:t>
      </w:r>
    </w:p>
    <w:p>
      <w:pPr>
        <w:spacing w:before="18" w:line="80" w:lineRule="exact"/>
        <w:rPr>
          <w:sz w:val="8"/>
          <w:szCs w:val="8"/>
        </w:rPr>
      </w:pPr>
    </w:p>
    <w:tbl>
      <w:tblPr>
        <w:tblStyle w:val="88"/>
        <w:tblW w:w="0" w:type="auto"/>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43"/>
        <w:gridCol w:w="2843"/>
        <w:gridCol w:w="28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exact"/>
        </w:trPr>
        <w:tc>
          <w:tcPr>
            <w:tcW w:w="2843" w:type="dxa"/>
            <w:vMerge w:val="restart"/>
            <w:tcBorders>
              <w:tl2br w:val="nil"/>
              <w:tr2bl w:val="nil"/>
            </w:tcBorders>
          </w:tcPr>
          <w:p>
            <w:pPr>
              <w:pStyle w:val="4069"/>
              <w:spacing w:before="4" w:line="190" w:lineRule="exact"/>
              <w:ind w:right="0"/>
              <w:jc w:val="left"/>
              <w:rPr>
                <w:sz w:val="19"/>
                <w:szCs w:val="19"/>
              </w:rPr>
            </w:pPr>
          </w:p>
          <w:p>
            <w:pPr>
              <w:pStyle w:val="4069"/>
              <w:spacing w:line="240" w:lineRule="auto"/>
              <w:ind w:left="880" w:right="0"/>
              <w:jc w:val="left"/>
              <w:rPr>
                <w:rFonts w:ascii="宋体" w:hAnsi="宋体" w:eastAsia="宋体" w:cs="宋体"/>
                <w:sz w:val="21"/>
                <w:szCs w:val="21"/>
              </w:rPr>
            </w:pPr>
            <w:r>
              <w:rPr>
                <w:rFonts w:ascii="宋体" w:hAnsi="宋体" w:eastAsia="宋体" w:cs="宋体"/>
                <w:sz w:val="21"/>
                <w:szCs w:val="21"/>
              </w:rPr>
              <w:t>污染物名称</w:t>
            </w:r>
          </w:p>
        </w:tc>
        <w:tc>
          <w:tcPr>
            <w:tcW w:w="5686" w:type="dxa"/>
            <w:gridSpan w:val="2"/>
            <w:tcBorders>
              <w:tl2br w:val="nil"/>
              <w:tr2bl w:val="nil"/>
            </w:tcBorders>
          </w:tcPr>
          <w:p>
            <w:pPr>
              <w:pStyle w:val="4069"/>
              <w:spacing w:before="18" w:line="240" w:lineRule="auto"/>
              <w:ind w:left="10" w:right="0"/>
              <w:jc w:val="center"/>
              <w:rPr>
                <w:rFonts w:ascii="宋体" w:hAnsi="宋体" w:eastAsia="宋体" w:cs="宋体"/>
                <w:sz w:val="21"/>
                <w:szCs w:val="21"/>
              </w:rPr>
            </w:pPr>
            <w:r>
              <w:rPr>
                <w:rFonts w:ascii="宋体" w:hAnsi="宋体" w:eastAsia="宋体" w:cs="宋体"/>
                <w:sz w:val="21"/>
                <w:szCs w:val="21"/>
              </w:rPr>
              <w:t>除臭系统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2843" w:type="dxa"/>
            <w:vMerge w:val="continue"/>
            <w:tcBorders>
              <w:tl2br w:val="nil"/>
              <w:tr2bl w:val="nil"/>
            </w:tcBorders>
          </w:tcPr>
          <w:p/>
        </w:tc>
        <w:tc>
          <w:tcPr>
            <w:tcW w:w="2843" w:type="dxa"/>
            <w:tcBorders>
              <w:tl2br w:val="nil"/>
              <w:tr2bl w:val="nil"/>
            </w:tcBorders>
          </w:tcPr>
          <w:p>
            <w:pPr>
              <w:pStyle w:val="4069"/>
              <w:spacing w:before="39" w:line="240" w:lineRule="auto"/>
              <w:ind w:right="0"/>
              <w:jc w:val="center"/>
              <w:rPr>
                <w:rFonts w:ascii="Calibri" w:hAnsi="Calibri" w:eastAsia="Calibri" w:cs="Calibri"/>
                <w:sz w:val="13"/>
                <w:szCs w:val="13"/>
              </w:rPr>
            </w:pPr>
            <w:r>
              <w:rPr>
                <w:rFonts w:ascii="Calibri"/>
                <w:b/>
                <w:spacing w:val="-1"/>
                <w:position w:val="2"/>
                <w:sz w:val="21"/>
              </w:rPr>
              <w:t>NH</w:t>
            </w:r>
            <w:r>
              <w:rPr>
                <w:rFonts w:ascii="Calibri"/>
                <w:b/>
                <w:spacing w:val="-1"/>
                <w:sz w:val="13"/>
              </w:rPr>
              <w:t>3</w:t>
            </w:r>
          </w:p>
        </w:tc>
        <w:tc>
          <w:tcPr>
            <w:tcW w:w="2843" w:type="dxa"/>
            <w:tcBorders>
              <w:tl2br w:val="nil"/>
              <w:tr2bl w:val="nil"/>
            </w:tcBorders>
          </w:tcPr>
          <w:p>
            <w:pPr>
              <w:pStyle w:val="4069"/>
              <w:spacing w:before="39" w:line="240" w:lineRule="auto"/>
              <w:ind w:left="9" w:right="0"/>
              <w:jc w:val="center"/>
              <w:rPr>
                <w:rFonts w:ascii="Calibri" w:hAnsi="Calibri" w:eastAsia="Calibri" w:cs="Calibri"/>
                <w:sz w:val="21"/>
                <w:szCs w:val="21"/>
              </w:rPr>
            </w:pPr>
            <w:r>
              <w:rPr>
                <w:rFonts w:ascii="Calibri"/>
                <w:b/>
                <w:spacing w:val="-1"/>
                <w:position w:val="2"/>
                <w:sz w:val="21"/>
              </w:rPr>
              <w:t>H</w:t>
            </w:r>
            <w:r>
              <w:rPr>
                <w:rFonts w:ascii="Calibri"/>
                <w:b/>
                <w:spacing w:val="-1"/>
                <w:sz w:val="13"/>
              </w:rPr>
              <w:t>2</w:t>
            </w:r>
            <w:r>
              <w:rPr>
                <w:rFonts w:ascii="Calibri"/>
                <w:b/>
                <w:spacing w:val="-1"/>
                <w:position w:val="2"/>
                <w:sz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2843" w:type="dxa"/>
            <w:tcBorders>
              <w:tl2br w:val="nil"/>
              <w:tr2bl w:val="nil"/>
            </w:tcBorders>
          </w:tcPr>
          <w:p>
            <w:pPr>
              <w:pStyle w:val="4069"/>
              <w:spacing w:before="2" w:line="240" w:lineRule="auto"/>
              <w:ind w:left="776" w:right="0"/>
              <w:jc w:val="left"/>
              <w:rPr>
                <w:rFonts w:ascii="宋体" w:hAnsi="宋体" w:eastAsia="宋体" w:cs="宋体"/>
                <w:sz w:val="21"/>
                <w:szCs w:val="21"/>
              </w:rPr>
            </w:pPr>
            <w:r>
              <w:rPr>
                <w:rFonts w:ascii="宋体" w:hAnsi="宋体" w:eastAsia="宋体" w:cs="宋体"/>
                <w:sz w:val="21"/>
                <w:szCs w:val="21"/>
              </w:rPr>
              <w:t>除臭系统进口</w:t>
            </w:r>
          </w:p>
        </w:tc>
        <w:tc>
          <w:tcPr>
            <w:tcW w:w="2843" w:type="dxa"/>
            <w:tcBorders>
              <w:tl2br w:val="nil"/>
              <w:tr2bl w:val="nil"/>
            </w:tcBorders>
          </w:tcPr>
          <w:p>
            <w:pPr>
              <w:pStyle w:val="4069"/>
              <w:spacing w:before="3" w:line="240" w:lineRule="auto"/>
              <w:ind w:left="447" w:right="0"/>
              <w:jc w:val="left"/>
              <w:rPr>
                <w:rFonts w:ascii="Calibri" w:hAnsi="Calibri" w:eastAsia="Calibri" w:cs="Calibri"/>
                <w:sz w:val="21"/>
                <w:szCs w:val="21"/>
              </w:rPr>
            </w:pPr>
            <w:r>
              <w:rPr>
                <w:rFonts w:ascii="Calibri" w:hAnsi="Calibri" w:eastAsia="Calibri" w:cs="Calibri"/>
                <w:sz w:val="22"/>
                <w:szCs w:val="22"/>
              </w:rPr>
              <w:t>0.0339</w:t>
            </w:r>
            <w:r>
              <w:rPr>
                <w:rFonts w:ascii="Calibri" w:hAnsi="Calibri" w:eastAsia="Calibri" w:cs="Calibri"/>
                <w:sz w:val="21"/>
                <w:szCs w:val="21"/>
              </w:rPr>
              <w:t>kg/h</w:t>
            </w:r>
            <w:r>
              <w:rPr>
                <w:rFonts w:ascii="宋体" w:hAnsi="宋体" w:eastAsia="宋体" w:cs="宋体"/>
                <w:sz w:val="21"/>
                <w:szCs w:val="21"/>
              </w:rPr>
              <w:t>；</w:t>
            </w:r>
            <w:r>
              <w:rPr>
                <w:rFonts w:ascii="Calibri" w:hAnsi="Calibri" w:eastAsia="Calibri" w:cs="Calibri"/>
                <w:sz w:val="21"/>
                <w:szCs w:val="21"/>
              </w:rPr>
              <w:t>0.292t/a</w:t>
            </w:r>
          </w:p>
        </w:tc>
        <w:tc>
          <w:tcPr>
            <w:tcW w:w="2843" w:type="dxa"/>
            <w:tcBorders>
              <w:tl2br w:val="nil"/>
              <w:tr2bl w:val="nil"/>
            </w:tcBorders>
          </w:tcPr>
          <w:p>
            <w:pPr>
              <w:pStyle w:val="4069"/>
              <w:spacing w:before="3" w:line="240" w:lineRule="auto"/>
              <w:ind w:left="392" w:right="0"/>
              <w:jc w:val="left"/>
              <w:rPr>
                <w:rFonts w:ascii="Calibri" w:hAnsi="Calibri" w:eastAsia="Calibri" w:cs="Calibri"/>
                <w:sz w:val="21"/>
                <w:szCs w:val="21"/>
              </w:rPr>
            </w:pPr>
            <w:r>
              <w:rPr>
                <w:rFonts w:ascii="Calibri" w:hAnsi="Calibri" w:eastAsia="Calibri" w:cs="Calibri"/>
                <w:sz w:val="22"/>
                <w:szCs w:val="22"/>
              </w:rPr>
              <w:t>0.00131</w:t>
            </w:r>
            <w:r>
              <w:rPr>
                <w:rFonts w:ascii="Calibri" w:hAnsi="Calibri" w:eastAsia="Calibri" w:cs="Calibri"/>
                <w:sz w:val="21"/>
                <w:szCs w:val="21"/>
              </w:rPr>
              <w:t>kg/h</w:t>
            </w:r>
            <w:r>
              <w:rPr>
                <w:rFonts w:ascii="宋体" w:hAnsi="宋体" w:eastAsia="宋体" w:cs="宋体"/>
                <w:sz w:val="21"/>
                <w:szCs w:val="21"/>
              </w:rPr>
              <w:t>；</w:t>
            </w:r>
            <w:r>
              <w:rPr>
                <w:rFonts w:ascii="Calibri" w:hAnsi="Calibri" w:eastAsia="Calibri" w:cs="Calibri"/>
                <w:sz w:val="21"/>
                <w:szCs w:val="21"/>
              </w:rPr>
              <w:t>0.011t/a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2843" w:type="dxa"/>
            <w:tcBorders>
              <w:tl2br w:val="nil"/>
              <w:tr2bl w:val="nil"/>
            </w:tcBorders>
          </w:tcPr>
          <w:p>
            <w:pPr>
              <w:pStyle w:val="4069"/>
              <w:spacing w:before="1" w:line="240" w:lineRule="auto"/>
              <w:ind w:left="776" w:right="0"/>
              <w:jc w:val="left"/>
              <w:rPr>
                <w:rFonts w:ascii="宋体" w:hAnsi="宋体" w:eastAsia="宋体" w:cs="宋体"/>
                <w:sz w:val="21"/>
                <w:szCs w:val="21"/>
              </w:rPr>
            </w:pPr>
            <w:r>
              <w:rPr>
                <w:rFonts w:ascii="宋体" w:hAnsi="宋体" w:eastAsia="宋体" w:cs="宋体"/>
                <w:sz w:val="21"/>
                <w:szCs w:val="21"/>
              </w:rPr>
              <w:t>除臭系统出口</w:t>
            </w:r>
          </w:p>
        </w:tc>
        <w:tc>
          <w:tcPr>
            <w:tcW w:w="2843" w:type="dxa"/>
            <w:tcBorders>
              <w:tl2br w:val="nil"/>
              <w:tr2bl w:val="nil"/>
            </w:tcBorders>
          </w:tcPr>
          <w:p>
            <w:pPr>
              <w:pStyle w:val="4069"/>
              <w:spacing w:before="3" w:line="240" w:lineRule="auto"/>
              <w:ind w:left="392" w:right="0"/>
              <w:jc w:val="left"/>
              <w:rPr>
                <w:rFonts w:ascii="Calibri" w:hAnsi="Calibri" w:eastAsia="Calibri" w:cs="Calibri"/>
                <w:sz w:val="21"/>
                <w:szCs w:val="21"/>
              </w:rPr>
            </w:pPr>
            <w:r>
              <w:rPr>
                <w:rFonts w:ascii="Calibri" w:hAnsi="Calibri" w:eastAsia="Calibri" w:cs="Calibri"/>
                <w:spacing w:val="-1"/>
                <w:sz w:val="22"/>
                <w:szCs w:val="22"/>
              </w:rPr>
              <w:t>0.00677</w:t>
            </w:r>
            <w:r>
              <w:rPr>
                <w:rFonts w:ascii="Calibri" w:hAnsi="Calibri" w:eastAsia="Calibri" w:cs="Calibri"/>
                <w:spacing w:val="-1"/>
                <w:sz w:val="21"/>
                <w:szCs w:val="21"/>
              </w:rPr>
              <w:t>kg/h</w:t>
            </w:r>
            <w:r>
              <w:rPr>
                <w:rFonts w:ascii="宋体" w:hAnsi="宋体" w:eastAsia="宋体" w:cs="宋体"/>
                <w:spacing w:val="-1"/>
                <w:sz w:val="21"/>
                <w:szCs w:val="21"/>
              </w:rPr>
              <w:t>；</w:t>
            </w:r>
            <w:r>
              <w:rPr>
                <w:rFonts w:ascii="Calibri" w:hAnsi="Calibri" w:eastAsia="Calibri" w:cs="Calibri"/>
                <w:spacing w:val="-1"/>
                <w:sz w:val="21"/>
                <w:szCs w:val="21"/>
              </w:rPr>
              <w:t>0.058t/a</w:t>
            </w:r>
          </w:p>
        </w:tc>
        <w:tc>
          <w:tcPr>
            <w:tcW w:w="2843" w:type="dxa"/>
            <w:tcBorders>
              <w:tl2br w:val="nil"/>
              <w:tr2bl w:val="nil"/>
            </w:tcBorders>
          </w:tcPr>
          <w:p>
            <w:pPr>
              <w:pStyle w:val="4069"/>
              <w:spacing w:before="3" w:line="240" w:lineRule="auto"/>
              <w:ind w:left="337" w:right="0"/>
              <w:jc w:val="left"/>
              <w:rPr>
                <w:rFonts w:ascii="Calibri" w:hAnsi="Calibri" w:eastAsia="Calibri" w:cs="Calibri"/>
                <w:sz w:val="21"/>
                <w:szCs w:val="21"/>
              </w:rPr>
            </w:pPr>
            <w:r>
              <w:rPr>
                <w:rFonts w:ascii="Calibri" w:hAnsi="Calibri" w:eastAsia="Calibri" w:cs="Calibri"/>
                <w:sz w:val="22"/>
                <w:szCs w:val="22"/>
              </w:rPr>
              <w:t>0.000262</w:t>
            </w:r>
            <w:r>
              <w:rPr>
                <w:rFonts w:ascii="Calibri" w:hAnsi="Calibri" w:eastAsia="Calibri" w:cs="Calibri"/>
                <w:sz w:val="21"/>
                <w:szCs w:val="21"/>
              </w:rPr>
              <w:t>kg/h</w:t>
            </w:r>
            <w:r>
              <w:rPr>
                <w:rFonts w:ascii="宋体" w:hAnsi="宋体" w:eastAsia="宋体" w:cs="宋体"/>
                <w:sz w:val="21"/>
                <w:szCs w:val="21"/>
              </w:rPr>
              <w:t>；</w:t>
            </w:r>
            <w:r>
              <w:rPr>
                <w:rFonts w:ascii="Calibri" w:hAnsi="Calibri" w:eastAsia="Calibri" w:cs="Calibri"/>
                <w:sz w:val="21"/>
                <w:szCs w:val="21"/>
              </w:rPr>
              <w:t>0.001t/a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2843" w:type="dxa"/>
            <w:tcBorders>
              <w:tl2br w:val="nil"/>
              <w:tr2bl w:val="nil"/>
            </w:tcBorders>
          </w:tcPr>
          <w:p>
            <w:pPr>
              <w:pStyle w:val="4069"/>
              <w:spacing w:before="1" w:line="240" w:lineRule="auto"/>
              <w:ind w:right="10"/>
              <w:jc w:val="center"/>
              <w:rPr>
                <w:rFonts w:ascii="宋体" w:hAnsi="宋体" w:eastAsia="宋体" w:cs="宋体"/>
                <w:sz w:val="21"/>
                <w:szCs w:val="21"/>
              </w:rPr>
            </w:pPr>
            <w:r>
              <w:rPr>
                <w:rFonts w:ascii="宋体" w:hAnsi="宋体" w:eastAsia="宋体" w:cs="宋体"/>
                <w:sz w:val="21"/>
                <w:szCs w:val="21"/>
              </w:rPr>
              <w:t>排放标准</w:t>
            </w:r>
          </w:p>
        </w:tc>
        <w:tc>
          <w:tcPr>
            <w:tcW w:w="2843" w:type="dxa"/>
            <w:tcBorders>
              <w:tl2br w:val="nil"/>
              <w:tr2bl w:val="nil"/>
            </w:tcBorders>
          </w:tcPr>
          <w:p>
            <w:pPr>
              <w:pStyle w:val="4069"/>
              <w:spacing w:before="40" w:line="240" w:lineRule="auto"/>
              <w:ind w:left="1" w:right="0"/>
              <w:jc w:val="center"/>
              <w:rPr>
                <w:rFonts w:ascii="Calibri" w:hAnsi="Calibri" w:eastAsia="Calibri" w:cs="Calibri"/>
                <w:sz w:val="21"/>
                <w:szCs w:val="21"/>
              </w:rPr>
            </w:pPr>
            <w:r>
              <w:rPr>
                <w:rFonts w:ascii="Calibri"/>
                <w:sz w:val="21"/>
              </w:rPr>
              <w:t>4.9</w:t>
            </w:r>
          </w:p>
        </w:tc>
        <w:tc>
          <w:tcPr>
            <w:tcW w:w="2843" w:type="dxa"/>
            <w:tcBorders>
              <w:tl2br w:val="nil"/>
              <w:tr2bl w:val="nil"/>
            </w:tcBorders>
          </w:tcPr>
          <w:p>
            <w:pPr>
              <w:pStyle w:val="4069"/>
              <w:spacing w:before="40" w:line="240" w:lineRule="auto"/>
              <w:ind w:left="11" w:right="0"/>
              <w:jc w:val="center"/>
              <w:rPr>
                <w:rFonts w:ascii="Calibri" w:hAnsi="Calibri" w:eastAsia="Calibri" w:cs="Calibri"/>
                <w:sz w:val="21"/>
                <w:szCs w:val="21"/>
              </w:rPr>
            </w:pPr>
            <w:r>
              <w:rPr>
                <w:rFonts w:ascii="Calibri"/>
                <w:sz w:val="21"/>
              </w:rPr>
              <w:t>0.33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exact"/>
        </w:trPr>
        <w:tc>
          <w:tcPr>
            <w:tcW w:w="8528" w:type="dxa"/>
            <w:gridSpan w:val="3"/>
            <w:tcBorders>
              <w:tl2br w:val="nil"/>
              <w:tr2bl w:val="nil"/>
            </w:tcBorders>
          </w:tcPr>
          <w:p>
            <w:pPr>
              <w:pStyle w:val="4069"/>
              <w:spacing w:before="3" w:line="240" w:lineRule="auto"/>
              <w:ind w:left="93" w:right="0"/>
              <w:jc w:val="left"/>
              <w:rPr>
                <w:rFonts w:ascii="宋体" w:hAnsi="宋体" w:eastAsia="宋体" w:cs="宋体"/>
                <w:sz w:val="21"/>
                <w:szCs w:val="21"/>
              </w:rPr>
            </w:pPr>
            <w:r>
              <w:rPr>
                <w:rFonts w:ascii="宋体" w:hAnsi="宋体" w:eastAsia="宋体" w:cs="宋体"/>
                <w:sz w:val="21"/>
                <w:szCs w:val="21"/>
              </w:rPr>
              <w:t>注：生物除臭系统收集效率按</w:t>
            </w:r>
            <w:r>
              <w:rPr>
                <w:rFonts w:ascii="宋体" w:hAnsi="宋体" w:eastAsia="宋体" w:cs="宋体"/>
                <w:spacing w:val="-58"/>
                <w:sz w:val="21"/>
                <w:szCs w:val="21"/>
              </w:rPr>
              <w:t xml:space="preserve"> </w:t>
            </w:r>
            <w:r>
              <w:rPr>
                <w:rFonts w:ascii="Calibri" w:hAnsi="Calibri" w:eastAsia="Calibri" w:cs="Calibri"/>
                <w:spacing w:val="-1"/>
                <w:sz w:val="21"/>
                <w:szCs w:val="21"/>
              </w:rPr>
              <w:t>90%</w:t>
            </w:r>
            <w:r>
              <w:rPr>
                <w:rFonts w:ascii="宋体" w:hAnsi="宋体" w:eastAsia="宋体" w:cs="宋体"/>
                <w:spacing w:val="-1"/>
                <w:sz w:val="21"/>
                <w:szCs w:val="21"/>
              </w:rPr>
              <w:t>计。</w:t>
            </w:r>
          </w:p>
        </w:tc>
      </w:tr>
    </w:tbl>
    <w:p>
      <w:pPr>
        <w:spacing w:before="59"/>
        <w:ind w:left="1542" w:right="0" w:firstLine="0"/>
        <w:jc w:val="left"/>
        <w:rPr>
          <w:rFonts w:ascii="宋体" w:hAnsi="宋体" w:eastAsia="宋体" w:cs="宋体"/>
          <w:sz w:val="24"/>
          <w:szCs w:val="24"/>
        </w:rPr>
      </w:pPr>
      <w:r>
        <w:rPr>
          <w:rFonts w:hint="eastAsia" w:ascii="Times New Roman" w:hAnsi="Times New Roman" w:eastAsia="宋体" w:cs="Times New Roman"/>
          <w:kern w:val="2"/>
          <w:sz w:val="24"/>
          <w:szCs w:val="22"/>
          <w:lang w:val="en-US" w:eastAsia="zh-CN" w:bidi="ar-SA"/>
        </w:rPr>
        <w:t>表3.3-12 污水</w:t>
      </w:r>
      <w:r>
        <w:rPr>
          <w:rFonts w:ascii="宋体" w:hAnsi="宋体" w:eastAsia="宋体" w:cs="宋体"/>
          <w:sz w:val="24"/>
          <w:szCs w:val="24"/>
        </w:rPr>
        <w:t>处理站恶臭污染物无组织排放源强一览表</w:t>
      </w:r>
    </w:p>
    <w:p>
      <w:pPr>
        <w:spacing w:before="20" w:line="140" w:lineRule="exact"/>
        <w:rPr>
          <w:sz w:val="14"/>
          <w:szCs w:val="14"/>
        </w:rPr>
      </w:pPr>
    </w:p>
    <w:tbl>
      <w:tblPr>
        <w:tblStyle w:val="88"/>
        <w:tblW w:w="0" w:type="auto"/>
        <w:tblInd w:w="1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06"/>
        <w:gridCol w:w="2772"/>
        <w:gridCol w:w="1069"/>
        <w:gridCol w:w="1068"/>
        <w:gridCol w:w="944"/>
        <w:gridCol w:w="94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exact"/>
        </w:trPr>
        <w:tc>
          <w:tcPr>
            <w:tcW w:w="1706" w:type="dxa"/>
            <w:vMerge w:val="restart"/>
            <w:tcBorders>
              <w:tl2br w:val="nil"/>
              <w:tr2bl w:val="nil"/>
            </w:tcBorders>
          </w:tcPr>
          <w:p>
            <w:pPr>
              <w:pStyle w:val="4069"/>
              <w:spacing w:before="179" w:line="240" w:lineRule="auto"/>
              <w:ind w:left="325" w:right="0"/>
              <w:jc w:val="left"/>
              <w:rPr>
                <w:rFonts w:ascii="宋体" w:hAnsi="宋体" w:eastAsia="宋体" w:cs="宋体"/>
                <w:sz w:val="21"/>
                <w:szCs w:val="21"/>
              </w:rPr>
            </w:pPr>
            <w:r>
              <w:rPr>
                <w:rFonts w:ascii="宋体" w:hAnsi="宋体" w:eastAsia="宋体" w:cs="宋体"/>
                <w:sz w:val="21"/>
                <w:szCs w:val="21"/>
              </w:rPr>
              <w:t>构筑物名称</w:t>
            </w:r>
          </w:p>
        </w:tc>
        <w:tc>
          <w:tcPr>
            <w:tcW w:w="2772" w:type="dxa"/>
            <w:vMerge w:val="restart"/>
            <w:tcBorders>
              <w:tl2br w:val="nil"/>
              <w:tr2bl w:val="nil"/>
            </w:tcBorders>
          </w:tcPr>
          <w:p>
            <w:pPr>
              <w:pStyle w:val="4069"/>
              <w:spacing w:before="179" w:line="240" w:lineRule="auto"/>
              <w:ind w:left="855" w:right="0"/>
              <w:jc w:val="left"/>
              <w:rPr>
                <w:rFonts w:ascii="宋体" w:hAnsi="宋体" w:eastAsia="宋体" w:cs="宋体"/>
                <w:sz w:val="21"/>
                <w:szCs w:val="21"/>
              </w:rPr>
            </w:pPr>
            <w:r>
              <w:rPr>
                <w:rFonts w:ascii="宋体" w:hAnsi="宋体" w:eastAsia="宋体" w:cs="宋体"/>
                <w:sz w:val="21"/>
                <w:szCs w:val="21"/>
              </w:rPr>
              <w:t>面积（㎡）</w:t>
            </w:r>
          </w:p>
        </w:tc>
        <w:tc>
          <w:tcPr>
            <w:tcW w:w="4026" w:type="dxa"/>
            <w:gridSpan w:val="4"/>
            <w:tcBorders>
              <w:tl2br w:val="nil"/>
              <w:tr2bl w:val="nil"/>
            </w:tcBorders>
          </w:tcPr>
          <w:p>
            <w:pPr>
              <w:pStyle w:val="4069"/>
              <w:spacing w:before="18" w:line="240" w:lineRule="auto"/>
              <w:ind w:left="1154" w:right="0"/>
              <w:jc w:val="left"/>
              <w:rPr>
                <w:rFonts w:ascii="宋体" w:hAnsi="宋体" w:eastAsia="宋体" w:cs="宋体"/>
                <w:sz w:val="21"/>
                <w:szCs w:val="21"/>
              </w:rPr>
            </w:pPr>
            <w:r>
              <w:rPr>
                <w:rFonts w:ascii="宋体" w:hAnsi="宋体" w:eastAsia="宋体" w:cs="宋体"/>
                <w:sz w:val="21"/>
                <w:szCs w:val="21"/>
              </w:rPr>
              <w:t>恶臭污染源产生量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exact"/>
        </w:trPr>
        <w:tc>
          <w:tcPr>
            <w:tcW w:w="1706" w:type="dxa"/>
            <w:vMerge w:val="continue"/>
            <w:tcBorders>
              <w:tl2br w:val="nil"/>
              <w:tr2bl w:val="nil"/>
            </w:tcBorders>
          </w:tcPr>
          <w:p/>
        </w:tc>
        <w:tc>
          <w:tcPr>
            <w:tcW w:w="2772" w:type="dxa"/>
            <w:vMerge w:val="continue"/>
            <w:tcBorders>
              <w:tl2br w:val="nil"/>
              <w:tr2bl w:val="nil"/>
            </w:tcBorders>
          </w:tcPr>
          <w:p/>
        </w:tc>
        <w:tc>
          <w:tcPr>
            <w:tcW w:w="2137" w:type="dxa"/>
            <w:gridSpan w:val="2"/>
            <w:tcBorders>
              <w:tl2br w:val="nil"/>
              <w:tr2bl w:val="nil"/>
            </w:tcBorders>
          </w:tcPr>
          <w:p>
            <w:pPr>
              <w:pStyle w:val="4069"/>
              <w:spacing w:before="26" w:line="240" w:lineRule="auto"/>
              <w:ind w:right="0"/>
              <w:jc w:val="center"/>
              <w:rPr>
                <w:rFonts w:ascii="Calibri" w:hAnsi="Calibri" w:eastAsia="Calibri" w:cs="Calibri"/>
                <w:sz w:val="13"/>
                <w:szCs w:val="13"/>
              </w:rPr>
            </w:pPr>
            <w:r>
              <w:rPr>
                <w:rFonts w:ascii="Calibri"/>
                <w:b/>
                <w:spacing w:val="-1"/>
                <w:position w:val="2"/>
                <w:sz w:val="21"/>
              </w:rPr>
              <w:t>NH</w:t>
            </w:r>
            <w:r>
              <w:rPr>
                <w:rFonts w:ascii="Calibri"/>
                <w:b/>
                <w:spacing w:val="-1"/>
                <w:sz w:val="13"/>
              </w:rPr>
              <w:t>3</w:t>
            </w:r>
          </w:p>
        </w:tc>
        <w:tc>
          <w:tcPr>
            <w:tcW w:w="1889" w:type="dxa"/>
            <w:gridSpan w:val="2"/>
            <w:tcBorders>
              <w:tl2br w:val="nil"/>
              <w:tr2bl w:val="nil"/>
            </w:tcBorders>
          </w:tcPr>
          <w:p>
            <w:pPr>
              <w:pStyle w:val="4069"/>
              <w:spacing w:before="26" w:line="240" w:lineRule="auto"/>
              <w:ind w:right="14"/>
              <w:jc w:val="center"/>
              <w:rPr>
                <w:rFonts w:ascii="Calibri" w:hAnsi="Calibri" w:eastAsia="Calibri" w:cs="Calibri"/>
                <w:sz w:val="21"/>
                <w:szCs w:val="21"/>
              </w:rPr>
            </w:pPr>
            <w:r>
              <w:rPr>
                <w:rFonts w:ascii="Calibri"/>
                <w:b/>
                <w:spacing w:val="-1"/>
                <w:position w:val="2"/>
                <w:sz w:val="21"/>
              </w:rPr>
              <w:t>H</w:t>
            </w:r>
            <w:r>
              <w:rPr>
                <w:rFonts w:ascii="Calibri"/>
                <w:b/>
                <w:spacing w:val="-1"/>
                <w:sz w:val="13"/>
              </w:rPr>
              <w:t>2</w:t>
            </w:r>
            <w:r>
              <w:rPr>
                <w:rFonts w:ascii="Calibri"/>
                <w:b/>
                <w:spacing w:val="-1"/>
                <w:position w:val="2"/>
                <w:sz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4" w:hRule="exact"/>
        </w:trPr>
        <w:tc>
          <w:tcPr>
            <w:tcW w:w="1706" w:type="dxa"/>
            <w:vMerge w:val="restart"/>
            <w:tcBorders>
              <w:tl2br w:val="nil"/>
              <w:tr2bl w:val="nil"/>
            </w:tcBorders>
          </w:tcPr>
          <w:p>
            <w:pPr>
              <w:pStyle w:val="4069"/>
              <w:spacing w:before="8" w:line="110" w:lineRule="exact"/>
              <w:ind w:right="0"/>
              <w:jc w:val="left"/>
              <w:rPr>
                <w:sz w:val="11"/>
                <w:szCs w:val="11"/>
              </w:rPr>
            </w:pPr>
          </w:p>
          <w:p>
            <w:pPr>
              <w:pStyle w:val="4069"/>
              <w:spacing w:line="200" w:lineRule="exact"/>
              <w:ind w:right="0"/>
              <w:jc w:val="left"/>
              <w:rPr>
                <w:sz w:val="20"/>
                <w:szCs w:val="20"/>
              </w:rPr>
            </w:pPr>
          </w:p>
          <w:p>
            <w:pPr>
              <w:pStyle w:val="4069"/>
              <w:spacing w:line="240" w:lineRule="auto"/>
              <w:ind w:left="325" w:right="0"/>
              <w:jc w:val="left"/>
              <w:rPr>
                <w:rFonts w:ascii="宋体" w:hAnsi="宋体" w:eastAsia="宋体" w:cs="宋体"/>
                <w:sz w:val="21"/>
                <w:szCs w:val="21"/>
              </w:rPr>
            </w:pPr>
            <w:r>
              <w:rPr>
                <w:rFonts w:ascii="宋体" w:hAnsi="宋体" w:eastAsia="宋体" w:cs="宋体"/>
                <w:sz w:val="21"/>
                <w:szCs w:val="21"/>
              </w:rPr>
              <w:t>污水处理站</w:t>
            </w:r>
          </w:p>
        </w:tc>
        <w:tc>
          <w:tcPr>
            <w:tcW w:w="2772" w:type="dxa"/>
            <w:vMerge w:val="restart"/>
            <w:tcBorders>
              <w:tl2br w:val="nil"/>
              <w:tr2bl w:val="nil"/>
            </w:tcBorders>
          </w:tcPr>
          <w:p>
            <w:pPr>
              <w:pStyle w:val="4069"/>
              <w:spacing w:before="20" w:line="300" w:lineRule="exact"/>
              <w:ind w:right="0"/>
              <w:jc w:val="left"/>
              <w:rPr>
                <w:sz w:val="30"/>
                <w:szCs w:val="30"/>
              </w:rPr>
            </w:pPr>
          </w:p>
          <w:p>
            <w:pPr>
              <w:pStyle w:val="4069"/>
              <w:spacing w:line="240" w:lineRule="auto"/>
              <w:ind w:left="320" w:right="0"/>
              <w:jc w:val="center"/>
              <w:rPr>
                <w:rFonts w:hint="default" w:ascii="宋体" w:hAnsi="宋体" w:eastAsia="宋体" w:cs="宋体"/>
                <w:sz w:val="21"/>
                <w:szCs w:val="21"/>
                <w:lang w:val="en-US" w:eastAsia="zh-CN"/>
              </w:rPr>
            </w:pPr>
            <w:r>
              <w:rPr>
                <w:rFonts w:hint="eastAsia" w:ascii="Calibri" w:hAnsi="Calibri" w:eastAsia="宋体" w:cs="Calibri"/>
                <w:spacing w:val="-1"/>
                <w:sz w:val="21"/>
                <w:szCs w:val="21"/>
                <w:lang w:val="en-US" w:eastAsia="zh-CN"/>
              </w:rPr>
              <w:t>650</w:t>
            </w:r>
          </w:p>
        </w:tc>
        <w:tc>
          <w:tcPr>
            <w:tcW w:w="1069" w:type="dxa"/>
            <w:tcBorders>
              <w:tl2br w:val="nil"/>
              <w:tr2bl w:val="nil"/>
            </w:tcBorders>
          </w:tcPr>
          <w:p>
            <w:pPr>
              <w:pStyle w:val="4069"/>
              <w:spacing w:line="259" w:lineRule="exact"/>
              <w:ind w:left="108" w:right="0"/>
              <w:jc w:val="left"/>
              <w:rPr>
                <w:rFonts w:ascii="宋体" w:hAnsi="宋体" w:eastAsia="宋体" w:cs="宋体"/>
                <w:sz w:val="21"/>
                <w:szCs w:val="21"/>
              </w:rPr>
            </w:pPr>
            <w:r>
              <w:rPr>
                <w:rFonts w:ascii="宋体" w:hAnsi="宋体" w:eastAsia="宋体" w:cs="宋体"/>
                <w:sz w:val="21"/>
                <w:szCs w:val="21"/>
              </w:rPr>
              <w:t>排放速率</w:t>
            </w:r>
          </w:p>
          <w:p>
            <w:pPr>
              <w:pStyle w:val="4069"/>
              <w:spacing w:before="41" w:line="240" w:lineRule="auto"/>
              <w:ind w:left="115"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1068" w:type="dxa"/>
            <w:tcBorders>
              <w:tl2br w:val="nil"/>
              <w:tr2bl w:val="nil"/>
            </w:tcBorders>
          </w:tcPr>
          <w:p>
            <w:pPr>
              <w:pStyle w:val="4069"/>
              <w:spacing w:line="259" w:lineRule="exact"/>
              <w:ind w:left="213" w:right="0"/>
              <w:jc w:val="left"/>
              <w:rPr>
                <w:rFonts w:ascii="宋体" w:hAnsi="宋体" w:eastAsia="宋体" w:cs="宋体"/>
                <w:sz w:val="21"/>
                <w:szCs w:val="21"/>
              </w:rPr>
            </w:pPr>
            <w:r>
              <w:rPr>
                <w:rFonts w:ascii="宋体" w:hAnsi="宋体" w:eastAsia="宋体" w:cs="宋体"/>
                <w:sz w:val="21"/>
                <w:szCs w:val="21"/>
              </w:rPr>
              <w:t>排放量</w:t>
            </w:r>
          </w:p>
          <w:p>
            <w:pPr>
              <w:pStyle w:val="4069"/>
              <w:spacing w:before="41" w:line="240" w:lineRule="auto"/>
              <w:ind w:left="188" w:right="0"/>
              <w:jc w:val="left"/>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c>
          <w:tcPr>
            <w:tcW w:w="944" w:type="dxa"/>
            <w:tcBorders>
              <w:tl2br w:val="nil"/>
              <w:tr2bl w:val="nil"/>
            </w:tcBorders>
          </w:tcPr>
          <w:p>
            <w:pPr>
              <w:pStyle w:val="4069"/>
              <w:spacing w:line="259" w:lineRule="exact"/>
              <w:ind w:left="46" w:right="0"/>
              <w:jc w:val="left"/>
              <w:rPr>
                <w:rFonts w:ascii="宋体" w:hAnsi="宋体" w:eastAsia="宋体" w:cs="宋体"/>
                <w:sz w:val="21"/>
                <w:szCs w:val="21"/>
              </w:rPr>
            </w:pPr>
            <w:r>
              <w:rPr>
                <w:rFonts w:ascii="宋体" w:hAnsi="宋体" w:eastAsia="宋体" w:cs="宋体"/>
                <w:sz w:val="21"/>
                <w:szCs w:val="21"/>
              </w:rPr>
              <w:t>排放速率</w:t>
            </w:r>
          </w:p>
          <w:p>
            <w:pPr>
              <w:pStyle w:val="4069"/>
              <w:spacing w:before="41" w:line="240" w:lineRule="auto"/>
              <w:ind w:left="52"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pacing w:val="1"/>
                <w:sz w:val="21"/>
                <w:szCs w:val="21"/>
              </w:rPr>
              <w:t>k</w:t>
            </w:r>
            <w:r>
              <w:rPr>
                <w:rFonts w:ascii="Calibri" w:hAnsi="Calibri" w:eastAsia="Calibri" w:cs="Calibri"/>
                <w:b/>
                <w:bCs/>
                <w:spacing w:val="3"/>
                <w:sz w:val="21"/>
                <w:szCs w:val="21"/>
              </w:rPr>
              <w:t>g</w:t>
            </w:r>
            <w:r>
              <w:rPr>
                <w:rFonts w:ascii="Calibri" w:hAnsi="Calibri" w:eastAsia="Calibri" w:cs="Calibri"/>
                <w:b/>
                <w:bCs/>
                <w:spacing w:val="1"/>
                <w:sz w:val="21"/>
                <w:szCs w:val="21"/>
              </w:rPr>
              <w:t>/h</w:t>
            </w:r>
            <w:r>
              <w:rPr>
                <w:rFonts w:ascii="宋体" w:hAnsi="宋体" w:eastAsia="宋体" w:cs="宋体"/>
                <w:sz w:val="21"/>
                <w:szCs w:val="21"/>
              </w:rPr>
              <w:t>）</w:t>
            </w:r>
          </w:p>
        </w:tc>
        <w:tc>
          <w:tcPr>
            <w:tcW w:w="944" w:type="dxa"/>
            <w:tcBorders>
              <w:tl2br w:val="nil"/>
              <w:tr2bl w:val="nil"/>
            </w:tcBorders>
          </w:tcPr>
          <w:p>
            <w:pPr>
              <w:pStyle w:val="4069"/>
              <w:spacing w:line="259" w:lineRule="exact"/>
              <w:ind w:left="139" w:right="0"/>
              <w:jc w:val="left"/>
              <w:rPr>
                <w:rFonts w:ascii="宋体" w:hAnsi="宋体" w:eastAsia="宋体" w:cs="宋体"/>
                <w:sz w:val="21"/>
                <w:szCs w:val="21"/>
              </w:rPr>
            </w:pPr>
            <w:r>
              <w:rPr>
                <w:rFonts w:ascii="宋体" w:hAnsi="宋体" w:eastAsia="宋体" w:cs="宋体"/>
                <w:sz w:val="21"/>
                <w:szCs w:val="21"/>
              </w:rPr>
              <w:t>排放量</w:t>
            </w:r>
          </w:p>
          <w:p>
            <w:pPr>
              <w:pStyle w:val="4069"/>
              <w:spacing w:before="41" w:line="240" w:lineRule="auto"/>
              <w:ind w:left="114" w:right="0"/>
              <w:jc w:val="left"/>
              <w:rPr>
                <w:rFonts w:ascii="宋体" w:hAnsi="宋体" w:eastAsia="宋体" w:cs="宋体"/>
                <w:sz w:val="21"/>
                <w:szCs w:val="21"/>
              </w:rPr>
            </w:pPr>
            <w:r>
              <w:rPr>
                <w:rFonts w:ascii="宋体" w:hAnsi="宋体" w:eastAsia="宋体" w:cs="宋体"/>
                <w:spacing w:val="-2"/>
                <w:sz w:val="21"/>
                <w:szCs w:val="21"/>
              </w:rPr>
              <w:t>（</w:t>
            </w:r>
            <w:r>
              <w:rPr>
                <w:rFonts w:ascii="Calibri" w:hAnsi="Calibri" w:eastAsia="Calibri" w:cs="Calibri"/>
                <w:b/>
                <w:bCs/>
                <w:spacing w:val="-2"/>
                <w:sz w:val="21"/>
                <w:szCs w:val="21"/>
              </w:rPr>
              <w:t>t/a</w:t>
            </w:r>
            <w:r>
              <w:rPr>
                <w:rFonts w:ascii="宋体" w:hAnsi="宋体" w:eastAsia="宋体" w:cs="宋体"/>
                <w:spacing w:val="-2"/>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exact"/>
        </w:trPr>
        <w:tc>
          <w:tcPr>
            <w:tcW w:w="1706" w:type="dxa"/>
            <w:vMerge w:val="continue"/>
            <w:tcBorders>
              <w:tl2br w:val="nil"/>
              <w:tr2bl w:val="nil"/>
            </w:tcBorders>
          </w:tcPr>
          <w:p/>
        </w:tc>
        <w:tc>
          <w:tcPr>
            <w:tcW w:w="2772" w:type="dxa"/>
            <w:vMerge w:val="continue"/>
            <w:tcBorders>
              <w:tl2br w:val="nil"/>
              <w:tr2bl w:val="nil"/>
            </w:tcBorders>
          </w:tcPr>
          <w:p/>
        </w:tc>
        <w:tc>
          <w:tcPr>
            <w:tcW w:w="1069" w:type="dxa"/>
            <w:tcBorders>
              <w:tl2br w:val="nil"/>
              <w:tr2bl w:val="nil"/>
            </w:tcBorders>
          </w:tcPr>
          <w:p>
            <w:pPr>
              <w:pStyle w:val="4069"/>
              <w:spacing w:before="49" w:line="240" w:lineRule="auto"/>
              <w:ind w:left="167" w:right="0"/>
              <w:jc w:val="left"/>
              <w:rPr>
                <w:rFonts w:ascii="Calibri" w:hAnsi="Calibri" w:eastAsia="Calibri" w:cs="Calibri"/>
                <w:sz w:val="22"/>
                <w:szCs w:val="22"/>
              </w:rPr>
            </w:pPr>
            <w:r>
              <w:rPr>
                <w:rFonts w:ascii="Calibri"/>
                <w:sz w:val="22"/>
              </w:rPr>
              <w:t>0.00376</w:t>
            </w:r>
          </w:p>
        </w:tc>
        <w:tc>
          <w:tcPr>
            <w:tcW w:w="1068" w:type="dxa"/>
            <w:tcBorders>
              <w:tl2br w:val="nil"/>
              <w:tr2bl w:val="nil"/>
            </w:tcBorders>
          </w:tcPr>
          <w:p>
            <w:pPr>
              <w:pStyle w:val="4069"/>
              <w:spacing w:before="49" w:line="240" w:lineRule="auto"/>
              <w:ind w:left="279" w:right="0"/>
              <w:jc w:val="left"/>
              <w:rPr>
                <w:rFonts w:ascii="Calibri" w:hAnsi="Calibri" w:eastAsia="Calibri" w:cs="Calibri"/>
                <w:sz w:val="22"/>
                <w:szCs w:val="22"/>
              </w:rPr>
            </w:pPr>
            <w:r>
              <w:rPr>
                <w:rFonts w:ascii="Calibri"/>
                <w:sz w:val="22"/>
              </w:rPr>
              <w:t>0.032</w:t>
            </w:r>
          </w:p>
        </w:tc>
        <w:tc>
          <w:tcPr>
            <w:tcW w:w="944" w:type="dxa"/>
            <w:tcBorders>
              <w:tl2br w:val="nil"/>
              <w:tr2bl w:val="nil"/>
            </w:tcBorders>
          </w:tcPr>
          <w:p>
            <w:pPr>
              <w:pStyle w:val="4069"/>
              <w:spacing w:before="49" w:line="240" w:lineRule="auto"/>
              <w:ind w:left="51" w:right="0"/>
              <w:jc w:val="left"/>
              <w:rPr>
                <w:rFonts w:ascii="Calibri" w:hAnsi="Calibri" w:eastAsia="Calibri" w:cs="Calibri"/>
                <w:sz w:val="22"/>
                <w:szCs w:val="22"/>
              </w:rPr>
            </w:pPr>
            <w:r>
              <w:rPr>
                <w:rFonts w:ascii="Calibri"/>
                <w:sz w:val="22"/>
              </w:rPr>
              <w:t>0.000146</w:t>
            </w:r>
          </w:p>
        </w:tc>
        <w:tc>
          <w:tcPr>
            <w:tcW w:w="944" w:type="dxa"/>
            <w:tcBorders>
              <w:tl2br w:val="nil"/>
              <w:tr2bl w:val="nil"/>
            </w:tcBorders>
          </w:tcPr>
          <w:p>
            <w:pPr>
              <w:pStyle w:val="4069"/>
              <w:spacing w:before="49" w:line="240" w:lineRule="auto"/>
              <w:ind w:left="259" w:right="0"/>
              <w:jc w:val="left"/>
              <w:rPr>
                <w:rFonts w:ascii="Calibri" w:hAnsi="Calibri" w:eastAsia="Calibri" w:cs="Calibri"/>
                <w:sz w:val="22"/>
                <w:szCs w:val="22"/>
              </w:rPr>
            </w:pPr>
            <w:r>
              <w:rPr>
                <w:rFonts w:ascii="Calibri"/>
                <w:spacing w:val="-1"/>
                <w:sz w:val="22"/>
              </w:rPr>
              <w:t>1.26</w:t>
            </w:r>
          </w:p>
        </w:tc>
      </w:tr>
    </w:tbl>
    <w:p>
      <w:pPr>
        <w:pStyle w:val="1659"/>
        <w:rPr>
          <w:rFonts w:hint="eastAsia"/>
          <w:lang w:eastAsia="zh-CN"/>
        </w:rPr>
      </w:pPr>
      <w:r>
        <w:rPr>
          <w:rFonts w:hint="eastAsia"/>
          <w:lang w:eastAsia="zh-CN"/>
        </w:rPr>
        <w:t>（</w:t>
      </w:r>
      <w:r>
        <w:rPr>
          <w:rFonts w:hint="eastAsia"/>
          <w:lang w:val="en-US" w:eastAsia="zh-CN"/>
        </w:rPr>
        <w:t>2</w:t>
      </w:r>
      <w:r>
        <w:rPr>
          <w:rFonts w:hint="eastAsia"/>
          <w:lang w:eastAsia="zh-CN"/>
        </w:rPr>
        <w:t>）锅炉废气</w:t>
      </w:r>
    </w:p>
    <w:p>
      <w:pPr>
        <w:pStyle w:val="2"/>
        <w:spacing w:before="60" w:line="340" w:lineRule="auto"/>
        <w:ind w:left="216" w:right="216" w:firstLine="420"/>
        <w:jc w:val="both"/>
        <w:rPr>
          <w:rFonts w:hint="eastAsia"/>
          <w:lang w:eastAsia="zh-CN"/>
        </w:rPr>
      </w:pPr>
      <w:r>
        <w:t>本项目设置</w:t>
      </w:r>
      <w:r>
        <w:rPr>
          <w:rFonts w:ascii="Times New Roman" w:hAnsi="Times New Roman" w:eastAsia="Times New Roman" w:cs="Times New Roman"/>
        </w:rPr>
        <w:t>1</w:t>
      </w:r>
      <w:r>
        <w:t>台</w:t>
      </w:r>
      <w:r>
        <w:rPr>
          <w:spacing w:val="-61"/>
        </w:rPr>
        <w:t xml:space="preserve"> </w:t>
      </w:r>
      <w:r>
        <w:rPr>
          <w:rFonts w:ascii="Times New Roman" w:hAnsi="Times New Roman" w:eastAsia="Times New Roman" w:cs="Times New Roman"/>
        </w:rPr>
        <w:t>2.0t/h</w:t>
      </w:r>
      <w:r>
        <w:t>的天然气热水锅炉，本项目天然气</w:t>
      </w:r>
      <w:r>
        <w:rPr>
          <w:spacing w:val="-2"/>
        </w:rPr>
        <w:t>来自市政天然气管道，该锅炉耗气量</w:t>
      </w:r>
      <w:r>
        <w:rPr>
          <w:rFonts w:ascii="Times New Roman" w:hAnsi="Times New Roman" w:eastAsia="Times New Roman" w:cs="Times New Roman"/>
          <w:spacing w:val="-2"/>
        </w:rPr>
        <w:t>38.1Nm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/h</w:t>
      </w:r>
      <w:r>
        <w:rPr>
          <w:spacing w:val="-2"/>
        </w:rPr>
        <w:t>，锅炉每天运行</w:t>
      </w:r>
      <w:r>
        <w:rPr>
          <w:spacing w:val="-60"/>
        </w:rPr>
        <w:t xml:space="preserve"> </w:t>
      </w:r>
      <w:r>
        <w:rPr>
          <w:rFonts w:ascii="Times New Roman" w:hAnsi="Times New Roman" w:eastAsia="Times New Roman" w:cs="Times New Roman"/>
          <w:spacing w:val="-3"/>
        </w:rPr>
        <w:t>6h</w:t>
      </w:r>
      <w:r>
        <w:rPr>
          <w:spacing w:val="-3"/>
        </w:rPr>
        <w:t>，预计锅炉年</w:t>
      </w:r>
      <w:r>
        <w:t>耗天然气</w:t>
      </w:r>
      <w:r>
        <w:rPr>
          <w:rFonts w:ascii="Times New Roman" w:hAnsi="Times New Roman" w:eastAsia="Times New Roman" w:cs="Times New Roman"/>
        </w:rPr>
        <w:t>16</w:t>
      </w:r>
      <w:r>
        <w:t>万</w:t>
      </w:r>
      <w:r>
        <w:rPr>
          <w:rFonts w:ascii="Times New Roman" w:hAnsi="Times New Roman" w:eastAsia="Times New Roman" w:cs="Times New Roman"/>
          <w:spacing w:val="-1"/>
        </w:rPr>
        <w:t>Nm</w:t>
      </w:r>
      <w:r>
        <w:rPr>
          <w:rFonts w:ascii="Times New Roman" w:hAnsi="Times New Roman" w:eastAsia="Times New Roman" w:cs="Times New Roman"/>
          <w:spacing w:val="-1"/>
          <w:position w:val="8"/>
          <w:sz w:val="15"/>
          <w:szCs w:val="15"/>
        </w:rPr>
        <w:t>3</w:t>
      </w:r>
      <w:r>
        <w:rPr>
          <w:spacing w:val="-1"/>
        </w:rPr>
        <w:t>。由《第一次全国污染源普查工业污染源产排污系数手册》</w:t>
      </w:r>
      <w:r>
        <w:rPr>
          <w:position w:val="2"/>
        </w:rPr>
        <w:t>（</w:t>
      </w:r>
      <w:r>
        <w:rPr>
          <w:rFonts w:ascii="Times New Roman" w:hAnsi="Times New Roman" w:eastAsia="Times New Roman" w:cs="Times New Roman"/>
          <w:position w:val="2"/>
        </w:rPr>
        <w:t>2010</w:t>
      </w:r>
      <w:r>
        <w:rPr>
          <w:spacing w:val="-2"/>
          <w:position w:val="2"/>
        </w:rPr>
        <w:t>年修订）产污系数，锅炉烟气量约</w:t>
      </w:r>
      <w:r>
        <w:rPr>
          <w:spacing w:val="-64"/>
          <w:position w:val="2"/>
        </w:rPr>
        <w:t xml:space="preserve"> </w:t>
      </w:r>
      <w:r>
        <w:rPr>
          <w:rFonts w:ascii="Times New Roman" w:hAnsi="Times New Roman" w:eastAsia="Times New Roman" w:cs="Times New Roman"/>
          <w:spacing w:val="-2"/>
          <w:position w:val="2"/>
        </w:rPr>
        <w:t>388.92m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2"/>
        </w:rPr>
        <w:t>/h</w:t>
      </w:r>
      <w:r>
        <w:rPr>
          <w:spacing w:val="-2"/>
          <w:position w:val="2"/>
        </w:rPr>
        <w:t>，</w:t>
      </w:r>
      <w:r>
        <w:rPr>
          <w:rFonts w:ascii="Times New Roman" w:hAnsi="Times New Roman" w:eastAsia="Times New Roman" w:cs="Times New Roman"/>
          <w:spacing w:val="-2"/>
          <w:position w:val="2"/>
        </w:rPr>
        <w:t>8.4×10</w:t>
      </w:r>
      <w:r>
        <w:rPr>
          <w:rFonts w:ascii="Times New Roman" w:hAnsi="Times New Roman" w:eastAsia="Times New Roman" w:cs="Times New Roman"/>
          <w:spacing w:val="-2"/>
          <w:position w:val="10"/>
          <w:sz w:val="15"/>
          <w:szCs w:val="15"/>
        </w:rPr>
        <w:t>5</w:t>
      </w:r>
      <w:r>
        <w:rPr>
          <w:rFonts w:ascii="Times New Roman" w:hAnsi="Times New Roman" w:eastAsia="Times New Roman" w:cs="Times New Roman"/>
          <w:spacing w:val="-2"/>
          <w:position w:val="2"/>
        </w:rPr>
        <w:t>m</w:t>
      </w:r>
      <w:r>
        <w:rPr>
          <w:rFonts w:ascii="Times New Roman" w:hAnsi="Times New Roman" w:eastAsia="Times New Roman" w:cs="Times New Roman"/>
          <w:spacing w:val="-2"/>
          <w:position w:val="10"/>
          <w:sz w:val="15"/>
          <w:szCs w:val="15"/>
        </w:rPr>
        <w:t>3</w:t>
      </w:r>
      <w:r>
        <w:rPr>
          <w:rFonts w:ascii="Times New Roman" w:hAnsi="Times New Roman" w:eastAsia="Times New Roman" w:cs="Times New Roman"/>
          <w:spacing w:val="-2"/>
          <w:position w:val="2"/>
        </w:rPr>
        <w:t>/a</w:t>
      </w:r>
      <w:r>
        <w:rPr>
          <w:spacing w:val="-2"/>
          <w:position w:val="2"/>
        </w:rPr>
        <w:t>，</w:t>
      </w:r>
      <w:r>
        <w:rPr>
          <w:rFonts w:ascii="Times New Roman" w:hAnsi="Times New Roman" w:eastAsia="Times New Roman" w:cs="Times New Roman"/>
          <w:spacing w:val="-2"/>
          <w:position w:val="2"/>
        </w:rPr>
        <w:t>SO</w:t>
      </w:r>
      <w:r>
        <w:rPr>
          <w:rFonts w:ascii="Times New Roman" w:hAnsi="Times New Roman" w:eastAsia="Times New Roman" w:cs="Times New Roman"/>
          <w:spacing w:val="-2"/>
          <w:sz w:val="15"/>
          <w:szCs w:val="15"/>
        </w:rPr>
        <w:t>2</w:t>
      </w:r>
      <w:r>
        <w:rPr>
          <w:position w:val="2"/>
        </w:rPr>
        <w:t>产生量</w:t>
      </w:r>
      <w:r>
        <w:rPr>
          <w:rFonts w:ascii="Times New Roman" w:hAnsi="Times New Roman" w:eastAsia="Times New Roman" w:cs="Times New Roman"/>
          <w:spacing w:val="-1"/>
          <w:position w:val="2"/>
        </w:rPr>
        <w:t>0.014t/a</w:t>
      </w:r>
      <w:r>
        <w:rPr>
          <w:spacing w:val="-1"/>
          <w:position w:val="2"/>
        </w:rPr>
        <w:t>，产生浓度为</w:t>
      </w:r>
      <w:r>
        <w:rPr>
          <w:rFonts w:ascii="Times New Roman" w:hAnsi="Times New Roman" w:eastAsia="Times New Roman" w:cs="Times New Roman"/>
          <w:spacing w:val="-1"/>
          <w:position w:val="2"/>
        </w:rPr>
        <w:t>29.1mg/m</w:t>
      </w:r>
      <w:r>
        <w:rPr>
          <w:rFonts w:ascii="Times New Roman" w:hAnsi="Times New Roman" w:eastAsia="Times New Roman" w:cs="Times New Roman"/>
          <w:spacing w:val="-1"/>
          <w:position w:val="10"/>
          <w:sz w:val="15"/>
          <w:szCs w:val="15"/>
        </w:rPr>
        <w:t>3</w:t>
      </w:r>
      <w:r>
        <w:rPr>
          <w:spacing w:val="-1"/>
          <w:position w:val="2"/>
        </w:rPr>
        <w:t>，产生速率</w:t>
      </w:r>
      <w:r>
        <w:rPr>
          <w:spacing w:val="-68"/>
          <w:position w:val="2"/>
        </w:rPr>
        <w:t xml:space="preserve"> </w:t>
      </w:r>
      <w:r>
        <w:rPr>
          <w:rFonts w:ascii="Times New Roman" w:hAnsi="Times New Roman" w:eastAsia="Times New Roman" w:cs="Times New Roman"/>
          <w:spacing w:val="-1"/>
          <w:position w:val="2"/>
        </w:rPr>
        <w:t>0.0156kg/h</w:t>
      </w:r>
      <w:r>
        <w:rPr>
          <w:spacing w:val="-1"/>
          <w:position w:val="2"/>
        </w:rPr>
        <w:t>；</w:t>
      </w:r>
      <w:r>
        <w:rPr>
          <w:rFonts w:ascii="Times New Roman" w:hAnsi="Times New Roman" w:eastAsia="Times New Roman" w:cs="Times New Roman"/>
          <w:spacing w:val="-1"/>
          <w:position w:val="2"/>
        </w:rPr>
        <w:t>NO</w:t>
      </w:r>
      <w:r>
        <w:rPr>
          <w:rFonts w:ascii="Times New Roman" w:hAnsi="Times New Roman" w:eastAsia="Times New Roman" w:cs="Times New Roman"/>
          <w:spacing w:val="-1"/>
          <w:sz w:val="15"/>
          <w:szCs w:val="15"/>
        </w:rPr>
        <w:t>X</w:t>
      </w:r>
      <w:r>
        <w:rPr>
          <w:position w:val="2"/>
        </w:rPr>
        <w:t>产生量</w:t>
      </w:r>
      <w:r>
        <w:rPr>
          <w:rFonts w:ascii="Times New Roman" w:hAnsi="Times New Roman" w:eastAsia="Times New Roman" w:cs="Times New Roman"/>
          <w:spacing w:val="-1"/>
          <w:position w:val="2"/>
        </w:rPr>
        <w:t>0.146t/a</w:t>
      </w:r>
      <w:r>
        <w:rPr>
          <w:spacing w:val="-1"/>
          <w:position w:val="2"/>
        </w:rPr>
        <w:t>，</w:t>
      </w:r>
      <w:r>
        <w:t>产生浓度</w:t>
      </w:r>
      <w:r>
        <w:rPr>
          <w:rFonts w:ascii="Times New Roman" w:hAnsi="Times New Roman" w:eastAsia="Times New Roman" w:cs="Times New Roman"/>
          <w:spacing w:val="-1"/>
        </w:rPr>
        <w:t>139.8mg/m</w:t>
      </w:r>
      <w:r>
        <w:rPr>
          <w:rFonts w:ascii="Times New Roman" w:hAnsi="Times New Roman" w:eastAsia="Times New Roman" w:cs="Times New Roman"/>
          <w:spacing w:val="-1"/>
          <w:position w:val="8"/>
          <w:sz w:val="15"/>
          <w:szCs w:val="15"/>
        </w:rPr>
        <w:t>3</w:t>
      </w:r>
      <w:r>
        <w:rPr>
          <w:spacing w:val="-24"/>
        </w:rPr>
        <w:t>，</w:t>
      </w:r>
      <w:r>
        <w:t>产生速率</w:t>
      </w:r>
      <w:r>
        <w:rPr>
          <w:spacing w:val="-69"/>
        </w:rPr>
        <w:t xml:space="preserve"> </w:t>
      </w:r>
      <w:r>
        <w:rPr>
          <w:rFonts w:ascii="Times New Roman" w:hAnsi="Times New Roman" w:eastAsia="Times New Roman" w:cs="Times New Roman"/>
        </w:rPr>
        <w:t>0.14kg/h</w:t>
      </w:r>
      <w:r>
        <w:rPr>
          <w:spacing w:val="-24"/>
        </w:rPr>
        <w:t>。</w:t>
      </w:r>
      <w:r>
        <w:t>天然气较为洁净</w:t>
      </w:r>
      <w:r>
        <w:rPr>
          <w:spacing w:val="-24"/>
        </w:rPr>
        <w:t>，</w:t>
      </w:r>
      <w:r>
        <w:t>燃烧过程中烟尘量</w:t>
      </w:r>
      <w:r>
        <w:rPr>
          <w:spacing w:val="-2"/>
          <w:position w:val="2"/>
        </w:rPr>
        <w:t>很少，本项目以清洁的天然气为燃料，烟尘含量极低。锅炉烟气中</w:t>
      </w:r>
      <w:r>
        <w:rPr>
          <w:spacing w:val="-57"/>
          <w:position w:val="2"/>
        </w:rPr>
        <w:t xml:space="preserve"> </w:t>
      </w:r>
      <w:r>
        <w:rPr>
          <w:rFonts w:ascii="Times New Roman" w:hAnsi="Times New Roman" w:eastAsia="Times New Roman" w:cs="Times New Roman"/>
          <w:spacing w:val="-3"/>
          <w:position w:val="2"/>
        </w:rPr>
        <w:t>SO</w:t>
      </w:r>
      <w:r>
        <w:rPr>
          <w:rFonts w:ascii="Times New Roman" w:hAnsi="Times New Roman" w:eastAsia="Times New Roman" w:cs="Times New Roman"/>
          <w:spacing w:val="-3"/>
          <w:sz w:val="15"/>
          <w:szCs w:val="15"/>
        </w:rPr>
        <w:t>2</w:t>
      </w:r>
      <w:r>
        <w:rPr>
          <w:spacing w:val="-3"/>
          <w:position w:val="2"/>
        </w:rPr>
        <w:t>、</w:t>
      </w:r>
      <w:r>
        <w:rPr>
          <w:rFonts w:ascii="Times New Roman" w:hAnsi="Times New Roman" w:eastAsia="Times New Roman" w:cs="Times New Roman"/>
          <w:spacing w:val="-3"/>
          <w:position w:val="2"/>
        </w:rPr>
        <w:t>NO</w:t>
      </w:r>
      <w:r>
        <w:rPr>
          <w:rFonts w:ascii="Times New Roman" w:hAnsi="Times New Roman" w:eastAsia="Times New Roman" w:cs="Times New Roman"/>
          <w:spacing w:val="-3"/>
          <w:sz w:val="15"/>
          <w:szCs w:val="15"/>
        </w:rPr>
        <w:t>X</w:t>
      </w:r>
      <w:r>
        <w:rPr>
          <w:position w:val="2"/>
        </w:rPr>
        <w:t>排</w:t>
      </w:r>
      <w:r>
        <w:t>放浓度可达</w:t>
      </w:r>
      <w:r>
        <w:rPr>
          <w:rFonts w:ascii="Times New Roman" w:hAnsi="Times New Roman" w:eastAsia="Times New Roman" w:cs="Times New Roman"/>
          <w:spacing w:val="-1"/>
        </w:rPr>
        <w:t>GB13271-2014</w:t>
      </w:r>
      <w:r>
        <w:rPr>
          <w:spacing w:val="-1"/>
        </w:rPr>
        <w:t>《锅炉大气污染物排放标准》表</w:t>
      </w:r>
      <w:r>
        <w:rPr>
          <w:rFonts w:ascii="Times New Roman" w:hAnsi="Times New Roman" w:eastAsia="Times New Roman" w:cs="Times New Roman"/>
        </w:rPr>
        <w:t>2</w:t>
      </w:r>
      <w:r>
        <w:t>的二级标准限值要</w:t>
      </w:r>
      <w:r>
        <w:rPr>
          <w:spacing w:val="-1"/>
          <w:position w:val="2"/>
        </w:rPr>
        <w:t>求，</w:t>
      </w:r>
      <w:r>
        <w:rPr>
          <w:rFonts w:ascii="Times New Roman" w:hAnsi="Times New Roman" w:eastAsia="Times New Roman" w:cs="Times New Roman"/>
          <w:spacing w:val="-1"/>
          <w:position w:val="2"/>
        </w:rPr>
        <w:t>SO</w:t>
      </w:r>
      <w:r>
        <w:rPr>
          <w:rFonts w:ascii="Times New Roman" w:hAnsi="Times New Roman" w:eastAsia="Times New Roman" w:cs="Times New Roman"/>
          <w:spacing w:val="-1"/>
          <w:sz w:val="15"/>
          <w:szCs w:val="15"/>
        </w:rPr>
        <w:t>2</w:t>
      </w:r>
      <w:r>
        <w:rPr>
          <w:spacing w:val="-1"/>
          <w:position w:val="2"/>
        </w:rPr>
        <w:t>、</w:t>
      </w:r>
      <w:r>
        <w:rPr>
          <w:rFonts w:ascii="Times New Roman" w:hAnsi="Times New Roman" w:eastAsia="Times New Roman" w:cs="Times New Roman"/>
          <w:spacing w:val="-1"/>
          <w:position w:val="2"/>
        </w:rPr>
        <w:t>NO</w:t>
      </w:r>
      <w:r>
        <w:rPr>
          <w:rFonts w:ascii="Times New Roman" w:hAnsi="Times New Roman" w:eastAsia="Times New Roman" w:cs="Times New Roman"/>
          <w:spacing w:val="-1"/>
          <w:sz w:val="15"/>
          <w:szCs w:val="15"/>
        </w:rPr>
        <w:t>X</w:t>
      </w:r>
      <w:r>
        <w:rPr>
          <w:position w:val="2"/>
        </w:rPr>
        <w:t>排放浓度不高于</w:t>
      </w:r>
      <w:r>
        <w:rPr>
          <w:rFonts w:ascii="Times New Roman" w:hAnsi="Times New Roman" w:eastAsia="Times New Roman" w:cs="Times New Roman"/>
          <w:spacing w:val="-1"/>
          <w:position w:val="2"/>
        </w:rPr>
        <w:t>50mg/m</w:t>
      </w:r>
      <w:r>
        <w:rPr>
          <w:rFonts w:ascii="Times New Roman" w:hAnsi="Times New Roman" w:eastAsia="Times New Roman" w:cs="Times New Roman"/>
          <w:spacing w:val="-1"/>
          <w:position w:val="10"/>
          <w:sz w:val="15"/>
          <w:szCs w:val="15"/>
        </w:rPr>
        <w:t>3</w:t>
      </w:r>
      <w:r>
        <w:rPr>
          <w:position w:val="2"/>
        </w:rPr>
        <w:t>和</w:t>
      </w:r>
      <w:r>
        <w:rPr>
          <w:spacing w:val="-61"/>
          <w:position w:val="2"/>
        </w:rPr>
        <w:t xml:space="preserve"> </w:t>
      </w:r>
      <w:r>
        <w:rPr>
          <w:rFonts w:ascii="Times New Roman" w:hAnsi="Times New Roman" w:eastAsia="Times New Roman" w:cs="Times New Roman"/>
          <w:spacing w:val="-1"/>
          <w:position w:val="2"/>
        </w:rPr>
        <w:t>200mg/m</w:t>
      </w:r>
      <w:r>
        <w:rPr>
          <w:rFonts w:ascii="Times New Roman" w:hAnsi="Times New Roman" w:eastAsia="Times New Roman" w:cs="Times New Roman"/>
          <w:spacing w:val="-1"/>
          <w:position w:val="10"/>
          <w:sz w:val="15"/>
          <w:szCs w:val="15"/>
        </w:rPr>
        <w:t>3</w:t>
      </w:r>
      <w:r>
        <w:rPr>
          <w:spacing w:val="-1"/>
          <w:position w:val="2"/>
        </w:rPr>
        <w:t>。锅炉烟气最终经</w:t>
      </w:r>
      <w:r>
        <w:rPr>
          <w:spacing w:val="-62"/>
          <w:position w:val="2"/>
        </w:rPr>
        <w:t xml:space="preserve"> </w:t>
      </w:r>
      <w:r>
        <w:rPr>
          <w:rFonts w:ascii="Times New Roman" w:hAnsi="Times New Roman" w:eastAsia="Times New Roman" w:cs="Times New Roman"/>
          <w:position w:val="2"/>
        </w:rPr>
        <w:t>15</w:t>
      </w:r>
      <w:r>
        <w:rPr>
          <w:position w:val="2"/>
        </w:rPr>
        <w:t>米高</w:t>
      </w:r>
      <w:r>
        <w:t>烟囱高空排放。</w:t>
      </w:r>
    </w:p>
    <w:p>
      <w:pPr>
        <w:pStyle w:val="1659"/>
      </w:pPr>
      <w:r>
        <w:t>项目天然气燃烧废气污染物产生及排放情况详见表</w:t>
      </w:r>
      <w:r>
        <w:rPr>
          <w:rFonts w:hint="eastAsia"/>
          <w:lang w:val="en-US" w:eastAsia="zh-CN"/>
        </w:rPr>
        <w:t>3.3-13</w:t>
      </w:r>
      <w:r>
        <w:t>。</w:t>
      </w:r>
    </w:p>
    <w:p>
      <w:pPr>
        <w:pStyle w:val="1659"/>
        <w:jc w:val="center"/>
        <w:rPr>
          <w:rFonts w:hint="default"/>
          <w:lang w:val="en-US" w:eastAsia="zh-CN"/>
        </w:rPr>
      </w:pPr>
      <w:r>
        <w:t>表</w:t>
      </w:r>
      <w:r>
        <w:rPr>
          <w:rFonts w:hint="eastAsia"/>
          <w:lang w:val="en-US" w:eastAsia="zh-CN"/>
        </w:rPr>
        <w:t>3.3-13  天然气锅炉废气产排情况</w:t>
      </w:r>
    </w:p>
    <w:tbl>
      <w:tblPr>
        <w:tblStyle w:val="88"/>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1"/>
        <w:gridCol w:w="976"/>
        <w:gridCol w:w="1007"/>
        <w:gridCol w:w="1265"/>
        <w:gridCol w:w="1007"/>
        <w:gridCol w:w="878"/>
        <w:gridCol w:w="1307"/>
        <w:gridCol w:w="10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exact"/>
        </w:trPr>
        <w:tc>
          <w:tcPr>
            <w:tcW w:w="1001" w:type="dxa"/>
            <w:vMerge w:val="restart"/>
            <w:tcBorders>
              <w:tl2br w:val="nil"/>
              <w:tr2bl w:val="nil"/>
            </w:tcBorders>
          </w:tcPr>
          <w:p>
            <w:pPr>
              <w:pStyle w:val="4069"/>
              <w:spacing w:before="7" w:line="170" w:lineRule="exact"/>
              <w:ind w:right="0"/>
              <w:jc w:val="left"/>
              <w:rPr>
                <w:sz w:val="17"/>
                <w:szCs w:val="17"/>
              </w:rPr>
            </w:pPr>
          </w:p>
          <w:p>
            <w:pPr>
              <w:pStyle w:val="4069"/>
              <w:spacing w:line="200" w:lineRule="exact"/>
              <w:ind w:right="0"/>
              <w:jc w:val="left"/>
              <w:rPr>
                <w:sz w:val="20"/>
                <w:szCs w:val="20"/>
              </w:rPr>
            </w:pPr>
          </w:p>
          <w:p>
            <w:pPr>
              <w:pStyle w:val="4069"/>
              <w:spacing w:line="240" w:lineRule="auto"/>
              <w:ind w:left="274" w:right="0"/>
              <w:jc w:val="left"/>
              <w:rPr>
                <w:rFonts w:ascii="宋体" w:hAnsi="宋体" w:eastAsia="宋体" w:cs="宋体"/>
                <w:sz w:val="21"/>
                <w:szCs w:val="21"/>
              </w:rPr>
            </w:pPr>
            <w:r>
              <w:rPr>
                <w:rFonts w:ascii="宋体" w:hAnsi="宋体" w:eastAsia="宋体" w:cs="宋体"/>
                <w:spacing w:val="1"/>
                <w:sz w:val="21"/>
                <w:szCs w:val="21"/>
              </w:rPr>
              <w:t>项目</w:t>
            </w:r>
          </w:p>
        </w:tc>
        <w:tc>
          <w:tcPr>
            <w:tcW w:w="3247" w:type="dxa"/>
            <w:gridSpan w:val="3"/>
            <w:tcBorders>
              <w:tl2br w:val="nil"/>
              <w:tr2bl w:val="nil"/>
            </w:tcBorders>
          </w:tcPr>
          <w:p>
            <w:pPr>
              <w:pStyle w:val="4069"/>
              <w:spacing w:before="26" w:line="240" w:lineRule="auto"/>
              <w:ind w:left="1" w:right="0"/>
              <w:jc w:val="center"/>
              <w:rPr>
                <w:rFonts w:ascii="宋体" w:hAnsi="宋体" w:eastAsia="宋体" w:cs="宋体"/>
                <w:sz w:val="21"/>
                <w:szCs w:val="21"/>
              </w:rPr>
            </w:pPr>
            <w:r>
              <w:rPr>
                <w:rFonts w:ascii="宋体" w:hAnsi="宋体" w:eastAsia="宋体" w:cs="宋体"/>
                <w:sz w:val="21"/>
                <w:szCs w:val="21"/>
              </w:rPr>
              <w:t>产生情况</w:t>
            </w:r>
          </w:p>
        </w:tc>
        <w:tc>
          <w:tcPr>
            <w:tcW w:w="3192" w:type="dxa"/>
            <w:gridSpan w:val="3"/>
            <w:tcBorders>
              <w:tl2br w:val="nil"/>
              <w:tr2bl w:val="nil"/>
            </w:tcBorders>
          </w:tcPr>
          <w:p>
            <w:pPr>
              <w:pStyle w:val="4069"/>
              <w:spacing w:before="26" w:line="240" w:lineRule="auto"/>
              <w:ind w:left="1" w:right="0"/>
              <w:jc w:val="center"/>
              <w:rPr>
                <w:rFonts w:ascii="宋体" w:hAnsi="宋体" w:eastAsia="宋体" w:cs="宋体"/>
                <w:sz w:val="21"/>
                <w:szCs w:val="21"/>
              </w:rPr>
            </w:pPr>
            <w:r>
              <w:rPr>
                <w:rFonts w:ascii="宋体" w:hAnsi="宋体" w:eastAsia="宋体" w:cs="宋体"/>
                <w:sz w:val="21"/>
                <w:szCs w:val="21"/>
              </w:rPr>
              <w:t>排放情况</w:t>
            </w:r>
          </w:p>
        </w:tc>
        <w:tc>
          <w:tcPr>
            <w:tcW w:w="1064" w:type="dxa"/>
            <w:vMerge w:val="restart"/>
            <w:tcBorders>
              <w:tl2br w:val="nil"/>
              <w:tr2bl w:val="nil"/>
            </w:tcBorders>
          </w:tcPr>
          <w:p>
            <w:pPr>
              <w:pStyle w:val="4069"/>
              <w:spacing w:before="5" w:line="190" w:lineRule="exact"/>
              <w:ind w:right="0"/>
              <w:jc w:val="left"/>
              <w:rPr>
                <w:sz w:val="19"/>
                <w:szCs w:val="19"/>
              </w:rPr>
            </w:pPr>
          </w:p>
          <w:p>
            <w:pPr>
              <w:pStyle w:val="4069"/>
              <w:spacing w:line="240" w:lineRule="auto"/>
              <w:ind w:left="12" w:right="0"/>
              <w:jc w:val="center"/>
              <w:rPr>
                <w:rFonts w:ascii="宋体" w:hAnsi="宋体" w:eastAsia="宋体" w:cs="宋体"/>
                <w:sz w:val="21"/>
                <w:szCs w:val="21"/>
              </w:rPr>
            </w:pPr>
            <w:r>
              <w:rPr>
                <w:rFonts w:ascii="宋体" w:hAnsi="宋体" w:eastAsia="宋体" w:cs="宋体"/>
                <w:sz w:val="21"/>
                <w:szCs w:val="21"/>
              </w:rPr>
              <w:t>排放标准</w:t>
            </w:r>
          </w:p>
          <w:p>
            <w:pPr>
              <w:pStyle w:val="4069"/>
              <w:spacing w:before="51" w:line="240" w:lineRule="auto"/>
              <w:ind w:left="9" w:right="0"/>
              <w:jc w:val="center"/>
              <w:rPr>
                <w:rFonts w:ascii="Times New Roman" w:hAnsi="Times New Roman" w:eastAsia="Times New Roman" w:cs="Times New Roman"/>
                <w:sz w:val="13"/>
                <w:szCs w:val="13"/>
              </w:rPr>
            </w:pPr>
            <w:r>
              <w:rPr>
                <w:rFonts w:ascii="Times New Roman"/>
                <w:b/>
                <w:spacing w:val="-1"/>
                <w:sz w:val="21"/>
              </w:rPr>
              <w:t>mg/m</w:t>
            </w:r>
            <w:r>
              <w:rPr>
                <w:rFonts w:ascii="Times New Roman"/>
                <w:b/>
                <w:spacing w:val="-1"/>
                <w:position w:val="7"/>
                <w:sz w:val="13"/>
              </w:rPr>
              <w:t>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00" w:hRule="exact"/>
        </w:trPr>
        <w:tc>
          <w:tcPr>
            <w:tcW w:w="1001" w:type="dxa"/>
            <w:vMerge w:val="continue"/>
            <w:tcBorders>
              <w:tl2br w:val="nil"/>
              <w:tr2bl w:val="nil"/>
            </w:tcBorders>
          </w:tcPr>
          <w:p/>
        </w:tc>
        <w:tc>
          <w:tcPr>
            <w:tcW w:w="976" w:type="dxa"/>
            <w:tcBorders>
              <w:tl2br w:val="nil"/>
              <w:tr2bl w:val="nil"/>
            </w:tcBorders>
          </w:tcPr>
          <w:p>
            <w:pPr>
              <w:pStyle w:val="4069"/>
              <w:spacing w:before="54" w:line="240" w:lineRule="auto"/>
              <w:ind w:left="272" w:right="0"/>
              <w:jc w:val="left"/>
              <w:rPr>
                <w:rFonts w:ascii="宋体" w:hAnsi="宋体" w:eastAsia="宋体" w:cs="宋体"/>
                <w:sz w:val="21"/>
                <w:szCs w:val="21"/>
              </w:rPr>
            </w:pPr>
            <w:r>
              <w:rPr>
                <w:rFonts w:ascii="宋体" w:hAnsi="宋体" w:eastAsia="宋体" w:cs="宋体"/>
                <w:spacing w:val="1"/>
                <w:sz w:val="21"/>
                <w:szCs w:val="21"/>
              </w:rPr>
              <w:t>浓度</w:t>
            </w:r>
          </w:p>
          <w:p>
            <w:pPr>
              <w:pStyle w:val="4069"/>
              <w:spacing w:before="51" w:line="240" w:lineRule="auto"/>
              <w:ind w:left="193" w:right="0"/>
              <w:jc w:val="left"/>
              <w:rPr>
                <w:rFonts w:ascii="Times New Roman" w:hAnsi="Times New Roman" w:eastAsia="Times New Roman" w:cs="Times New Roman"/>
                <w:sz w:val="13"/>
                <w:szCs w:val="13"/>
              </w:rPr>
            </w:pPr>
            <w:r>
              <w:rPr>
                <w:rFonts w:ascii="Times New Roman"/>
                <w:b/>
                <w:spacing w:val="-1"/>
                <w:sz w:val="21"/>
              </w:rPr>
              <w:t>mg/m</w:t>
            </w:r>
            <w:r>
              <w:rPr>
                <w:rFonts w:ascii="Times New Roman"/>
                <w:b/>
                <w:spacing w:val="-1"/>
                <w:position w:val="7"/>
                <w:sz w:val="13"/>
              </w:rPr>
              <w:t>3</w:t>
            </w:r>
          </w:p>
        </w:tc>
        <w:tc>
          <w:tcPr>
            <w:tcW w:w="1007" w:type="dxa"/>
            <w:tcBorders>
              <w:tl2br w:val="nil"/>
              <w:tr2bl w:val="nil"/>
            </w:tcBorders>
          </w:tcPr>
          <w:p>
            <w:pPr>
              <w:pStyle w:val="4069"/>
              <w:spacing w:before="19" w:line="240" w:lineRule="auto"/>
              <w:ind w:left="286" w:right="0"/>
              <w:jc w:val="left"/>
              <w:rPr>
                <w:rFonts w:ascii="宋体" w:hAnsi="宋体" w:eastAsia="宋体" w:cs="宋体"/>
                <w:sz w:val="21"/>
                <w:szCs w:val="21"/>
              </w:rPr>
            </w:pPr>
            <w:r>
              <w:rPr>
                <w:rFonts w:ascii="宋体" w:hAnsi="宋体" w:eastAsia="宋体" w:cs="宋体"/>
                <w:spacing w:val="1"/>
                <w:sz w:val="21"/>
                <w:szCs w:val="21"/>
              </w:rPr>
              <w:t>速率</w:t>
            </w:r>
          </w:p>
          <w:p>
            <w:pPr>
              <w:pStyle w:val="4069"/>
              <w:spacing w:before="86" w:line="240" w:lineRule="auto"/>
              <w:ind w:left="300" w:right="0"/>
              <w:jc w:val="left"/>
              <w:rPr>
                <w:rFonts w:ascii="Times New Roman" w:hAnsi="Times New Roman" w:eastAsia="Times New Roman" w:cs="Times New Roman"/>
                <w:sz w:val="21"/>
                <w:szCs w:val="21"/>
              </w:rPr>
            </w:pPr>
            <w:r>
              <w:rPr>
                <w:rFonts w:ascii="Times New Roman"/>
                <w:b/>
                <w:sz w:val="21"/>
              </w:rPr>
              <w:t>kg/h</w:t>
            </w:r>
          </w:p>
        </w:tc>
        <w:tc>
          <w:tcPr>
            <w:tcW w:w="1265" w:type="dxa"/>
            <w:tcBorders>
              <w:tl2br w:val="nil"/>
              <w:tr2bl w:val="nil"/>
            </w:tcBorders>
          </w:tcPr>
          <w:p>
            <w:pPr>
              <w:pStyle w:val="4069"/>
              <w:spacing w:before="19" w:line="240" w:lineRule="auto"/>
              <w:ind w:left="312" w:right="0"/>
              <w:jc w:val="left"/>
              <w:rPr>
                <w:rFonts w:ascii="宋体" w:hAnsi="宋体" w:eastAsia="宋体" w:cs="宋体"/>
                <w:sz w:val="21"/>
                <w:szCs w:val="21"/>
              </w:rPr>
            </w:pPr>
            <w:r>
              <w:rPr>
                <w:rFonts w:ascii="宋体" w:hAnsi="宋体" w:eastAsia="宋体" w:cs="宋体"/>
                <w:sz w:val="21"/>
                <w:szCs w:val="21"/>
              </w:rPr>
              <w:t>产生量</w:t>
            </w:r>
          </w:p>
          <w:p>
            <w:pPr>
              <w:pStyle w:val="4069"/>
              <w:spacing w:before="40" w:line="240" w:lineRule="auto"/>
              <w:ind w:left="30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b/>
                <w:bCs/>
                <w:sz w:val="21"/>
                <w:szCs w:val="21"/>
              </w:rPr>
              <w:t>t/a</w:t>
            </w:r>
            <w:r>
              <w:rPr>
                <w:rFonts w:ascii="宋体" w:hAnsi="宋体" w:eastAsia="宋体" w:cs="宋体"/>
                <w:sz w:val="21"/>
                <w:szCs w:val="21"/>
              </w:rPr>
              <w:t>）</w:t>
            </w:r>
          </w:p>
        </w:tc>
        <w:tc>
          <w:tcPr>
            <w:tcW w:w="1007" w:type="dxa"/>
            <w:tcBorders>
              <w:tl2br w:val="nil"/>
              <w:tr2bl w:val="nil"/>
            </w:tcBorders>
          </w:tcPr>
          <w:p>
            <w:pPr>
              <w:pStyle w:val="4069"/>
              <w:spacing w:before="54" w:line="240" w:lineRule="auto"/>
              <w:ind w:left="288" w:right="0"/>
              <w:jc w:val="left"/>
              <w:rPr>
                <w:rFonts w:ascii="宋体" w:hAnsi="宋体" w:eastAsia="宋体" w:cs="宋体"/>
                <w:sz w:val="21"/>
                <w:szCs w:val="21"/>
              </w:rPr>
            </w:pPr>
            <w:r>
              <w:rPr>
                <w:rFonts w:ascii="宋体" w:hAnsi="宋体" w:eastAsia="宋体" w:cs="宋体"/>
                <w:spacing w:val="1"/>
                <w:sz w:val="21"/>
                <w:szCs w:val="21"/>
              </w:rPr>
              <w:t>浓度</w:t>
            </w:r>
          </w:p>
          <w:p>
            <w:pPr>
              <w:pStyle w:val="4069"/>
              <w:spacing w:before="51" w:line="240" w:lineRule="auto"/>
              <w:ind w:left="208" w:right="0"/>
              <w:jc w:val="left"/>
              <w:rPr>
                <w:rFonts w:ascii="Times New Roman" w:hAnsi="Times New Roman" w:eastAsia="Times New Roman" w:cs="Times New Roman"/>
                <w:sz w:val="13"/>
                <w:szCs w:val="13"/>
              </w:rPr>
            </w:pPr>
            <w:r>
              <w:rPr>
                <w:rFonts w:ascii="Times New Roman"/>
                <w:b/>
                <w:spacing w:val="-1"/>
                <w:sz w:val="21"/>
              </w:rPr>
              <w:t>mg/m</w:t>
            </w:r>
            <w:r>
              <w:rPr>
                <w:rFonts w:ascii="Times New Roman"/>
                <w:b/>
                <w:spacing w:val="-1"/>
                <w:position w:val="7"/>
                <w:sz w:val="13"/>
              </w:rPr>
              <w:t>3</w:t>
            </w:r>
          </w:p>
        </w:tc>
        <w:tc>
          <w:tcPr>
            <w:tcW w:w="878" w:type="dxa"/>
            <w:tcBorders>
              <w:tl2br w:val="nil"/>
              <w:tr2bl w:val="nil"/>
            </w:tcBorders>
          </w:tcPr>
          <w:p>
            <w:pPr>
              <w:pStyle w:val="4069"/>
              <w:spacing w:before="54" w:line="240" w:lineRule="auto"/>
              <w:ind w:left="224" w:right="0"/>
              <w:jc w:val="left"/>
              <w:rPr>
                <w:rFonts w:ascii="宋体" w:hAnsi="宋体" w:eastAsia="宋体" w:cs="宋体"/>
                <w:sz w:val="21"/>
                <w:szCs w:val="21"/>
              </w:rPr>
            </w:pPr>
            <w:r>
              <w:rPr>
                <w:rFonts w:ascii="宋体" w:hAnsi="宋体" w:eastAsia="宋体" w:cs="宋体"/>
                <w:spacing w:val="1"/>
                <w:sz w:val="21"/>
                <w:szCs w:val="21"/>
              </w:rPr>
              <w:t>速率</w:t>
            </w:r>
          </w:p>
          <w:p>
            <w:pPr>
              <w:pStyle w:val="4069"/>
              <w:spacing w:before="51" w:line="240" w:lineRule="auto"/>
              <w:ind w:left="236" w:right="0"/>
              <w:jc w:val="left"/>
              <w:rPr>
                <w:rFonts w:ascii="Times New Roman" w:hAnsi="Times New Roman" w:eastAsia="Times New Roman" w:cs="Times New Roman"/>
                <w:sz w:val="21"/>
                <w:szCs w:val="21"/>
              </w:rPr>
            </w:pPr>
            <w:r>
              <w:rPr>
                <w:rFonts w:ascii="Times New Roman"/>
                <w:b/>
                <w:spacing w:val="-1"/>
                <w:sz w:val="21"/>
              </w:rPr>
              <w:t>kg/h</w:t>
            </w:r>
          </w:p>
        </w:tc>
        <w:tc>
          <w:tcPr>
            <w:tcW w:w="1307" w:type="dxa"/>
            <w:tcBorders>
              <w:tl2br w:val="nil"/>
              <w:tr2bl w:val="nil"/>
            </w:tcBorders>
          </w:tcPr>
          <w:p>
            <w:pPr>
              <w:pStyle w:val="4069"/>
              <w:spacing w:before="19" w:line="240" w:lineRule="auto"/>
              <w:ind w:right="1"/>
              <w:jc w:val="center"/>
              <w:rPr>
                <w:rFonts w:ascii="宋体" w:hAnsi="宋体" w:eastAsia="宋体" w:cs="宋体"/>
                <w:sz w:val="21"/>
                <w:szCs w:val="21"/>
              </w:rPr>
            </w:pPr>
            <w:r>
              <w:rPr>
                <w:rFonts w:ascii="宋体" w:hAnsi="宋体" w:eastAsia="宋体" w:cs="宋体"/>
                <w:sz w:val="21"/>
                <w:szCs w:val="21"/>
              </w:rPr>
              <w:t>排放量</w:t>
            </w:r>
          </w:p>
          <w:p>
            <w:pPr>
              <w:pStyle w:val="4069"/>
              <w:spacing w:before="86" w:line="240" w:lineRule="auto"/>
              <w:ind w:left="0" w:right="0"/>
              <w:jc w:val="center"/>
              <w:rPr>
                <w:rFonts w:ascii="Times New Roman" w:hAnsi="Times New Roman" w:eastAsia="Times New Roman" w:cs="Times New Roman"/>
                <w:sz w:val="21"/>
                <w:szCs w:val="21"/>
              </w:rPr>
            </w:pPr>
            <w:r>
              <w:rPr>
                <w:rFonts w:ascii="Times New Roman"/>
                <w:b/>
                <w:sz w:val="21"/>
              </w:rPr>
              <w:t>t/a</w:t>
            </w:r>
          </w:p>
        </w:tc>
        <w:tc>
          <w:tcPr>
            <w:tcW w:w="1064"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4" w:hRule="exact"/>
        </w:trPr>
        <w:tc>
          <w:tcPr>
            <w:tcW w:w="1001" w:type="dxa"/>
            <w:tcBorders>
              <w:tl2br w:val="nil"/>
              <w:tr2bl w:val="nil"/>
            </w:tcBorders>
          </w:tcPr>
          <w:p>
            <w:pPr>
              <w:pStyle w:val="4069"/>
              <w:spacing w:line="259" w:lineRule="exact"/>
              <w:ind w:left="170" w:right="0"/>
              <w:jc w:val="left"/>
              <w:rPr>
                <w:rFonts w:ascii="宋体" w:hAnsi="宋体" w:eastAsia="宋体" w:cs="宋体"/>
                <w:sz w:val="21"/>
                <w:szCs w:val="21"/>
              </w:rPr>
            </w:pPr>
            <w:r>
              <w:rPr>
                <w:rFonts w:ascii="宋体" w:hAnsi="宋体" w:eastAsia="宋体" w:cs="宋体"/>
                <w:sz w:val="21"/>
                <w:szCs w:val="21"/>
              </w:rPr>
              <w:t>烟气量</w:t>
            </w:r>
          </w:p>
          <w:p>
            <w:pPr>
              <w:pStyle w:val="4069"/>
              <w:spacing w:before="40" w:line="240" w:lineRule="auto"/>
              <w:ind w:left="93" w:right="0"/>
              <w:jc w:val="left"/>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sz w:val="21"/>
                <w:szCs w:val="21"/>
              </w:rPr>
              <w:t>/h</w:t>
            </w:r>
            <w:r>
              <w:rPr>
                <w:rFonts w:ascii="宋体" w:hAnsi="宋体" w:eastAsia="宋体" w:cs="宋体"/>
                <w:spacing w:val="-1"/>
                <w:sz w:val="21"/>
                <w:szCs w:val="21"/>
              </w:rPr>
              <w:t>）</w:t>
            </w:r>
          </w:p>
        </w:tc>
        <w:tc>
          <w:tcPr>
            <w:tcW w:w="976" w:type="dxa"/>
            <w:tcBorders>
              <w:tl2br w:val="nil"/>
              <w:tr2bl w:val="nil"/>
            </w:tcBorders>
          </w:tcPr>
          <w:p>
            <w:pPr>
              <w:pStyle w:val="4069"/>
              <w:spacing w:before="9" w:line="180" w:lineRule="exact"/>
              <w:ind w:right="0"/>
              <w:jc w:val="left"/>
              <w:rPr>
                <w:sz w:val="18"/>
                <w:szCs w:val="18"/>
              </w:rPr>
            </w:pPr>
          </w:p>
          <w:p>
            <w:pPr>
              <w:pStyle w:val="4069"/>
              <w:spacing w:line="240" w:lineRule="auto"/>
              <w:ind w:left="0" w:right="0"/>
              <w:jc w:val="center"/>
              <w:rPr>
                <w:rFonts w:ascii="Times New Roman" w:hAnsi="Times New Roman" w:eastAsia="Times New Roman" w:cs="Times New Roman"/>
                <w:sz w:val="21"/>
                <w:szCs w:val="21"/>
              </w:rPr>
            </w:pPr>
            <w:r>
              <w:rPr>
                <w:rFonts w:ascii="Times New Roman"/>
                <w:sz w:val="21"/>
              </w:rPr>
              <w:t>--</w:t>
            </w:r>
          </w:p>
        </w:tc>
        <w:tc>
          <w:tcPr>
            <w:tcW w:w="1007" w:type="dxa"/>
            <w:tcBorders>
              <w:tl2br w:val="nil"/>
              <w:tr2bl w:val="nil"/>
            </w:tcBorders>
          </w:tcPr>
          <w:p>
            <w:pPr>
              <w:pStyle w:val="4069"/>
              <w:spacing w:before="9" w:line="180" w:lineRule="exact"/>
              <w:ind w:right="0"/>
              <w:jc w:val="left"/>
              <w:rPr>
                <w:sz w:val="18"/>
                <w:szCs w:val="18"/>
              </w:rPr>
            </w:pPr>
          </w:p>
          <w:p>
            <w:pPr>
              <w:pStyle w:val="4069"/>
              <w:spacing w:line="240" w:lineRule="auto"/>
              <w:ind w:right="0"/>
              <w:jc w:val="center"/>
              <w:rPr>
                <w:rFonts w:ascii="Times New Roman" w:hAnsi="Times New Roman" w:eastAsia="Times New Roman" w:cs="Times New Roman"/>
                <w:sz w:val="21"/>
                <w:szCs w:val="21"/>
              </w:rPr>
            </w:pPr>
            <w:r>
              <w:rPr>
                <w:rFonts w:ascii="Times New Roman"/>
                <w:sz w:val="21"/>
              </w:rPr>
              <w:t>--</w:t>
            </w:r>
          </w:p>
        </w:tc>
        <w:tc>
          <w:tcPr>
            <w:tcW w:w="1265" w:type="dxa"/>
            <w:tcBorders>
              <w:tl2br w:val="nil"/>
              <w:tr2bl w:val="nil"/>
            </w:tcBorders>
          </w:tcPr>
          <w:p>
            <w:pPr>
              <w:pStyle w:val="4069"/>
              <w:spacing w:before="189" w:line="240" w:lineRule="auto"/>
              <w:ind w:left="107" w:right="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8.4×10</w:t>
            </w:r>
            <w:r>
              <w:rPr>
                <w:rFonts w:ascii="Times New Roman" w:hAnsi="Times New Roman" w:eastAsia="Times New Roman" w:cs="Times New Roman"/>
                <w:spacing w:val="-1"/>
                <w:position w:val="7"/>
                <w:sz w:val="13"/>
                <w:szCs w:val="13"/>
              </w:rPr>
              <w:t>5</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sz w:val="21"/>
                <w:szCs w:val="21"/>
              </w:rPr>
              <w:t>/a</w:t>
            </w:r>
          </w:p>
        </w:tc>
        <w:tc>
          <w:tcPr>
            <w:tcW w:w="1007" w:type="dxa"/>
            <w:tcBorders>
              <w:tl2br w:val="nil"/>
              <w:tr2bl w:val="nil"/>
            </w:tcBorders>
          </w:tcPr>
          <w:p>
            <w:pPr>
              <w:pStyle w:val="4069"/>
              <w:spacing w:before="9" w:line="180" w:lineRule="exact"/>
              <w:ind w:right="0"/>
              <w:jc w:val="left"/>
              <w:rPr>
                <w:sz w:val="18"/>
                <w:szCs w:val="18"/>
              </w:rPr>
            </w:pPr>
          </w:p>
          <w:p>
            <w:pPr>
              <w:pStyle w:val="4069"/>
              <w:spacing w:line="240" w:lineRule="auto"/>
              <w:ind w:left="1" w:right="0"/>
              <w:jc w:val="center"/>
              <w:rPr>
                <w:rFonts w:ascii="Times New Roman" w:hAnsi="Times New Roman" w:eastAsia="Times New Roman" w:cs="Times New Roman"/>
                <w:sz w:val="21"/>
                <w:szCs w:val="21"/>
              </w:rPr>
            </w:pPr>
            <w:r>
              <w:rPr>
                <w:rFonts w:ascii="Times New Roman"/>
                <w:sz w:val="21"/>
              </w:rPr>
              <w:t>--</w:t>
            </w:r>
          </w:p>
        </w:tc>
        <w:tc>
          <w:tcPr>
            <w:tcW w:w="878" w:type="dxa"/>
            <w:tcBorders>
              <w:tl2br w:val="nil"/>
              <w:tr2bl w:val="nil"/>
            </w:tcBorders>
          </w:tcPr>
          <w:p>
            <w:pPr>
              <w:pStyle w:val="4069"/>
              <w:spacing w:before="9" w:line="180" w:lineRule="exact"/>
              <w:ind w:right="0"/>
              <w:jc w:val="left"/>
              <w:rPr>
                <w:sz w:val="18"/>
                <w:szCs w:val="18"/>
              </w:rPr>
            </w:pPr>
          </w:p>
          <w:p>
            <w:pPr>
              <w:pStyle w:val="4069"/>
              <w:spacing w:line="240" w:lineRule="auto"/>
              <w:ind w:left="2" w:right="0"/>
              <w:jc w:val="center"/>
              <w:rPr>
                <w:rFonts w:ascii="Times New Roman" w:hAnsi="Times New Roman" w:eastAsia="Times New Roman" w:cs="Times New Roman"/>
                <w:sz w:val="21"/>
                <w:szCs w:val="21"/>
              </w:rPr>
            </w:pPr>
            <w:r>
              <w:rPr>
                <w:rFonts w:ascii="Times New Roman"/>
                <w:sz w:val="21"/>
              </w:rPr>
              <w:t>--</w:t>
            </w:r>
          </w:p>
        </w:tc>
        <w:tc>
          <w:tcPr>
            <w:tcW w:w="1307" w:type="dxa"/>
            <w:tcBorders>
              <w:tl2br w:val="nil"/>
              <w:tr2bl w:val="nil"/>
            </w:tcBorders>
          </w:tcPr>
          <w:p>
            <w:pPr>
              <w:pStyle w:val="4069"/>
              <w:spacing w:before="189" w:line="240" w:lineRule="auto"/>
              <w:ind w:left="127" w:right="0"/>
              <w:jc w:val="left"/>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8.4×10</w:t>
            </w:r>
            <w:r>
              <w:rPr>
                <w:rFonts w:ascii="Times New Roman" w:hAnsi="Times New Roman" w:eastAsia="Times New Roman" w:cs="Times New Roman"/>
                <w:spacing w:val="-1"/>
                <w:position w:val="7"/>
                <w:sz w:val="13"/>
                <w:szCs w:val="13"/>
              </w:rPr>
              <w:t>5</w:t>
            </w:r>
            <w:r>
              <w:rPr>
                <w:rFonts w:ascii="Times New Roman" w:hAnsi="Times New Roman" w:eastAsia="Times New Roman" w:cs="Times New Roman"/>
                <w:spacing w:val="-1"/>
                <w:sz w:val="21"/>
                <w:szCs w:val="2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sz w:val="21"/>
                <w:szCs w:val="21"/>
              </w:rPr>
              <w:t>/a</w:t>
            </w:r>
          </w:p>
        </w:tc>
        <w:tc>
          <w:tcPr>
            <w:tcW w:w="1064" w:type="dxa"/>
            <w:tcBorders>
              <w:tl2br w:val="nil"/>
              <w:tr2bl w:val="nil"/>
            </w:tcBorders>
          </w:tcPr>
          <w:p>
            <w:pPr>
              <w:pStyle w:val="4069"/>
              <w:spacing w:before="9" w:line="180" w:lineRule="exact"/>
              <w:ind w:right="0"/>
              <w:jc w:val="left"/>
              <w:rPr>
                <w:sz w:val="18"/>
                <w:szCs w:val="18"/>
              </w:rPr>
            </w:pPr>
          </w:p>
          <w:p>
            <w:pPr>
              <w:pStyle w:val="4069"/>
              <w:spacing w:line="240" w:lineRule="auto"/>
              <w:ind w:left="8" w:right="0"/>
              <w:jc w:val="center"/>
              <w:rPr>
                <w:rFonts w:ascii="Times New Roman" w:hAnsi="Times New Roman" w:eastAsia="Times New Roman" w:cs="Times New Roman"/>
                <w:sz w:val="21"/>
                <w:szCs w:val="21"/>
              </w:rPr>
            </w:pPr>
            <w:r>
              <w:rPr>
                <w:rFonts w:ascii="Times New Roman"/>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exact"/>
        </w:trPr>
        <w:tc>
          <w:tcPr>
            <w:tcW w:w="1001" w:type="dxa"/>
            <w:tcBorders>
              <w:tl2br w:val="nil"/>
              <w:tr2bl w:val="nil"/>
            </w:tcBorders>
          </w:tcPr>
          <w:p>
            <w:pPr>
              <w:pStyle w:val="4069"/>
              <w:spacing w:line="259" w:lineRule="exact"/>
              <w:ind w:left="274" w:right="0"/>
              <w:jc w:val="left"/>
              <w:rPr>
                <w:rFonts w:ascii="宋体" w:hAnsi="宋体" w:eastAsia="宋体" w:cs="宋体"/>
                <w:sz w:val="21"/>
                <w:szCs w:val="21"/>
              </w:rPr>
            </w:pPr>
            <w:r>
              <w:rPr>
                <w:rFonts w:ascii="宋体" w:hAnsi="宋体" w:eastAsia="宋体" w:cs="宋体"/>
                <w:sz w:val="21"/>
                <w:szCs w:val="21"/>
              </w:rPr>
              <w:t>烟尘</w:t>
            </w:r>
          </w:p>
        </w:tc>
        <w:tc>
          <w:tcPr>
            <w:tcW w:w="976" w:type="dxa"/>
            <w:tcBorders>
              <w:tl2br w:val="nil"/>
              <w:tr2bl w:val="nil"/>
            </w:tcBorders>
          </w:tcPr>
          <w:p>
            <w:pPr>
              <w:pStyle w:val="4069"/>
              <w:spacing w:before="33" w:line="240" w:lineRule="auto"/>
              <w:ind w:left="1" w:right="0"/>
              <w:jc w:val="center"/>
              <w:rPr>
                <w:rFonts w:ascii="Times New Roman" w:hAnsi="Times New Roman" w:eastAsia="Times New Roman" w:cs="Times New Roman"/>
                <w:sz w:val="21"/>
                <w:szCs w:val="21"/>
              </w:rPr>
            </w:pPr>
            <w:r>
              <w:rPr>
                <w:rFonts w:ascii="Times New Roman"/>
                <w:spacing w:val="1"/>
                <w:sz w:val="21"/>
              </w:rPr>
              <w:t>20</w:t>
            </w:r>
          </w:p>
        </w:tc>
        <w:tc>
          <w:tcPr>
            <w:tcW w:w="1007" w:type="dxa"/>
            <w:tcBorders>
              <w:tl2br w:val="nil"/>
              <w:tr2bl w:val="nil"/>
            </w:tcBorders>
          </w:tcPr>
          <w:p>
            <w:pPr>
              <w:pStyle w:val="4069"/>
              <w:spacing w:before="33" w:line="240" w:lineRule="auto"/>
              <w:ind w:left="314" w:right="0"/>
              <w:jc w:val="left"/>
              <w:rPr>
                <w:rFonts w:ascii="Times New Roman" w:hAnsi="Times New Roman" w:eastAsia="Times New Roman" w:cs="Times New Roman"/>
                <w:sz w:val="21"/>
                <w:szCs w:val="21"/>
              </w:rPr>
            </w:pPr>
            <w:r>
              <w:rPr>
                <w:rFonts w:ascii="Times New Roman"/>
                <w:spacing w:val="-1"/>
                <w:sz w:val="21"/>
              </w:rPr>
              <w:t>0.06</w:t>
            </w:r>
          </w:p>
        </w:tc>
        <w:tc>
          <w:tcPr>
            <w:tcW w:w="1265" w:type="dxa"/>
            <w:tcBorders>
              <w:tl2br w:val="nil"/>
              <w:tr2bl w:val="nil"/>
            </w:tcBorders>
          </w:tcPr>
          <w:p>
            <w:pPr>
              <w:pStyle w:val="4069"/>
              <w:spacing w:before="33" w:line="240" w:lineRule="auto"/>
              <w:ind w:right="0"/>
              <w:jc w:val="center"/>
              <w:rPr>
                <w:rFonts w:ascii="Times New Roman" w:hAnsi="Times New Roman" w:eastAsia="Times New Roman" w:cs="Times New Roman"/>
                <w:sz w:val="21"/>
                <w:szCs w:val="21"/>
              </w:rPr>
            </w:pPr>
            <w:r>
              <w:rPr>
                <w:rFonts w:ascii="Times New Roman"/>
                <w:spacing w:val="-1"/>
                <w:sz w:val="21"/>
              </w:rPr>
              <w:t>0.10</w:t>
            </w:r>
          </w:p>
        </w:tc>
        <w:tc>
          <w:tcPr>
            <w:tcW w:w="1007" w:type="dxa"/>
            <w:tcBorders>
              <w:tl2br w:val="nil"/>
              <w:tr2bl w:val="nil"/>
            </w:tcBorders>
          </w:tcPr>
          <w:p>
            <w:pPr>
              <w:pStyle w:val="4069"/>
              <w:spacing w:before="33" w:line="240" w:lineRule="auto"/>
              <w:ind w:left="1" w:right="0"/>
              <w:jc w:val="center"/>
              <w:rPr>
                <w:rFonts w:ascii="Times New Roman" w:hAnsi="Times New Roman" w:eastAsia="Times New Roman" w:cs="Times New Roman"/>
                <w:sz w:val="21"/>
                <w:szCs w:val="21"/>
              </w:rPr>
            </w:pPr>
            <w:r>
              <w:rPr>
                <w:rFonts w:ascii="Times New Roman"/>
                <w:spacing w:val="1"/>
                <w:sz w:val="21"/>
              </w:rPr>
              <w:t>20</w:t>
            </w:r>
          </w:p>
        </w:tc>
        <w:tc>
          <w:tcPr>
            <w:tcW w:w="878" w:type="dxa"/>
            <w:tcBorders>
              <w:tl2br w:val="nil"/>
              <w:tr2bl w:val="nil"/>
            </w:tcBorders>
          </w:tcPr>
          <w:p>
            <w:pPr>
              <w:pStyle w:val="4069"/>
              <w:spacing w:before="33" w:line="240" w:lineRule="auto"/>
              <w:ind w:left="249" w:right="0"/>
              <w:jc w:val="left"/>
              <w:rPr>
                <w:rFonts w:ascii="Times New Roman" w:hAnsi="Times New Roman" w:eastAsia="Times New Roman" w:cs="Times New Roman"/>
                <w:sz w:val="21"/>
                <w:szCs w:val="21"/>
              </w:rPr>
            </w:pPr>
            <w:r>
              <w:rPr>
                <w:rFonts w:ascii="Times New Roman"/>
                <w:sz w:val="21"/>
              </w:rPr>
              <w:t>0.06</w:t>
            </w:r>
          </w:p>
        </w:tc>
        <w:tc>
          <w:tcPr>
            <w:tcW w:w="1307" w:type="dxa"/>
            <w:tcBorders>
              <w:tl2br w:val="nil"/>
              <w:tr2bl w:val="nil"/>
            </w:tcBorders>
          </w:tcPr>
          <w:p>
            <w:pPr>
              <w:pStyle w:val="4069"/>
              <w:spacing w:before="33" w:line="240" w:lineRule="auto"/>
              <w:ind w:right="1"/>
              <w:jc w:val="center"/>
              <w:rPr>
                <w:rFonts w:ascii="Times New Roman" w:hAnsi="Times New Roman" w:eastAsia="Times New Roman" w:cs="Times New Roman"/>
                <w:sz w:val="21"/>
                <w:szCs w:val="21"/>
              </w:rPr>
            </w:pPr>
            <w:r>
              <w:rPr>
                <w:rFonts w:ascii="Times New Roman"/>
                <w:spacing w:val="-1"/>
                <w:sz w:val="21"/>
              </w:rPr>
              <w:t>0.10</w:t>
            </w:r>
          </w:p>
        </w:tc>
        <w:tc>
          <w:tcPr>
            <w:tcW w:w="1064" w:type="dxa"/>
            <w:tcBorders>
              <w:tl2br w:val="nil"/>
              <w:tr2bl w:val="nil"/>
            </w:tcBorders>
          </w:tcPr>
          <w:p>
            <w:pPr>
              <w:pStyle w:val="4069"/>
              <w:spacing w:before="33" w:line="240" w:lineRule="auto"/>
              <w:ind w:left="7" w:right="0"/>
              <w:jc w:val="center"/>
              <w:rPr>
                <w:rFonts w:ascii="Times New Roman" w:hAnsi="Times New Roman" w:eastAsia="Times New Roman" w:cs="Times New Roman"/>
                <w:sz w:val="21"/>
                <w:szCs w:val="21"/>
              </w:rPr>
            </w:pPr>
            <w:r>
              <w:rPr>
                <w:rFonts w:ascii="Times New Roman"/>
                <w:sz w:val="21"/>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28" w:line="240" w:lineRule="auto"/>
              <w:ind w:left="318" w:right="0"/>
              <w:jc w:val="left"/>
              <w:rPr>
                <w:rFonts w:ascii="Times New Roman" w:hAnsi="Times New Roman" w:eastAsia="Times New Roman" w:cs="Times New Roman"/>
                <w:sz w:val="13"/>
                <w:szCs w:val="13"/>
              </w:rPr>
            </w:pPr>
            <w:r>
              <w:rPr>
                <w:rFonts w:ascii="Times New Roman"/>
                <w:spacing w:val="-1"/>
                <w:position w:val="2"/>
                <w:sz w:val="21"/>
              </w:rPr>
              <w:t>SO</w:t>
            </w:r>
            <w:r>
              <w:rPr>
                <w:rFonts w:ascii="Times New Roman"/>
                <w:spacing w:val="-1"/>
                <w:sz w:val="13"/>
              </w:rPr>
              <w:t>2</w:t>
            </w:r>
          </w:p>
        </w:tc>
        <w:tc>
          <w:tcPr>
            <w:tcW w:w="976" w:type="dxa"/>
            <w:tcBorders>
              <w:tl2br w:val="nil"/>
              <w:tr2bl w:val="nil"/>
            </w:tcBorders>
          </w:tcPr>
          <w:p>
            <w:pPr>
              <w:pStyle w:val="4069"/>
              <w:spacing w:before="32" w:line="240" w:lineRule="auto"/>
              <w:ind w:left="298" w:right="0"/>
              <w:jc w:val="left"/>
              <w:rPr>
                <w:rFonts w:ascii="Times New Roman" w:hAnsi="Times New Roman" w:eastAsia="Times New Roman" w:cs="Times New Roman"/>
                <w:sz w:val="21"/>
                <w:szCs w:val="21"/>
              </w:rPr>
            </w:pPr>
            <w:r>
              <w:rPr>
                <w:rFonts w:ascii="Times New Roman"/>
                <w:spacing w:val="-1"/>
                <w:sz w:val="21"/>
              </w:rPr>
              <w:t>29.1</w:t>
            </w:r>
          </w:p>
        </w:tc>
        <w:tc>
          <w:tcPr>
            <w:tcW w:w="1007" w:type="dxa"/>
            <w:tcBorders>
              <w:tl2br w:val="nil"/>
              <w:tr2bl w:val="nil"/>
            </w:tcBorders>
          </w:tcPr>
          <w:p>
            <w:pPr>
              <w:pStyle w:val="4069"/>
              <w:spacing w:before="32" w:line="240" w:lineRule="auto"/>
              <w:ind w:left="209" w:right="0"/>
              <w:jc w:val="left"/>
              <w:rPr>
                <w:rFonts w:ascii="Times New Roman" w:hAnsi="Times New Roman" w:eastAsia="Times New Roman" w:cs="Times New Roman"/>
                <w:sz w:val="21"/>
                <w:szCs w:val="21"/>
              </w:rPr>
            </w:pPr>
            <w:r>
              <w:rPr>
                <w:rFonts w:ascii="Times New Roman"/>
                <w:spacing w:val="-1"/>
                <w:sz w:val="21"/>
              </w:rPr>
              <w:t>0.0156</w:t>
            </w:r>
          </w:p>
        </w:tc>
        <w:tc>
          <w:tcPr>
            <w:tcW w:w="1265" w:type="dxa"/>
            <w:tcBorders>
              <w:tl2br w:val="nil"/>
              <w:tr2bl w:val="nil"/>
            </w:tcBorders>
          </w:tcPr>
          <w:p>
            <w:pPr>
              <w:pStyle w:val="4069"/>
              <w:spacing w:before="32" w:line="240" w:lineRule="auto"/>
              <w:ind w:left="390" w:right="0"/>
              <w:jc w:val="left"/>
              <w:rPr>
                <w:rFonts w:ascii="Times New Roman" w:hAnsi="Times New Roman" w:eastAsia="Times New Roman" w:cs="Times New Roman"/>
                <w:sz w:val="21"/>
                <w:szCs w:val="21"/>
              </w:rPr>
            </w:pPr>
            <w:r>
              <w:rPr>
                <w:rFonts w:ascii="Times New Roman"/>
                <w:spacing w:val="-1"/>
                <w:sz w:val="21"/>
              </w:rPr>
              <w:t>0.014</w:t>
            </w:r>
          </w:p>
        </w:tc>
        <w:tc>
          <w:tcPr>
            <w:tcW w:w="1007" w:type="dxa"/>
            <w:tcBorders>
              <w:tl2br w:val="nil"/>
              <w:tr2bl w:val="nil"/>
            </w:tcBorders>
          </w:tcPr>
          <w:p>
            <w:pPr>
              <w:pStyle w:val="4069"/>
              <w:spacing w:before="32" w:line="240" w:lineRule="auto"/>
              <w:ind w:left="314" w:right="0"/>
              <w:jc w:val="left"/>
              <w:rPr>
                <w:rFonts w:ascii="Times New Roman" w:hAnsi="Times New Roman" w:eastAsia="Times New Roman" w:cs="Times New Roman"/>
                <w:sz w:val="21"/>
                <w:szCs w:val="21"/>
              </w:rPr>
            </w:pPr>
            <w:r>
              <w:rPr>
                <w:rFonts w:ascii="Times New Roman"/>
                <w:sz w:val="21"/>
              </w:rPr>
              <w:t>29.1</w:t>
            </w:r>
          </w:p>
        </w:tc>
        <w:tc>
          <w:tcPr>
            <w:tcW w:w="878" w:type="dxa"/>
            <w:tcBorders>
              <w:tl2br w:val="nil"/>
              <w:tr2bl w:val="nil"/>
            </w:tcBorders>
          </w:tcPr>
          <w:p>
            <w:pPr>
              <w:pStyle w:val="4069"/>
              <w:spacing w:before="32" w:line="240" w:lineRule="auto"/>
              <w:ind w:left="145" w:right="0"/>
              <w:jc w:val="left"/>
              <w:rPr>
                <w:rFonts w:ascii="Times New Roman" w:hAnsi="Times New Roman" w:eastAsia="Times New Roman" w:cs="Times New Roman"/>
                <w:sz w:val="21"/>
                <w:szCs w:val="21"/>
              </w:rPr>
            </w:pPr>
            <w:r>
              <w:rPr>
                <w:rFonts w:ascii="Times New Roman"/>
                <w:spacing w:val="-1"/>
                <w:sz w:val="21"/>
              </w:rPr>
              <w:t>0.0156</w:t>
            </w:r>
          </w:p>
        </w:tc>
        <w:tc>
          <w:tcPr>
            <w:tcW w:w="1307" w:type="dxa"/>
            <w:tcBorders>
              <w:tl2br w:val="nil"/>
              <w:tr2bl w:val="nil"/>
            </w:tcBorders>
          </w:tcPr>
          <w:p>
            <w:pPr>
              <w:pStyle w:val="4069"/>
              <w:spacing w:before="32" w:line="240" w:lineRule="auto"/>
              <w:ind w:left="411" w:right="0"/>
              <w:jc w:val="left"/>
              <w:rPr>
                <w:rFonts w:ascii="Times New Roman" w:hAnsi="Times New Roman" w:eastAsia="Times New Roman" w:cs="Times New Roman"/>
                <w:sz w:val="21"/>
                <w:szCs w:val="21"/>
              </w:rPr>
            </w:pPr>
            <w:r>
              <w:rPr>
                <w:rFonts w:ascii="Times New Roman"/>
                <w:spacing w:val="-1"/>
                <w:sz w:val="21"/>
              </w:rPr>
              <w:t>0.014</w:t>
            </w:r>
          </w:p>
        </w:tc>
        <w:tc>
          <w:tcPr>
            <w:tcW w:w="1064" w:type="dxa"/>
            <w:tcBorders>
              <w:tl2br w:val="nil"/>
              <w:tr2bl w:val="nil"/>
            </w:tcBorders>
          </w:tcPr>
          <w:p>
            <w:pPr>
              <w:pStyle w:val="4069"/>
              <w:spacing w:before="32" w:line="240" w:lineRule="auto"/>
              <w:ind w:left="8" w:right="0"/>
              <w:jc w:val="center"/>
              <w:rPr>
                <w:rFonts w:ascii="Times New Roman" w:hAnsi="Times New Roman" w:eastAsia="Times New Roman" w:cs="Times New Roman"/>
                <w:sz w:val="21"/>
                <w:szCs w:val="21"/>
              </w:rPr>
            </w:pPr>
            <w:r>
              <w:rPr>
                <w:rFonts w:ascii="Times New Roman"/>
                <w:sz w:val="21"/>
              </w:rPr>
              <w:t>50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exact"/>
        </w:trPr>
        <w:tc>
          <w:tcPr>
            <w:tcW w:w="1001" w:type="dxa"/>
            <w:tcBorders>
              <w:tl2br w:val="nil"/>
              <w:tr2bl w:val="nil"/>
            </w:tcBorders>
          </w:tcPr>
          <w:p>
            <w:pPr>
              <w:pStyle w:val="4069"/>
              <w:spacing w:before="30" w:line="240" w:lineRule="auto"/>
              <w:ind w:left="285" w:right="0"/>
              <w:jc w:val="left"/>
              <w:rPr>
                <w:rFonts w:ascii="Times New Roman" w:hAnsi="Times New Roman" w:eastAsia="Times New Roman" w:cs="Times New Roman"/>
                <w:sz w:val="13"/>
                <w:szCs w:val="13"/>
              </w:rPr>
            </w:pPr>
            <w:r>
              <w:rPr>
                <w:rFonts w:ascii="Times New Roman"/>
                <w:spacing w:val="-1"/>
                <w:position w:val="2"/>
                <w:sz w:val="21"/>
              </w:rPr>
              <w:t>NO</w:t>
            </w:r>
            <w:r>
              <w:rPr>
                <w:rFonts w:ascii="Times New Roman"/>
                <w:spacing w:val="-1"/>
                <w:sz w:val="13"/>
              </w:rPr>
              <w:t>X</w:t>
            </w:r>
          </w:p>
        </w:tc>
        <w:tc>
          <w:tcPr>
            <w:tcW w:w="976" w:type="dxa"/>
            <w:tcBorders>
              <w:tl2br w:val="nil"/>
              <w:tr2bl w:val="nil"/>
            </w:tcBorders>
          </w:tcPr>
          <w:p>
            <w:pPr>
              <w:pStyle w:val="4069"/>
              <w:spacing w:before="33" w:line="240" w:lineRule="auto"/>
              <w:ind w:left="245" w:right="0"/>
              <w:jc w:val="left"/>
              <w:rPr>
                <w:rFonts w:ascii="Times New Roman" w:hAnsi="Times New Roman" w:eastAsia="Times New Roman" w:cs="Times New Roman"/>
                <w:sz w:val="21"/>
                <w:szCs w:val="21"/>
              </w:rPr>
            </w:pPr>
            <w:r>
              <w:rPr>
                <w:rFonts w:ascii="Times New Roman"/>
                <w:sz w:val="21"/>
              </w:rPr>
              <w:t>139.8</w:t>
            </w:r>
          </w:p>
        </w:tc>
        <w:tc>
          <w:tcPr>
            <w:tcW w:w="1007" w:type="dxa"/>
            <w:tcBorders>
              <w:tl2br w:val="nil"/>
              <w:tr2bl w:val="nil"/>
            </w:tcBorders>
          </w:tcPr>
          <w:p>
            <w:pPr>
              <w:pStyle w:val="4069"/>
              <w:spacing w:before="33" w:line="240" w:lineRule="auto"/>
              <w:ind w:left="314" w:right="0"/>
              <w:jc w:val="left"/>
              <w:rPr>
                <w:rFonts w:ascii="Times New Roman" w:hAnsi="Times New Roman" w:eastAsia="Times New Roman" w:cs="Times New Roman"/>
                <w:sz w:val="21"/>
                <w:szCs w:val="21"/>
              </w:rPr>
            </w:pPr>
            <w:r>
              <w:rPr>
                <w:rFonts w:ascii="Times New Roman"/>
                <w:spacing w:val="-1"/>
                <w:sz w:val="21"/>
              </w:rPr>
              <w:t>0.14</w:t>
            </w:r>
          </w:p>
        </w:tc>
        <w:tc>
          <w:tcPr>
            <w:tcW w:w="1265" w:type="dxa"/>
            <w:tcBorders>
              <w:tl2br w:val="nil"/>
              <w:tr2bl w:val="nil"/>
            </w:tcBorders>
          </w:tcPr>
          <w:p>
            <w:pPr>
              <w:pStyle w:val="4069"/>
              <w:spacing w:before="33" w:line="240" w:lineRule="auto"/>
              <w:ind w:left="390" w:right="0"/>
              <w:jc w:val="left"/>
              <w:rPr>
                <w:rFonts w:ascii="Times New Roman" w:hAnsi="Times New Roman" w:eastAsia="Times New Roman" w:cs="Times New Roman"/>
                <w:sz w:val="21"/>
                <w:szCs w:val="21"/>
              </w:rPr>
            </w:pPr>
            <w:r>
              <w:rPr>
                <w:rFonts w:ascii="Times New Roman"/>
                <w:spacing w:val="-1"/>
                <w:sz w:val="21"/>
              </w:rPr>
              <w:t>0.146</w:t>
            </w:r>
          </w:p>
        </w:tc>
        <w:tc>
          <w:tcPr>
            <w:tcW w:w="1007" w:type="dxa"/>
            <w:tcBorders>
              <w:tl2br w:val="nil"/>
              <w:tr2bl w:val="nil"/>
            </w:tcBorders>
          </w:tcPr>
          <w:p>
            <w:pPr>
              <w:pStyle w:val="4069"/>
              <w:spacing w:before="33" w:line="240" w:lineRule="auto"/>
              <w:ind w:left="261" w:right="0"/>
              <w:jc w:val="left"/>
              <w:rPr>
                <w:rFonts w:ascii="Times New Roman" w:hAnsi="Times New Roman" w:eastAsia="Times New Roman" w:cs="Times New Roman"/>
                <w:sz w:val="21"/>
                <w:szCs w:val="21"/>
              </w:rPr>
            </w:pPr>
            <w:r>
              <w:rPr>
                <w:rFonts w:ascii="Times New Roman"/>
                <w:sz w:val="21"/>
              </w:rPr>
              <w:t>139.8</w:t>
            </w:r>
          </w:p>
        </w:tc>
        <w:tc>
          <w:tcPr>
            <w:tcW w:w="878" w:type="dxa"/>
            <w:tcBorders>
              <w:tl2br w:val="nil"/>
              <w:tr2bl w:val="nil"/>
            </w:tcBorders>
          </w:tcPr>
          <w:p>
            <w:pPr>
              <w:pStyle w:val="4069"/>
              <w:spacing w:before="33" w:line="240" w:lineRule="auto"/>
              <w:ind w:left="249" w:right="0"/>
              <w:jc w:val="left"/>
              <w:rPr>
                <w:rFonts w:ascii="Times New Roman" w:hAnsi="Times New Roman" w:eastAsia="Times New Roman" w:cs="Times New Roman"/>
                <w:sz w:val="21"/>
                <w:szCs w:val="21"/>
              </w:rPr>
            </w:pPr>
            <w:r>
              <w:rPr>
                <w:rFonts w:ascii="Times New Roman"/>
                <w:sz w:val="21"/>
              </w:rPr>
              <w:t>0.14</w:t>
            </w:r>
          </w:p>
        </w:tc>
        <w:tc>
          <w:tcPr>
            <w:tcW w:w="1307" w:type="dxa"/>
            <w:tcBorders>
              <w:tl2br w:val="nil"/>
              <w:tr2bl w:val="nil"/>
            </w:tcBorders>
          </w:tcPr>
          <w:p>
            <w:pPr>
              <w:pStyle w:val="4069"/>
              <w:spacing w:before="33" w:line="240" w:lineRule="auto"/>
              <w:ind w:left="411" w:right="0"/>
              <w:jc w:val="left"/>
              <w:rPr>
                <w:rFonts w:ascii="Times New Roman" w:hAnsi="Times New Roman" w:eastAsia="Times New Roman" w:cs="Times New Roman"/>
                <w:sz w:val="21"/>
                <w:szCs w:val="21"/>
              </w:rPr>
            </w:pPr>
            <w:r>
              <w:rPr>
                <w:rFonts w:ascii="Times New Roman"/>
                <w:sz w:val="21"/>
              </w:rPr>
              <w:t>0.146</w:t>
            </w:r>
          </w:p>
        </w:tc>
        <w:tc>
          <w:tcPr>
            <w:tcW w:w="1064" w:type="dxa"/>
            <w:tcBorders>
              <w:tl2br w:val="nil"/>
              <w:tr2bl w:val="nil"/>
            </w:tcBorders>
          </w:tcPr>
          <w:p>
            <w:pPr>
              <w:pStyle w:val="4069"/>
              <w:spacing w:before="33" w:line="240" w:lineRule="auto"/>
              <w:ind w:left="6" w:right="0"/>
              <w:jc w:val="center"/>
              <w:rPr>
                <w:rFonts w:ascii="Times New Roman" w:hAnsi="Times New Roman" w:eastAsia="Times New Roman" w:cs="Times New Roman"/>
                <w:sz w:val="21"/>
                <w:szCs w:val="21"/>
              </w:rPr>
            </w:pPr>
            <w:r>
              <w:rPr>
                <w:rFonts w:ascii="Times New Roman"/>
                <w:spacing w:val="-1"/>
                <w:sz w:val="21"/>
              </w:rPr>
              <w:t>200</w:t>
            </w:r>
          </w:p>
        </w:tc>
      </w:tr>
    </w:tbl>
    <w:p>
      <w:pPr>
        <w:pStyle w:val="1659"/>
        <w:rPr>
          <w:rFonts w:hint="eastAsia"/>
          <w:lang w:eastAsia="zh-CN"/>
        </w:rPr>
      </w:pPr>
      <w:r>
        <w:rPr>
          <w:rFonts w:hint="eastAsia"/>
          <w:lang w:eastAsia="zh-CN"/>
        </w:rPr>
        <w:t>（</w:t>
      </w:r>
      <w:r>
        <w:rPr>
          <w:rFonts w:hint="eastAsia"/>
          <w:lang w:val="en-US" w:eastAsia="zh-CN"/>
        </w:rPr>
        <w:t>3</w:t>
      </w:r>
      <w:r>
        <w:rPr>
          <w:rFonts w:hint="eastAsia"/>
          <w:lang w:eastAsia="zh-CN"/>
        </w:rPr>
        <w:t>）食堂油烟废气</w:t>
      </w:r>
    </w:p>
    <w:p>
      <w:pPr>
        <w:pStyle w:val="1659"/>
        <w:rPr>
          <w:rFonts w:hint="eastAsia"/>
          <w:lang w:eastAsia="zh-CN"/>
        </w:rPr>
      </w:pPr>
      <w:r>
        <w:rPr>
          <w:rFonts w:hint="eastAsia"/>
          <w:lang w:eastAsia="zh-CN"/>
        </w:rPr>
        <w:t>项目运营期配套建设员工食堂，用餐人数</w:t>
      </w:r>
      <w:r>
        <w:rPr>
          <w:rFonts w:hint="eastAsia"/>
          <w:lang w:val="en-US" w:eastAsia="zh-CN"/>
        </w:rPr>
        <w:t>87</w:t>
      </w:r>
      <w:r>
        <w:rPr>
          <w:rFonts w:hint="eastAsia"/>
          <w:lang w:eastAsia="zh-CN"/>
        </w:rPr>
        <w:t>人，共设2个灶头，属中型食堂。人均用油按0.03kg/d，油烟挥发量按耗油量2%计算，厨房采用2台3000m</w:t>
      </w:r>
      <w:r>
        <w:rPr>
          <w:rFonts w:hint="eastAsia"/>
          <w:vertAlign w:val="superscript"/>
          <w:lang w:eastAsia="zh-CN"/>
        </w:rPr>
        <w:t>3</w:t>
      </w:r>
      <w:r>
        <w:rPr>
          <w:rFonts w:hint="eastAsia"/>
          <w:lang w:eastAsia="zh-CN"/>
        </w:rPr>
        <w:t>/h排风机，排气量取6000m</w:t>
      </w:r>
      <w:r>
        <w:rPr>
          <w:rFonts w:hint="eastAsia"/>
          <w:vertAlign w:val="superscript"/>
          <w:lang w:eastAsia="zh-CN"/>
        </w:rPr>
        <w:t>3</w:t>
      </w:r>
      <w:r>
        <w:rPr>
          <w:rFonts w:hint="eastAsia"/>
          <w:lang w:eastAsia="zh-CN"/>
        </w:rPr>
        <w:t>/h，做饭时间取6h/d，则油烟的产生量为</w:t>
      </w:r>
      <w:r>
        <w:rPr>
          <w:rFonts w:hint="eastAsia"/>
          <w:lang w:val="en-US" w:eastAsia="zh-CN"/>
        </w:rPr>
        <w:t>18.8</w:t>
      </w:r>
      <w:r>
        <w:rPr>
          <w:rFonts w:hint="eastAsia"/>
          <w:lang w:eastAsia="zh-CN"/>
        </w:rPr>
        <w:t>kg/a，产生浓度为10mg/m</w:t>
      </w:r>
      <w:r>
        <w:rPr>
          <w:rFonts w:hint="eastAsia"/>
          <w:vertAlign w:val="superscript"/>
          <w:lang w:eastAsia="zh-CN"/>
        </w:rPr>
        <w:t>3</w:t>
      </w:r>
      <w:r>
        <w:rPr>
          <w:rFonts w:hint="eastAsia"/>
          <w:lang w:eastAsia="zh-CN"/>
        </w:rPr>
        <w:t>，加装油烟净化装置，油烟净化率大于85%，油烟废气通过高于食堂所在建筑屋顶1m的烟道排放，油烟排放速率为</w:t>
      </w:r>
      <w:r>
        <w:rPr>
          <w:rFonts w:hint="eastAsia"/>
          <w:lang w:val="en-US" w:eastAsia="zh-CN"/>
        </w:rPr>
        <w:t>2.82</w:t>
      </w:r>
      <w:r>
        <w:rPr>
          <w:rFonts w:hint="eastAsia"/>
          <w:lang w:eastAsia="zh-CN"/>
        </w:rPr>
        <w:t>kg/a，排放浓度1.50mg/m</w:t>
      </w:r>
      <w:r>
        <w:rPr>
          <w:rFonts w:hint="eastAsia"/>
          <w:vertAlign w:val="superscript"/>
          <w:lang w:eastAsia="zh-CN"/>
        </w:rPr>
        <w:t>3</w:t>
      </w:r>
      <w:r>
        <w:rPr>
          <w:rFonts w:hint="eastAsia"/>
          <w:lang w:eastAsia="zh-CN"/>
        </w:rPr>
        <w:t>，油烟排放符合《饮食业油烟排放标准》（GB18483-2001）中型标准标准限值（2mg/m</w:t>
      </w:r>
      <w:r>
        <w:rPr>
          <w:rFonts w:hint="eastAsia"/>
          <w:vertAlign w:val="superscript"/>
          <w:lang w:eastAsia="zh-CN"/>
        </w:rPr>
        <w:t>3</w:t>
      </w:r>
      <w:r>
        <w:rPr>
          <w:rFonts w:hint="eastAsia"/>
          <w:lang w:eastAsia="zh-CN"/>
        </w:rPr>
        <w:t>）。</w:t>
      </w:r>
    </w:p>
    <w:p>
      <w:pPr>
        <w:pStyle w:val="6"/>
      </w:pPr>
      <w:bookmarkStart w:id="156" w:name="_Toc248308559"/>
      <w:bookmarkStart w:id="157" w:name="_Toc29911"/>
      <w:r>
        <w:t>噪声污染源分析</w:t>
      </w:r>
      <w:bookmarkEnd w:id="156"/>
      <w:bookmarkEnd w:id="157"/>
    </w:p>
    <w:p>
      <w:pPr>
        <w:spacing w:line="500" w:lineRule="exact"/>
        <w:ind w:firstLine="480" w:firstLineChars="200"/>
        <w:rPr>
          <w:sz w:val="24"/>
        </w:rPr>
      </w:pPr>
      <w:r>
        <w:rPr>
          <w:sz w:val="24"/>
        </w:rPr>
        <w:t>屠宰场噪声主要噪声源包括待宰区牲畜叫声及屠宰加工生产线设备噪声，详见表</w:t>
      </w:r>
      <w:r>
        <w:rPr>
          <w:rFonts w:hint="eastAsia"/>
          <w:sz w:val="24"/>
          <w:lang w:val="en-US" w:eastAsia="zh-CN"/>
        </w:rPr>
        <w:t>3.3-14</w:t>
      </w:r>
      <w:r>
        <w:rPr>
          <w:sz w:val="24"/>
        </w:rPr>
        <w:t>。</w:t>
      </w:r>
    </w:p>
    <w:p>
      <w:pPr>
        <w:tabs>
          <w:tab w:val="left" w:pos="1020"/>
        </w:tabs>
        <w:adjustRightInd w:val="0"/>
        <w:spacing w:before="120" w:line="480" w:lineRule="exact"/>
        <w:jc w:val="center"/>
        <w:textAlignment w:val="baseline"/>
        <w:rPr>
          <w:b/>
          <w:kern w:val="0"/>
          <w:sz w:val="24"/>
        </w:rPr>
      </w:pPr>
      <w:r>
        <w:rPr>
          <w:b/>
          <w:kern w:val="0"/>
          <w:sz w:val="24"/>
        </w:rPr>
        <w:t>表3.</w:t>
      </w:r>
      <w:r>
        <w:rPr>
          <w:rFonts w:hint="eastAsia"/>
          <w:b/>
          <w:kern w:val="0"/>
          <w:sz w:val="24"/>
          <w:lang w:val="en-US" w:eastAsia="zh-CN"/>
        </w:rPr>
        <w:t>3-14</w:t>
      </w:r>
      <w:r>
        <w:rPr>
          <w:b/>
          <w:kern w:val="0"/>
          <w:sz w:val="24"/>
        </w:rPr>
        <w:t xml:space="preserve"> 主要高噪声设备源强及治理措施一览表</w:t>
      </w:r>
    </w:p>
    <w:tbl>
      <w:tblPr>
        <w:tblStyle w:val="88"/>
        <w:tblW w:w="0" w:type="auto"/>
        <w:tblInd w:w="2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1"/>
        <w:gridCol w:w="2423"/>
        <w:gridCol w:w="2324"/>
        <w:gridCol w:w="27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exact"/>
        </w:trPr>
        <w:tc>
          <w:tcPr>
            <w:tcW w:w="1001" w:type="dxa"/>
            <w:tcBorders>
              <w:tl2br w:val="nil"/>
              <w:tr2bl w:val="nil"/>
            </w:tcBorders>
          </w:tcPr>
          <w:p>
            <w:pPr>
              <w:pStyle w:val="4069"/>
              <w:spacing w:line="291" w:lineRule="exact"/>
              <w:ind w:left="244" w:right="0"/>
              <w:jc w:val="left"/>
              <w:rPr>
                <w:rFonts w:ascii="宋体" w:hAnsi="宋体" w:eastAsia="宋体" w:cs="宋体"/>
                <w:sz w:val="24"/>
                <w:szCs w:val="24"/>
              </w:rPr>
            </w:pPr>
            <w:r>
              <w:rPr>
                <w:rFonts w:ascii="宋体" w:hAnsi="宋体" w:eastAsia="宋体" w:cs="宋体"/>
                <w:spacing w:val="1"/>
                <w:sz w:val="24"/>
                <w:szCs w:val="24"/>
              </w:rPr>
              <w:t>序号</w:t>
            </w:r>
          </w:p>
        </w:tc>
        <w:tc>
          <w:tcPr>
            <w:tcW w:w="2423" w:type="dxa"/>
            <w:tcBorders>
              <w:tl2br w:val="nil"/>
              <w:tr2bl w:val="nil"/>
            </w:tcBorders>
          </w:tcPr>
          <w:p>
            <w:pPr>
              <w:pStyle w:val="4069"/>
              <w:spacing w:line="291" w:lineRule="exact"/>
              <w:ind w:left="725" w:right="0"/>
              <w:jc w:val="left"/>
              <w:rPr>
                <w:rFonts w:ascii="宋体" w:hAnsi="宋体" w:eastAsia="宋体" w:cs="宋体"/>
                <w:sz w:val="24"/>
                <w:szCs w:val="24"/>
              </w:rPr>
            </w:pPr>
            <w:r>
              <w:rPr>
                <w:rFonts w:ascii="宋体" w:hAnsi="宋体" w:eastAsia="宋体" w:cs="宋体"/>
                <w:spacing w:val="1"/>
                <w:sz w:val="24"/>
                <w:szCs w:val="24"/>
              </w:rPr>
              <w:t>生源位置</w:t>
            </w:r>
          </w:p>
        </w:tc>
        <w:tc>
          <w:tcPr>
            <w:tcW w:w="2324" w:type="dxa"/>
            <w:tcBorders>
              <w:tl2br w:val="nil"/>
              <w:tr2bl w:val="nil"/>
            </w:tcBorders>
          </w:tcPr>
          <w:p>
            <w:pPr>
              <w:pStyle w:val="4069"/>
              <w:spacing w:line="291" w:lineRule="exact"/>
              <w:ind w:right="0"/>
              <w:jc w:val="center"/>
              <w:rPr>
                <w:rFonts w:ascii="宋体" w:hAnsi="宋体" w:eastAsia="宋体" w:cs="宋体"/>
                <w:sz w:val="24"/>
                <w:szCs w:val="24"/>
              </w:rPr>
            </w:pPr>
            <w:r>
              <w:rPr>
                <w:rFonts w:ascii="宋体" w:hAnsi="宋体" w:eastAsia="宋体" w:cs="宋体"/>
                <w:sz w:val="24"/>
                <w:szCs w:val="24"/>
              </w:rPr>
              <w:t>噪声源</w:t>
            </w:r>
          </w:p>
        </w:tc>
        <w:tc>
          <w:tcPr>
            <w:tcW w:w="2756" w:type="dxa"/>
            <w:tcBorders>
              <w:tl2br w:val="nil"/>
              <w:tr2bl w:val="nil"/>
            </w:tcBorders>
          </w:tcPr>
          <w:p>
            <w:pPr>
              <w:pStyle w:val="4069"/>
              <w:spacing w:line="291" w:lineRule="exact"/>
              <w:ind w:left="11" w:right="0"/>
              <w:jc w:val="center"/>
              <w:rPr>
                <w:rFonts w:ascii="宋体" w:hAnsi="宋体" w:eastAsia="宋体" w:cs="宋体"/>
                <w:sz w:val="24"/>
                <w:szCs w:val="24"/>
              </w:rPr>
            </w:pPr>
            <w:r>
              <w:rPr>
                <w:rFonts w:ascii="宋体" w:hAnsi="宋体" w:eastAsia="宋体" w:cs="宋体"/>
                <w:spacing w:val="1"/>
                <w:sz w:val="24"/>
                <w:szCs w:val="24"/>
              </w:rPr>
              <w:t>源强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1</w:t>
            </w:r>
          </w:p>
        </w:tc>
        <w:tc>
          <w:tcPr>
            <w:tcW w:w="2423" w:type="dxa"/>
            <w:tcBorders>
              <w:tl2br w:val="nil"/>
              <w:tr2bl w:val="nil"/>
            </w:tcBorders>
          </w:tcPr>
          <w:p>
            <w:pPr>
              <w:pStyle w:val="4069"/>
              <w:spacing w:line="275" w:lineRule="exact"/>
              <w:ind w:left="826" w:right="827"/>
              <w:jc w:val="center"/>
              <w:rPr>
                <w:rFonts w:ascii="宋体" w:hAnsi="宋体" w:eastAsia="宋体" w:cs="宋体"/>
                <w:sz w:val="24"/>
                <w:szCs w:val="24"/>
              </w:rPr>
            </w:pPr>
            <w:r>
              <w:rPr>
                <w:rFonts w:ascii="宋体" w:hAnsi="宋体" w:eastAsia="宋体" w:cs="宋体"/>
                <w:sz w:val="24"/>
                <w:szCs w:val="24"/>
              </w:rPr>
              <w:t>制冷站</w:t>
            </w:r>
          </w:p>
        </w:tc>
        <w:tc>
          <w:tcPr>
            <w:tcW w:w="2324" w:type="dxa"/>
            <w:tcBorders>
              <w:tl2br w:val="nil"/>
              <w:tr2bl w:val="nil"/>
            </w:tcBorders>
          </w:tcPr>
          <w:p>
            <w:pPr>
              <w:pStyle w:val="4069"/>
              <w:spacing w:line="275" w:lineRule="exact"/>
              <w:ind w:left="776" w:right="779"/>
              <w:jc w:val="center"/>
              <w:rPr>
                <w:rFonts w:ascii="宋体" w:hAnsi="宋体" w:eastAsia="宋体" w:cs="宋体"/>
                <w:sz w:val="24"/>
                <w:szCs w:val="24"/>
              </w:rPr>
            </w:pPr>
            <w:r>
              <w:rPr>
                <w:rFonts w:ascii="宋体" w:hAnsi="宋体" w:eastAsia="宋体" w:cs="宋体"/>
                <w:sz w:val="24"/>
                <w:szCs w:val="24"/>
              </w:rPr>
              <w:t>冷冻机</w:t>
            </w:r>
          </w:p>
        </w:tc>
        <w:tc>
          <w:tcPr>
            <w:tcW w:w="2756" w:type="dxa"/>
            <w:tcBorders>
              <w:tl2br w:val="nil"/>
              <w:tr2bl w:val="nil"/>
            </w:tcBorders>
          </w:tcPr>
          <w:p>
            <w:pPr>
              <w:pStyle w:val="4069"/>
              <w:spacing w:before="16" w:line="240" w:lineRule="auto"/>
              <w:ind w:left="1051" w:right="1042"/>
              <w:jc w:val="center"/>
              <w:rPr>
                <w:rFonts w:ascii="Times New Roman" w:hAnsi="Times New Roman" w:eastAsia="Times New Roman" w:cs="Times New Roman"/>
                <w:sz w:val="24"/>
                <w:szCs w:val="24"/>
              </w:rPr>
            </w:pPr>
            <w:r>
              <w:rPr>
                <w:rFonts w:ascii="Times New Roman"/>
                <w:spacing w:val="-1"/>
                <w:sz w:val="24"/>
              </w:rPr>
              <w:t>80~85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2</w:t>
            </w:r>
          </w:p>
        </w:tc>
        <w:tc>
          <w:tcPr>
            <w:tcW w:w="2423" w:type="dxa"/>
            <w:vMerge w:val="restart"/>
            <w:tcBorders>
              <w:tl2br w:val="nil"/>
              <w:tr2bl w:val="nil"/>
            </w:tcBorders>
          </w:tcPr>
          <w:p>
            <w:pPr>
              <w:pStyle w:val="4069"/>
              <w:spacing w:before="124" w:line="240" w:lineRule="auto"/>
              <w:ind w:left="826" w:right="827"/>
              <w:jc w:val="center"/>
              <w:rPr>
                <w:rFonts w:ascii="宋体" w:hAnsi="宋体" w:eastAsia="宋体" w:cs="宋体"/>
                <w:sz w:val="24"/>
                <w:szCs w:val="24"/>
              </w:rPr>
            </w:pPr>
            <w:r>
              <w:rPr>
                <w:rFonts w:ascii="宋体" w:hAnsi="宋体" w:eastAsia="宋体" w:cs="宋体"/>
                <w:sz w:val="24"/>
                <w:szCs w:val="24"/>
              </w:rPr>
              <w:t>污水站</w:t>
            </w:r>
          </w:p>
        </w:tc>
        <w:tc>
          <w:tcPr>
            <w:tcW w:w="2324" w:type="dxa"/>
            <w:tcBorders>
              <w:tl2br w:val="nil"/>
              <w:tr2bl w:val="nil"/>
            </w:tcBorders>
          </w:tcPr>
          <w:p>
            <w:pPr>
              <w:pStyle w:val="4069"/>
              <w:spacing w:line="275" w:lineRule="exact"/>
              <w:ind w:left="776" w:right="779"/>
              <w:jc w:val="center"/>
              <w:rPr>
                <w:rFonts w:ascii="宋体" w:hAnsi="宋体" w:eastAsia="宋体" w:cs="宋体"/>
                <w:sz w:val="24"/>
                <w:szCs w:val="24"/>
              </w:rPr>
            </w:pPr>
            <w:r>
              <w:rPr>
                <w:rFonts w:ascii="宋体" w:hAnsi="宋体" w:eastAsia="宋体" w:cs="宋体"/>
                <w:sz w:val="24"/>
                <w:szCs w:val="24"/>
              </w:rPr>
              <w:t>鼓风机</w:t>
            </w:r>
          </w:p>
        </w:tc>
        <w:tc>
          <w:tcPr>
            <w:tcW w:w="2756" w:type="dxa"/>
            <w:tcBorders>
              <w:tl2br w:val="nil"/>
              <w:tr2bl w:val="nil"/>
            </w:tcBorders>
          </w:tcPr>
          <w:p>
            <w:pPr>
              <w:pStyle w:val="4069"/>
              <w:spacing w:before="16" w:line="240" w:lineRule="auto"/>
              <w:ind w:left="8" w:right="0"/>
              <w:jc w:val="center"/>
              <w:rPr>
                <w:rFonts w:ascii="Times New Roman" w:hAnsi="Times New Roman" w:eastAsia="Times New Roman" w:cs="Times New Roman"/>
                <w:sz w:val="24"/>
                <w:szCs w:val="24"/>
              </w:rPr>
            </w:pPr>
            <w:r>
              <w:rPr>
                <w:rFonts w:ascii="Times New Roman"/>
                <w:spacing w:val="-1"/>
                <w:sz w:val="24"/>
              </w:rPr>
              <w:t>90~100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4" w:line="240" w:lineRule="auto"/>
              <w:ind w:left="304" w:right="315"/>
              <w:jc w:val="center"/>
              <w:rPr>
                <w:rFonts w:ascii="Times New Roman" w:hAnsi="Times New Roman" w:eastAsia="Times New Roman" w:cs="Times New Roman"/>
                <w:sz w:val="24"/>
                <w:szCs w:val="24"/>
              </w:rPr>
            </w:pPr>
            <w:r>
              <w:rPr>
                <w:rFonts w:ascii="Times New Roman"/>
                <w:sz w:val="24"/>
              </w:rPr>
              <w:t>3</w:t>
            </w:r>
          </w:p>
        </w:tc>
        <w:tc>
          <w:tcPr>
            <w:tcW w:w="2423" w:type="dxa"/>
            <w:vMerge w:val="continue"/>
            <w:tcBorders>
              <w:tl2br w:val="nil"/>
              <w:tr2bl w:val="nil"/>
            </w:tcBorders>
          </w:tcPr>
          <w:p/>
        </w:tc>
        <w:tc>
          <w:tcPr>
            <w:tcW w:w="2324" w:type="dxa"/>
            <w:tcBorders>
              <w:tl2br w:val="nil"/>
              <w:tr2bl w:val="nil"/>
            </w:tcBorders>
          </w:tcPr>
          <w:p>
            <w:pPr>
              <w:pStyle w:val="4069"/>
              <w:spacing w:line="274" w:lineRule="exact"/>
              <w:ind w:left="776" w:right="779"/>
              <w:jc w:val="center"/>
              <w:rPr>
                <w:rFonts w:ascii="宋体" w:hAnsi="宋体" w:eastAsia="宋体" w:cs="宋体"/>
                <w:sz w:val="24"/>
                <w:szCs w:val="24"/>
              </w:rPr>
            </w:pPr>
            <w:r>
              <w:rPr>
                <w:rFonts w:ascii="宋体" w:hAnsi="宋体" w:eastAsia="宋体" w:cs="宋体"/>
                <w:sz w:val="24"/>
                <w:szCs w:val="24"/>
              </w:rPr>
              <w:t>水泵</w:t>
            </w:r>
          </w:p>
        </w:tc>
        <w:tc>
          <w:tcPr>
            <w:tcW w:w="2756" w:type="dxa"/>
            <w:tcBorders>
              <w:tl2br w:val="nil"/>
              <w:tr2bl w:val="nil"/>
            </w:tcBorders>
          </w:tcPr>
          <w:p>
            <w:pPr>
              <w:pStyle w:val="4069"/>
              <w:spacing w:before="14" w:line="240" w:lineRule="auto"/>
              <w:ind w:left="1051" w:right="1042"/>
              <w:jc w:val="center"/>
              <w:rPr>
                <w:rFonts w:ascii="Times New Roman" w:hAnsi="Times New Roman" w:eastAsia="Times New Roman" w:cs="Times New Roman"/>
                <w:sz w:val="24"/>
                <w:szCs w:val="24"/>
              </w:rPr>
            </w:pPr>
            <w:r>
              <w:rPr>
                <w:rFonts w:ascii="Times New Roman"/>
                <w:spacing w:val="-1"/>
                <w:sz w:val="24"/>
              </w:rPr>
              <w:t>70~80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exact"/>
        </w:trPr>
        <w:tc>
          <w:tcPr>
            <w:tcW w:w="1001" w:type="dxa"/>
            <w:tcBorders>
              <w:tl2br w:val="nil"/>
              <w:tr2bl w:val="nil"/>
            </w:tcBorders>
          </w:tcPr>
          <w:p>
            <w:pPr>
              <w:pStyle w:val="4069"/>
              <w:spacing w:before="14" w:line="240" w:lineRule="auto"/>
              <w:ind w:left="304" w:right="315"/>
              <w:jc w:val="center"/>
              <w:rPr>
                <w:rFonts w:ascii="Times New Roman" w:hAnsi="Times New Roman" w:eastAsia="Times New Roman" w:cs="Times New Roman"/>
                <w:sz w:val="24"/>
                <w:szCs w:val="24"/>
              </w:rPr>
            </w:pPr>
            <w:r>
              <w:rPr>
                <w:rFonts w:ascii="Times New Roman"/>
                <w:sz w:val="24"/>
              </w:rPr>
              <w:t>4</w:t>
            </w:r>
          </w:p>
        </w:tc>
        <w:tc>
          <w:tcPr>
            <w:tcW w:w="2423" w:type="dxa"/>
            <w:tcBorders>
              <w:tl2br w:val="nil"/>
              <w:tr2bl w:val="nil"/>
            </w:tcBorders>
          </w:tcPr>
          <w:p>
            <w:pPr>
              <w:pStyle w:val="4069"/>
              <w:spacing w:line="274" w:lineRule="exact"/>
              <w:ind w:left="726" w:right="0"/>
              <w:jc w:val="left"/>
              <w:rPr>
                <w:rFonts w:ascii="宋体" w:hAnsi="宋体" w:eastAsia="宋体" w:cs="宋体"/>
                <w:sz w:val="24"/>
                <w:szCs w:val="24"/>
              </w:rPr>
            </w:pPr>
            <w:r>
              <w:rPr>
                <w:rFonts w:ascii="宋体" w:hAnsi="宋体" w:eastAsia="宋体" w:cs="宋体"/>
                <w:sz w:val="24"/>
                <w:szCs w:val="24"/>
              </w:rPr>
              <w:t>生产车间</w:t>
            </w:r>
          </w:p>
        </w:tc>
        <w:tc>
          <w:tcPr>
            <w:tcW w:w="2324" w:type="dxa"/>
            <w:tcBorders>
              <w:tl2br w:val="nil"/>
              <w:tr2bl w:val="nil"/>
            </w:tcBorders>
          </w:tcPr>
          <w:p>
            <w:pPr>
              <w:pStyle w:val="4069"/>
              <w:spacing w:line="274" w:lineRule="exact"/>
              <w:ind w:left="675" w:right="0"/>
              <w:jc w:val="left"/>
              <w:rPr>
                <w:rFonts w:ascii="宋体" w:hAnsi="宋体" w:eastAsia="宋体" w:cs="宋体"/>
                <w:sz w:val="24"/>
                <w:szCs w:val="24"/>
              </w:rPr>
            </w:pPr>
            <w:r>
              <w:rPr>
                <w:rFonts w:ascii="宋体" w:hAnsi="宋体" w:eastAsia="宋体" w:cs="宋体"/>
                <w:sz w:val="24"/>
                <w:szCs w:val="24"/>
              </w:rPr>
              <w:t>生产设备</w:t>
            </w:r>
          </w:p>
        </w:tc>
        <w:tc>
          <w:tcPr>
            <w:tcW w:w="2756" w:type="dxa"/>
            <w:tcBorders>
              <w:tl2br w:val="nil"/>
              <w:tr2bl w:val="nil"/>
            </w:tcBorders>
          </w:tcPr>
          <w:p>
            <w:pPr>
              <w:pStyle w:val="4069"/>
              <w:spacing w:before="14" w:line="240" w:lineRule="auto"/>
              <w:ind w:left="1051" w:right="1042"/>
              <w:jc w:val="center"/>
              <w:rPr>
                <w:rFonts w:ascii="Times New Roman" w:hAnsi="Times New Roman" w:eastAsia="Times New Roman" w:cs="Times New Roman"/>
                <w:sz w:val="24"/>
                <w:szCs w:val="24"/>
              </w:rPr>
            </w:pPr>
            <w:r>
              <w:rPr>
                <w:rFonts w:ascii="Times New Roman"/>
                <w:spacing w:val="-1"/>
                <w:sz w:val="24"/>
              </w:rPr>
              <w:t>70~75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5</w:t>
            </w:r>
          </w:p>
        </w:tc>
        <w:tc>
          <w:tcPr>
            <w:tcW w:w="2423" w:type="dxa"/>
            <w:tcBorders>
              <w:tl2br w:val="nil"/>
              <w:tr2bl w:val="nil"/>
            </w:tcBorders>
          </w:tcPr>
          <w:p>
            <w:pPr>
              <w:pStyle w:val="4069"/>
              <w:spacing w:line="275" w:lineRule="exact"/>
              <w:ind w:left="606" w:right="0"/>
              <w:jc w:val="left"/>
              <w:rPr>
                <w:rFonts w:ascii="宋体" w:hAnsi="宋体" w:eastAsia="宋体" w:cs="宋体"/>
                <w:sz w:val="24"/>
                <w:szCs w:val="24"/>
              </w:rPr>
            </w:pPr>
            <w:r>
              <w:rPr>
                <w:rFonts w:ascii="宋体" w:hAnsi="宋体" w:eastAsia="宋体" w:cs="宋体"/>
                <w:sz w:val="24"/>
                <w:szCs w:val="24"/>
              </w:rPr>
              <w:t>循环水系统</w:t>
            </w:r>
          </w:p>
        </w:tc>
        <w:tc>
          <w:tcPr>
            <w:tcW w:w="2324" w:type="dxa"/>
            <w:tcBorders>
              <w:tl2br w:val="nil"/>
              <w:tr2bl w:val="nil"/>
            </w:tcBorders>
          </w:tcPr>
          <w:p>
            <w:pPr>
              <w:pStyle w:val="4069"/>
              <w:spacing w:line="275" w:lineRule="exact"/>
              <w:ind w:left="675" w:right="0"/>
              <w:jc w:val="left"/>
              <w:rPr>
                <w:rFonts w:ascii="宋体" w:hAnsi="宋体" w:eastAsia="宋体" w:cs="宋体"/>
                <w:sz w:val="24"/>
                <w:szCs w:val="24"/>
              </w:rPr>
            </w:pPr>
            <w:r>
              <w:rPr>
                <w:rFonts w:ascii="宋体" w:hAnsi="宋体" w:eastAsia="宋体" w:cs="宋体"/>
                <w:sz w:val="24"/>
                <w:szCs w:val="24"/>
              </w:rPr>
              <w:t>循环水泵</w:t>
            </w:r>
          </w:p>
        </w:tc>
        <w:tc>
          <w:tcPr>
            <w:tcW w:w="2756" w:type="dxa"/>
            <w:tcBorders>
              <w:tl2br w:val="nil"/>
              <w:tr2bl w:val="nil"/>
            </w:tcBorders>
          </w:tcPr>
          <w:p>
            <w:pPr>
              <w:pStyle w:val="4069"/>
              <w:spacing w:before="16" w:line="240" w:lineRule="auto"/>
              <w:ind w:left="1051" w:right="1042"/>
              <w:jc w:val="center"/>
              <w:rPr>
                <w:rFonts w:ascii="Times New Roman" w:hAnsi="Times New Roman" w:eastAsia="Times New Roman" w:cs="Times New Roman"/>
                <w:sz w:val="24"/>
                <w:szCs w:val="24"/>
              </w:rPr>
            </w:pPr>
            <w:r>
              <w:rPr>
                <w:rFonts w:ascii="Times New Roman"/>
                <w:spacing w:val="-1"/>
                <w:sz w:val="24"/>
              </w:rPr>
              <w:t>70~75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6</w:t>
            </w:r>
          </w:p>
        </w:tc>
        <w:tc>
          <w:tcPr>
            <w:tcW w:w="2423" w:type="dxa"/>
            <w:tcBorders>
              <w:tl2br w:val="nil"/>
              <w:tr2bl w:val="nil"/>
            </w:tcBorders>
          </w:tcPr>
          <w:p>
            <w:pPr>
              <w:pStyle w:val="4069"/>
              <w:spacing w:line="274" w:lineRule="exact"/>
              <w:ind w:left="606" w:right="0"/>
              <w:jc w:val="left"/>
              <w:rPr>
                <w:rFonts w:ascii="宋体" w:hAnsi="宋体" w:eastAsia="宋体" w:cs="宋体"/>
                <w:sz w:val="24"/>
                <w:szCs w:val="24"/>
              </w:rPr>
            </w:pPr>
            <w:r>
              <w:rPr>
                <w:rFonts w:ascii="宋体" w:hAnsi="宋体" w:eastAsia="宋体" w:cs="宋体"/>
                <w:sz w:val="24"/>
                <w:szCs w:val="24"/>
              </w:rPr>
              <w:t>待宰、宰杀</w:t>
            </w:r>
          </w:p>
        </w:tc>
        <w:tc>
          <w:tcPr>
            <w:tcW w:w="2324" w:type="dxa"/>
            <w:tcBorders>
              <w:tl2br w:val="nil"/>
              <w:tr2bl w:val="nil"/>
            </w:tcBorders>
          </w:tcPr>
          <w:p>
            <w:pPr>
              <w:pStyle w:val="4069"/>
              <w:spacing w:line="274" w:lineRule="exact"/>
              <w:ind w:left="675" w:right="0"/>
              <w:jc w:val="left"/>
              <w:rPr>
                <w:rFonts w:ascii="宋体" w:hAnsi="宋体" w:eastAsia="宋体" w:cs="宋体"/>
                <w:sz w:val="24"/>
                <w:szCs w:val="24"/>
              </w:rPr>
            </w:pPr>
            <w:r>
              <w:rPr>
                <w:rFonts w:ascii="宋体" w:hAnsi="宋体" w:eastAsia="宋体" w:cs="宋体"/>
                <w:sz w:val="24"/>
                <w:szCs w:val="24"/>
              </w:rPr>
              <w:t>牛叫声</w:t>
            </w:r>
          </w:p>
        </w:tc>
        <w:tc>
          <w:tcPr>
            <w:tcW w:w="2756" w:type="dxa"/>
            <w:tcBorders>
              <w:tl2br w:val="nil"/>
              <w:tr2bl w:val="nil"/>
            </w:tcBorders>
          </w:tcPr>
          <w:p>
            <w:pPr>
              <w:pStyle w:val="4069"/>
              <w:spacing w:before="16" w:line="240" w:lineRule="auto"/>
              <w:ind w:left="1051" w:right="1042"/>
              <w:jc w:val="center"/>
              <w:rPr>
                <w:rFonts w:ascii="Times New Roman" w:hAnsi="Times New Roman" w:eastAsia="Times New Roman" w:cs="Times New Roman"/>
                <w:sz w:val="24"/>
                <w:szCs w:val="24"/>
              </w:rPr>
            </w:pPr>
            <w:r>
              <w:rPr>
                <w:rFonts w:ascii="Times New Roman"/>
                <w:sz w:val="24"/>
              </w:rPr>
              <w:t>85</w:t>
            </w:r>
          </w:p>
        </w:tc>
      </w:tr>
    </w:tbl>
    <w:p>
      <w:pPr>
        <w:pStyle w:val="6"/>
      </w:pPr>
      <w:bookmarkStart w:id="158" w:name="_Toc248308560"/>
      <w:bookmarkStart w:id="159" w:name="_Toc27784"/>
      <w:r>
        <w:t>固废污染源分析</w:t>
      </w:r>
      <w:bookmarkEnd w:id="158"/>
      <w:bookmarkEnd w:id="159"/>
    </w:p>
    <w:p>
      <w:pPr>
        <w:pStyle w:val="1659"/>
      </w:pPr>
      <w:r>
        <w:t>项目建成后的固体废弃物污染源主要为工业固体废弃物和职工生活垃圾。</w:t>
      </w:r>
    </w:p>
    <w:p>
      <w:pPr>
        <w:pStyle w:val="1659"/>
      </w:pPr>
      <w:r>
        <w:t>（1）工业固体废物</w:t>
      </w:r>
    </w:p>
    <w:p>
      <w:pPr>
        <w:pStyle w:val="1659"/>
      </w:pPr>
      <w:r>
        <w:t>①病、死牲畜及病牲畜产品 公司应严格执行查证验物制度，凡屠宰牲畜必须持有有效的检疫证明才能入</w:t>
      </w:r>
    </w:p>
    <w:p>
      <w:pPr>
        <w:pStyle w:val="1659"/>
      </w:pPr>
      <w:r>
        <w:t>场待宰，可有效控制场内病、死牲畜及病牲畜产品的产生量。本项目牛病死率按0.3%计，因此，项目产生病、死牲畜及病牲畜产品约</w:t>
      </w:r>
      <w:r>
        <w:rPr>
          <w:rFonts w:hint="eastAsia"/>
          <w:lang w:val="en-US" w:eastAsia="zh-CN"/>
        </w:rPr>
        <w:t>4.5</w:t>
      </w:r>
      <w:r>
        <w:t>t/a。</w:t>
      </w:r>
    </w:p>
    <w:p>
      <w:pPr>
        <w:pStyle w:val="1659"/>
      </w:pPr>
      <w:r>
        <w:t>为了保证人民健康，对于病害或者原因不明的畜禽及其屠宰废弃物，必须集中进行无害化处理，不得随意处置。国家对病害动物无害化处理极为重视，《中华人民共和国动物防疫法》规定，禁止屠宰、经营、运输、加工经营病死及死因不明的动物及动物产品，病死动物不得随意处置，必须进行无害化处理。感染动物及其排泄物、染疫动物产品，病死或者死因不明的动物尸体，运载工具中的动物排泄物以及垫料、包装物、容器等污染物，应该按照国务院兽医主管部门的规定处理，不得随意处置。因此，不合格胴体委托</w:t>
      </w:r>
      <w:r>
        <w:rPr>
          <w:rFonts w:hint="eastAsia"/>
          <w:lang w:eastAsia="zh-CN"/>
        </w:rPr>
        <w:t>有资质单位</w:t>
      </w:r>
      <w:r>
        <w:t>进行无害化处置。本项目根据《贵州省牲畜屠宰条例》（2015年7月31日修正）设置隔离间和急宰间，当进场牲畜检疫过程中发现牲畜携带疫情，则迅速送入隔离间，按照《重大动物疫情应急条例》（国务院第450号令）相关规定对疫区污染并或疑似传染病的动物进行扑杀后，及时进行急宰分割，委托</w:t>
      </w:r>
      <w:r>
        <w:rPr>
          <w:rFonts w:hint="eastAsia"/>
          <w:lang w:eastAsia="zh-CN"/>
        </w:rPr>
        <w:t>有资质单位</w:t>
      </w:r>
      <w:r>
        <w:t>进行无害化处置，防止疫情扩散。</w:t>
      </w:r>
    </w:p>
    <w:p>
      <w:pPr>
        <w:pStyle w:val="1659"/>
      </w:pPr>
      <w:r>
        <w:t>②待宰圈产生的粪便</w:t>
      </w:r>
    </w:p>
    <w:p>
      <w:pPr>
        <w:pStyle w:val="1659"/>
      </w:pPr>
      <w:r>
        <w:t>本项目待宰圈每天最大可容纳肉牛300头。根据农业污染源产排污系数手册，西南地区肉牛牛粪产生系数为12.10kg/头.天</w:t>
      </w:r>
      <w:r>
        <w:rPr>
          <w:rFonts w:hint="eastAsia"/>
          <w:lang w:eastAsia="zh-CN"/>
        </w:rPr>
        <w:t>，</w:t>
      </w:r>
      <w:r>
        <w:t>由于本项目待宰圈内牛不再进食，因此本评价按上述产污量的10%计，则一天产生牛粪为363kg。因此本项目粪便产生总量约为</w:t>
      </w:r>
      <w:r>
        <w:rPr>
          <w:rFonts w:hint="eastAsia"/>
          <w:lang w:val="en-US" w:eastAsia="zh-CN"/>
        </w:rPr>
        <w:t>363</w:t>
      </w:r>
      <w:r>
        <w:t>kg/d（</w:t>
      </w:r>
      <w:r>
        <w:rPr>
          <w:rFonts w:hint="eastAsia"/>
          <w:lang w:val="en-US" w:eastAsia="zh-CN"/>
        </w:rPr>
        <w:t>130.68</w:t>
      </w:r>
      <w:r>
        <w:t>t/a）。项目待宰圈粪便应采用干清粪工艺，产生的牲畜粪 便经人工清扫后，统一运至畜粪暂存场所暂存，日产日清，及时运送至有机肥</w:t>
      </w:r>
      <w:r>
        <w:rPr>
          <w:rFonts w:hint="eastAsia"/>
          <w:lang w:eastAsia="zh-CN"/>
        </w:rPr>
        <w:t>厂作为</w:t>
      </w:r>
      <w:r>
        <w:t>生产原料使用。</w:t>
      </w:r>
    </w:p>
    <w:p>
      <w:pPr>
        <w:pStyle w:val="1659"/>
      </w:pPr>
      <w:r>
        <w:t>③屠宰加工废物 牛羊屠宰过程中产生的废物包括毛皮、胃肠</w:t>
      </w:r>
      <w:r>
        <w:rPr>
          <w:rFonts w:hint="eastAsia"/>
          <w:lang w:eastAsia="zh-CN"/>
        </w:rPr>
        <w:t>溶</w:t>
      </w:r>
      <w:r>
        <w:t>物、不可利用内脏等；根据物料平衡，项目屠宰加工过程产生的固体废物为</w:t>
      </w:r>
      <w:r>
        <w:rPr>
          <w:rFonts w:hint="eastAsia"/>
          <w:lang w:val="en-US" w:eastAsia="zh-CN"/>
        </w:rPr>
        <w:t>5395</w:t>
      </w:r>
      <w:r>
        <w:t>t/a，其中</w:t>
      </w:r>
      <w:r>
        <w:rPr>
          <w:rFonts w:hint="eastAsia"/>
          <w:lang w:eastAsia="zh-CN"/>
        </w:rPr>
        <w:t>粪便</w:t>
      </w:r>
      <w:r>
        <w:rPr>
          <w:rFonts w:hint="eastAsia"/>
          <w:lang w:val="en-US" w:eastAsia="zh-CN"/>
        </w:rPr>
        <w:t>520t/a，尿液390t/a，胃肠溶物1900t/a，不可食用肉161t/a，病变及病变部分45t/a</w:t>
      </w:r>
      <w:r>
        <w:t>。</w:t>
      </w:r>
    </w:p>
    <w:p>
      <w:pPr>
        <w:pStyle w:val="1659"/>
      </w:pPr>
      <w:r>
        <w:t>本项目产生</w:t>
      </w:r>
      <w:r>
        <w:rPr>
          <w:rFonts w:hint="eastAsia"/>
          <w:lang w:eastAsia="zh-CN"/>
        </w:rPr>
        <w:t>病变及病变部分</w:t>
      </w:r>
      <w:r>
        <w:t>及不可</w:t>
      </w:r>
      <w:r>
        <w:rPr>
          <w:rFonts w:hint="eastAsia"/>
          <w:lang w:eastAsia="zh-CN"/>
        </w:rPr>
        <w:t>食用肉</w:t>
      </w:r>
      <w:r>
        <w:rPr>
          <w:rFonts w:hint="eastAsia"/>
          <w:lang w:val="en-US" w:eastAsia="zh-CN"/>
        </w:rPr>
        <w:t>约206t/a，委托有资质单位处置</w:t>
      </w:r>
      <w:r>
        <w:t>。</w:t>
      </w:r>
    </w:p>
    <w:p>
      <w:pPr>
        <w:pStyle w:val="1659"/>
      </w:pPr>
      <w:r>
        <w:t>④污水处理站污泥</w:t>
      </w:r>
    </w:p>
    <w:p>
      <w:pPr>
        <w:pStyle w:val="1659"/>
      </w:pPr>
      <w:r>
        <w:t>屠宰废水处理过程中产生栅渣、沉砂、废动植物油及污泥。厂区污水处理厂运行过程中会产生剩余污水，产生量按1.5L/m</w:t>
      </w:r>
      <w:r>
        <w:rPr>
          <w:vertAlign w:val="superscript"/>
        </w:rPr>
        <w:t>3</w:t>
      </w:r>
      <w:r>
        <w:t>污水处理量计算，本项目废水处理量共计</w:t>
      </w:r>
      <w:r>
        <w:rPr>
          <w:rFonts w:hint="eastAsia"/>
          <w:lang w:val="en-US" w:eastAsia="zh-CN"/>
        </w:rPr>
        <w:t>11995.2</w:t>
      </w:r>
      <w:r>
        <w:t>m3/a。因此项目产生清掏污泥约 15</w:t>
      </w:r>
      <w:r>
        <w:rPr>
          <w:rFonts w:hint="eastAsia"/>
          <w:lang w:val="en-US" w:eastAsia="zh-CN"/>
        </w:rPr>
        <w:t>.4</w:t>
      </w:r>
      <w:r>
        <w:t>m3/a，约合25</w:t>
      </w:r>
      <w:r>
        <w:rPr>
          <w:rFonts w:hint="eastAsia"/>
          <w:lang w:val="en-US" w:eastAsia="zh-CN"/>
        </w:rPr>
        <w:t>.7</w:t>
      </w:r>
      <w:r>
        <w:t>t/a（含水率小于60%）。栅渣（</w:t>
      </w:r>
      <w:r>
        <w:rPr>
          <w:rFonts w:hint="eastAsia"/>
          <w:lang w:val="en-US" w:eastAsia="zh-CN"/>
        </w:rPr>
        <w:t>3.5</w:t>
      </w:r>
      <w:r>
        <w:t>t/a）、沉砂（</w:t>
      </w:r>
      <w:r>
        <w:rPr>
          <w:rFonts w:hint="eastAsia"/>
          <w:lang w:val="en-US" w:eastAsia="zh-CN"/>
        </w:rPr>
        <w:t>0.6</w:t>
      </w:r>
      <w:r>
        <w:t>t/a）、废动植物油（</w:t>
      </w:r>
      <w:r>
        <w:rPr>
          <w:rFonts w:hint="eastAsia"/>
          <w:lang w:val="en-US" w:eastAsia="zh-CN"/>
        </w:rPr>
        <w:t>0.9</w:t>
      </w:r>
      <w:r>
        <w:t>t/a）和污泥（</w:t>
      </w:r>
      <w:r>
        <w:rPr>
          <w:rFonts w:hint="eastAsia"/>
          <w:lang w:val="en-US" w:eastAsia="zh-CN"/>
        </w:rPr>
        <w:t>48.8</w:t>
      </w:r>
      <w:r>
        <w:t>t/a），其中废动植物油单独收集交餐厨收集资质单位处理，其余固废均清运至附近的生活垃圾转运站集中处理，无排放。</w:t>
      </w:r>
    </w:p>
    <w:p>
      <w:pPr>
        <w:pStyle w:val="1659"/>
      </w:pPr>
      <w:r>
        <w:t>（2）职工生活垃圾</w:t>
      </w:r>
    </w:p>
    <w:p>
      <w:pPr>
        <w:pStyle w:val="1659"/>
      </w:pPr>
      <w:r>
        <w:t>本项目劳动定员</w:t>
      </w:r>
      <w:r>
        <w:rPr>
          <w:rFonts w:hint="eastAsia"/>
          <w:lang w:val="en-US" w:eastAsia="zh-CN"/>
        </w:rPr>
        <w:t>87</w:t>
      </w:r>
      <w:r>
        <w:t>人，生活垃圾产生量按0.5kg/人·d计算，则项目生活垃圾产生量为</w:t>
      </w:r>
      <w:r>
        <w:rPr>
          <w:rFonts w:hint="eastAsia"/>
          <w:lang w:val="en-US" w:eastAsia="zh-CN"/>
        </w:rPr>
        <w:t>43.5</w:t>
      </w:r>
      <w:r>
        <w:t>kg/d（</w:t>
      </w:r>
      <w:r>
        <w:rPr>
          <w:rFonts w:hint="eastAsia"/>
          <w:lang w:val="en-US" w:eastAsia="zh-CN"/>
        </w:rPr>
        <w:t>156.6</w:t>
      </w:r>
      <w:r>
        <w:t>t/a），生活垃圾收集后由环卫部门统一清运处理。</w:t>
      </w:r>
    </w:p>
    <w:p>
      <w:pPr>
        <w:spacing w:before="4"/>
        <w:ind w:left="2901" w:right="0" w:firstLine="0"/>
        <w:jc w:val="left"/>
        <w:rPr>
          <w:rFonts w:ascii="宋体" w:hAnsi="宋体" w:eastAsia="宋体" w:cs="宋体"/>
          <w:sz w:val="24"/>
          <w:szCs w:val="24"/>
        </w:rPr>
      </w:pPr>
      <w:r>
        <w:rPr>
          <w:rFonts w:ascii="宋体" w:hAnsi="宋体" w:eastAsia="宋体" w:cs="宋体"/>
          <w:sz w:val="24"/>
          <w:szCs w:val="24"/>
        </w:rPr>
        <w:t>表</w:t>
      </w:r>
      <w:r>
        <w:rPr>
          <w:rFonts w:hint="eastAsia" w:ascii="宋体" w:hAnsi="宋体" w:eastAsia="宋体" w:cs="宋体"/>
          <w:sz w:val="24"/>
          <w:szCs w:val="24"/>
          <w:lang w:val="en-US" w:eastAsia="zh-CN"/>
        </w:rPr>
        <w:t xml:space="preserve">3.3-15 </w:t>
      </w:r>
      <w:r>
        <w:rPr>
          <w:rFonts w:ascii="宋体" w:hAnsi="宋体" w:eastAsia="宋体" w:cs="宋体"/>
          <w:sz w:val="24"/>
          <w:szCs w:val="24"/>
        </w:rPr>
        <w:t xml:space="preserve"> 固体废物产生情况</w:t>
      </w: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 w:line="240" w:lineRule="exact"/>
        <w:rPr>
          <w:sz w:val="24"/>
          <w:szCs w:val="24"/>
        </w:rPr>
      </w:pPr>
    </w:p>
    <w:p>
      <w:pPr>
        <w:spacing w:before="38"/>
        <w:ind w:left="0" w:right="111" w:firstLine="0"/>
        <w:jc w:val="right"/>
        <w:rPr>
          <w:rFonts w:ascii="宋体" w:hAnsi="宋体" w:eastAsia="宋体" w:cs="宋体"/>
          <w:sz w:val="21"/>
          <w:szCs w:val="21"/>
        </w:rPr>
      </w:pPr>
      <w:r>
        <mc:AlternateContent>
          <mc:Choice Requires="wps">
            <w:drawing>
              <wp:anchor distT="0" distB="0" distL="114300" distR="114300" simplePos="0" relativeHeight="2528603136" behindDoc="1" locked="0" layoutInCell="1" allowOverlap="1">
                <wp:simplePos x="0" y="0"/>
                <wp:positionH relativeFrom="page">
                  <wp:posOffset>1070610</wp:posOffset>
                </wp:positionH>
                <wp:positionV relativeFrom="paragraph">
                  <wp:posOffset>-852805</wp:posOffset>
                </wp:positionV>
                <wp:extent cx="5427345" cy="3743960"/>
                <wp:effectExtent l="0" t="0" r="0" b="0"/>
                <wp:wrapNone/>
                <wp:docPr id="806" name="文本框 806"/>
                <wp:cNvGraphicFramePr/>
                <a:graphic xmlns:a="http://schemas.openxmlformats.org/drawingml/2006/main">
                  <a:graphicData uri="http://schemas.microsoft.com/office/word/2010/wordprocessingShape">
                    <wps:wsp>
                      <wps:cNvSpPr txBox="1"/>
                      <wps:spPr>
                        <a:xfrm>
                          <a:off x="0" y="0"/>
                          <a:ext cx="5427345" cy="3743960"/>
                        </a:xfrm>
                        <a:prstGeom prst="rect">
                          <a:avLst/>
                        </a:prstGeom>
                        <a:noFill/>
                        <a:ln>
                          <a:noFill/>
                        </a:ln>
                      </wps:spPr>
                      <wps:txbx>
                        <w:txbxContent>
                          <w:tbl>
                            <w:tblPr>
                              <w:tblStyle w:val="88"/>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1"/>
                              <w:gridCol w:w="1352"/>
                              <w:gridCol w:w="2812"/>
                              <w:gridCol w:w="820"/>
                              <w:gridCol w:w="1020"/>
                              <w:gridCol w:w="18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exact"/>
                              </w:trPr>
                              <w:tc>
                                <w:tcPr>
                                  <w:tcW w:w="631" w:type="dxa"/>
                                  <w:tcBorders>
                                    <w:tl2br w:val="nil"/>
                                    <w:tr2bl w:val="nil"/>
                                  </w:tcBorders>
                                </w:tcPr>
                                <w:p>
                                  <w:pPr>
                                    <w:pStyle w:val="4069"/>
                                    <w:spacing w:before="161" w:line="240" w:lineRule="auto"/>
                                    <w:ind w:left="91" w:right="0"/>
                                    <w:jc w:val="left"/>
                                    <w:rPr>
                                      <w:rFonts w:ascii="宋体" w:hAnsi="宋体" w:eastAsia="宋体" w:cs="宋体"/>
                                      <w:sz w:val="21"/>
                                      <w:szCs w:val="21"/>
                                    </w:rPr>
                                  </w:pPr>
                                  <w:r>
                                    <w:rPr>
                                      <w:rFonts w:ascii="宋体" w:hAnsi="宋体" w:eastAsia="宋体" w:cs="宋体"/>
                                      <w:spacing w:val="1"/>
                                      <w:sz w:val="21"/>
                                      <w:szCs w:val="21"/>
                                    </w:rPr>
                                    <w:t>序号</w:t>
                                  </w:r>
                                </w:p>
                              </w:tc>
                              <w:tc>
                                <w:tcPr>
                                  <w:tcW w:w="4164" w:type="dxa"/>
                                  <w:gridSpan w:val="2"/>
                                  <w:tcBorders>
                                    <w:tl2br w:val="nil"/>
                                    <w:tr2bl w:val="nil"/>
                                  </w:tcBorders>
                                </w:tcPr>
                                <w:p>
                                  <w:pPr>
                                    <w:pStyle w:val="4069"/>
                                    <w:spacing w:before="161" w:line="240" w:lineRule="auto"/>
                                    <w:ind w:right="0"/>
                                    <w:jc w:val="center"/>
                                    <w:rPr>
                                      <w:rFonts w:ascii="宋体" w:hAnsi="宋体" w:eastAsia="宋体" w:cs="宋体"/>
                                      <w:sz w:val="21"/>
                                      <w:szCs w:val="21"/>
                                    </w:rPr>
                                  </w:pPr>
                                  <w:r>
                                    <w:rPr>
                                      <w:rFonts w:ascii="宋体" w:hAnsi="宋体" w:eastAsia="宋体" w:cs="宋体"/>
                                      <w:spacing w:val="1"/>
                                      <w:sz w:val="21"/>
                                      <w:szCs w:val="21"/>
                                    </w:rPr>
                                    <w:t>名称</w:t>
                                  </w:r>
                                </w:p>
                              </w:tc>
                              <w:tc>
                                <w:tcPr>
                                  <w:tcW w:w="820" w:type="dxa"/>
                                  <w:tcBorders>
                                    <w:tl2br w:val="nil"/>
                                    <w:tr2bl w:val="nil"/>
                                  </w:tcBorders>
                                </w:tcPr>
                                <w:p>
                                  <w:pPr>
                                    <w:pStyle w:val="4069"/>
                                    <w:spacing w:before="5" w:line="240" w:lineRule="auto"/>
                                    <w:ind w:left="90" w:right="0"/>
                                    <w:jc w:val="left"/>
                                    <w:rPr>
                                      <w:rFonts w:ascii="宋体" w:hAnsi="宋体" w:eastAsia="宋体" w:cs="宋体"/>
                                      <w:sz w:val="21"/>
                                      <w:szCs w:val="21"/>
                                    </w:rPr>
                                  </w:pPr>
                                  <w:r>
                                    <w:rPr>
                                      <w:rFonts w:ascii="宋体" w:hAnsi="宋体" w:eastAsia="宋体" w:cs="宋体"/>
                                      <w:sz w:val="21"/>
                                      <w:szCs w:val="21"/>
                                    </w:rPr>
                                    <w:t>产生量</w:t>
                                  </w:r>
                                </w:p>
                                <w:p>
                                  <w:pPr>
                                    <w:pStyle w:val="4069"/>
                                    <w:spacing w:before="40" w:line="240" w:lineRule="auto"/>
                                    <w:ind w:left="61"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t/a</w:t>
                                  </w:r>
                                  <w:r>
                                    <w:rPr>
                                      <w:rFonts w:ascii="宋体" w:hAnsi="宋体" w:eastAsia="宋体" w:cs="宋体"/>
                                      <w:sz w:val="21"/>
                                      <w:szCs w:val="21"/>
                                    </w:rPr>
                                    <w:t>）</w:t>
                                  </w:r>
                                </w:p>
                              </w:tc>
                              <w:tc>
                                <w:tcPr>
                                  <w:tcW w:w="1020" w:type="dxa"/>
                                  <w:tcBorders>
                                    <w:tl2br w:val="nil"/>
                                    <w:tr2bl w:val="nil"/>
                                  </w:tcBorders>
                                </w:tcPr>
                                <w:p>
                                  <w:pPr>
                                    <w:pStyle w:val="4069"/>
                                    <w:spacing w:before="161" w:line="240" w:lineRule="auto"/>
                                    <w:ind w:left="295" w:right="0"/>
                                    <w:jc w:val="left"/>
                                    <w:rPr>
                                      <w:rFonts w:ascii="宋体" w:hAnsi="宋体" w:eastAsia="宋体" w:cs="宋体"/>
                                      <w:sz w:val="21"/>
                                      <w:szCs w:val="21"/>
                                    </w:rPr>
                                  </w:pPr>
                                  <w:r>
                                    <w:rPr>
                                      <w:rFonts w:ascii="宋体" w:hAnsi="宋体" w:eastAsia="宋体" w:cs="宋体"/>
                                      <w:spacing w:val="1"/>
                                      <w:sz w:val="21"/>
                                      <w:szCs w:val="21"/>
                                    </w:rPr>
                                    <w:t>属性</w:t>
                                  </w:r>
                                </w:p>
                              </w:tc>
                              <w:tc>
                                <w:tcPr>
                                  <w:tcW w:w="1870" w:type="dxa"/>
                                  <w:tcBorders>
                                    <w:tl2br w:val="nil"/>
                                    <w:tr2bl w:val="nil"/>
                                  </w:tcBorders>
                                </w:tcPr>
                                <w:p>
                                  <w:pPr>
                                    <w:pStyle w:val="4069"/>
                                    <w:spacing w:before="161" w:line="240" w:lineRule="auto"/>
                                    <w:ind w:left="507" w:right="0"/>
                                    <w:jc w:val="left"/>
                                    <w:rPr>
                                      <w:rFonts w:ascii="宋体" w:hAnsi="宋体" w:eastAsia="宋体" w:cs="宋体"/>
                                      <w:sz w:val="21"/>
                                      <w:szCs w:val="21"/>
                                    </w:rPr>
                                  </w:pPr>
                                  <w:r>
                                    <w:rPr>
                                      <w:rFonts w:ascii="宋体" w:hAnsi="宋体" w:eastAsia="宋体" w:cs="宋体"/>
                                      <w:sz w:val="21"/>
                                      <w:szCs w:val="21"/>
                                    </w:rPr>
                                    <w:t>处理措施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right="8"/>
                                    <w:jc w:val="center"/>
                                    <w:rPr>
                                      <w:rFonts w:ascii="Calibri" w:hAnsi="Calibri" w:eastAsia="Calibri" w:cs="Calibri"/>
                                      <w:sz w:val="21"/>
                                      <w:szCs w:val="21"/>
                                    </w:rPr>
                                  </w:pPr>
                                  <w:r>
                                    <w:rPr>
                                      <w:rFonts w:ascii="Calibri"/>
                                      <w:sz w:val="21"/>
                                    </w:rPr>
                                    <w:t>1</w:t>
                                  </w:r>
                                </w:p>
                              </w:tc>
                              <w:tc>
                                <w:tcPr>
                                  <w:tcW w:w="4164" w:type="dxa"/>
                                  <w:gridSpan w:val="2"/>
                                  <w:tcBorders>
                                    <w:tl2br w:val="nil"/>
                                    <w:tr2bl w:val="nil"/>
                                  </w:tcBorders>
                                </w:tcPr>
                                <w:p>
                                  <w:pPr>
                                    <w:pStyle w:val="4069"/>
                                    <w:spacing w:before="2" w:line="240" w:lineRule="auto"/>
                                    <w:ind w:left="921" w:right="0"/>
                                    <w:jc w:val="left"/>
                                    <w:rPr>
                                      <w:rFonts w:ascii="宋体" w:hAnsi="宋体" w:eastAsia="宋体" w:cs="宋体"/>
                                      <w:sz w:val="21"/>
                                      <w:szCs w:val="21"/>
                                    </w:rPr>
                                  </w:pPr>
                                  <w:r>
                                    <w:rPr>
                                      <w:rFonts w:ascii="宋体" w:hAnsi="宋体" w:eastAsia="宋体" w:cs="宋体"/>
                                      <w:sz w:val="21"/>
                                      <w:szCs w:val="21"/>
                                    </w:rPr>
                                    <w:t>病、死牲畜及病牲畜产品</w:t>
                                  </w:r>
                                </w:p>
                              </w:tc>
                              <w:tc>
                                <w:tcPr>
                                  <w:tcW w:w="820" w:type="dxa"/>
                                  <w:tcBorders>
                                    <w:tl2br w:val="nil"/>
                                    <w:tr2bl w:val="nil"/>
                                  </w:tcBorders>
                                </w:tcPr>
                                <w:p>
                                  <w:pPr>
                                    <w:pStyle w:val="4069"/>
                                    <w:spacing w:before="41" w:line="240" w:lineRule="auto"/>
                                    <w:ind w:left="246" w:right="0"/>
                                    <w:jc w:val="left"/>
                                    <w:rPr>
                                      <w:rFonts w:hint="default" w:ascii="Calibri" w:hAnsi="Calibri" w:eastAsia="宋体" w:cs="Calibri"/>
                                      <w:sz w:val="21"/>
                                      <w:szCs w:val="21"/>
                                      <w:lang w:val="en-US" w:eastAsia="zh-CN"/>
                                    </w:rPr>
                                  </w:pPr>
                                  <w:r>
                                    <w:rPr>
                                      <w:rFonts w:hint="eastAsia" w:ascii="Calibri" w:eastAsia="宋体"/>
                                      <w:sz w:val="21"/>
                                      <w:lang w:val="en-US" w:eastAsia="zh-CN"/>
                                    </w:rPr>
                                    <w:t>4.5</w:t>
                                  </w:r>
                                </w:p>
                              </w:tc>
                              <w:tc>
                                <w:tcPr>
                                  <w:tcW w:w="1020" w:type="dxa"/>
                                  <w:tcBorders>
                                    <w:tl2br w:val="nil"/>
                                    <w:tr2bl w:val="nil"/>
                                  </w:tcBorders>
                                </w:tcPr>
                                <w:p>
                                  <w:pPr>
                                    <w:pStyle w:val="4069"/>
                                    <w:spacing w:before="2" w:line="240" w:lineRule="auto"/>
                                    <w:ind w:left="85" w:right="0"/>
                                    <w:jc w:val="left"/>
                                    <w:rPr>
                                      <w:rFonts w:ascii="宋体" w:hAnsi="宋体" w:eastAsia="宋体" w:cs="宋体"/>
                                      <w:sz w:val="21"/>
                                      <w:szCs w:val="21"/>
                                    </w:rPr>
                                  </w:pPr>
                                  <w:r>
                                    <w:rPr>
                                      <w:rFonts w:ascii="宋体" w:hAnsi="宋体" w:eastAsia="宋体" w:cs="宋体"/>
                                      <w:sz w:val="21"/>
                                      <w:szCs w:val="21"/>
                                    </w:rPr>
                                    <w:t>危险废物</w:t>
                                  </w:r>
                                </w:p>
                              </w:tc>
                              <w:tc>
                                <w:tcPr>
                                  <w:tcW w:w="1870" w:type="dxa"/>
                                  <w:tcBorders>
                                    <w:tl2br w:val="nil"/>
                                    <w:tr2bl w:val="nil"/>
                                  </w:tcBorders>
                                </w:tcPr>
                                <w:p>
                                  <w:pPr>
                                    <w:pStyle w:val="4069"/>
                                    <w:spacing w:before="2" w:line="240" w:lineRule="auto"/>
                                    <w:ind w:left="403" w:right="0"/>
                                    <w:jc w:val="left"/>
                                    <w:rPr>
                                      <w:rFonts w:ascii="宋体" w:hAnsi="宋体" w:eastAsia="宋体" w:cs="宋体"/>
                                      <w:sz w:val="21"/>
                                      <w:szCs w:val="21"/>
                                    </w:rPr>
                                  </w:pPr>
                                  <w:r>
                                    <w:rPr>
                                      <w:rFonts w:ascii="宋体" w:hAnsi="宋体" w:eastAsia="宋体" w:cs="宋体"/>
                                      <w:sz w:val="21"/>
                                      <w:szCs w:val="21"/>
                                    </w:rPr>
                                    <w:t>无害化处理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9" w:right="238"/>
                                    <w:jc w:val="center"/>
                                    <w:rPr>
                                      <w:rFonts w:ascii="Calibri" w:hAnsi="Calibri" w:eastAsia="Calibri" w:cs="Calibri"/>
                                      <w:sz w:val="21"/>
                                      <w:szCs w:val="21"/>
                                    </w:rPr>
                                  </w:pPr>
                                  <w:r>
                                    <w:rPr>
                                      <w:rFonts w:ascii="Calibri"/>
                                      <w:sz w:val="21"/>
                                    </w:rPr>
                                    <w:t>2</w:t>
                                  </w:r>
                                </w:p>
                              </w:tc>
                              <w:tc>
                                <w:tcPr>
                                  <w:tcW w:w="4164" w:type="dxa"/>
                                  <w:gridSpan w:val="2"/>
                                  <w:tcBorders>
                                    <w:tl2br w:val="nil"/>
                                    <w:tr2bl w:val="nil"/>
                                  </w:tcBorders>
                                </w:tcPr>
                                <w:p>
                                  <w:pPr>
                                    <w:pStyle w:val="4069"/>
                                    <w:spacing w:before="1" w:line="240" w:lineRule="auto"/>
                                    <w:ind w:left="1236" w:right="0"/>
                                    <w:jc w:val="left"/>
                                    <w:rPr>
                                      <w:rFonts w:ascii="宋体" w:hAnsi="宋体" w:eastAsia="宋体" w:cs="宋体"/>
                                      <w:sz w:val="21"/>
                                      <w:szCs w:val="21"/>
                                    </w:rPr>
                                  </w:pPr>
                                  <w:r>
                                    <w:rPr>
                                      <w:rFonts w:ascii="宋体" w:hAnsi="宋体" w:eastAsia="宋体" w:cs="宋体"/>
                                      <w:sz w:val="21"/>
                                      <w:szCs w:val="21"/>
                                    </w:rPr>
                                    <w:t>待宰区产生的粪便</w:t>
                                  </w:r>
                                </w:p>
                              </w:tc>
                              <w:tc>
                                <w:tcPr>
                                  <w:tcW w:w="820" w:type="dxa"/>
                                  <w:tcBorders>
                                    <w:tl2br w:val="nil"/>
                                    <w:tr2bl w:val="nil"/>
                                  </w:tcBorders>
                                </w:tcPr>
                                <w:p>
                                  <w:pPr>
                                    <w:pStyle w:val="4069"/>
                                    <w:spacing w:before="41" w:line="240" w:lineRule="auto"/>
                                    <w:ind w:left="112" w:right="0"/>
                                    <w:jc w:val="left"/>
                                    <w:rPr>
                                      <w:rFonts w:ascii="Calibri" w:hAnsi="Calibri" w:eastAsia="Calibri" w:cs="Calibri"/>
                                      <w:sz w:val="21"/>
                                      <w:szCs w:val="21"/>
                                    </w:rPr>
                                  </w:pPr>
                                  <w:r>
                                    <w:rPr>
                                      <w:rFonts w:hint="eastAsia"/>
                                      <w:spacing w:val="3"/>
                                      <w:lang w:val="en-US" w:eastAsia="zh-CN"/>
                                    </w:rPr>
                                    <w:t>130.68</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before="1" w:line="240" w:lineRule="auto"/>
                                    <w:ind w:left="87" w:right="0"/>
                                    <w:jc w:val="left"/>
                                    <w:rPr>
                                      <w:rFonts w:ascii="宋体" w:hAnsi="宋体" w:eastAsia="宋体" w:cs="宋体"/>
                                      <w:sz w:val="21"/>
                                      <w:szCs w:val="21"/>
                                    </w:rPr>
                                  </w:pPr>
                                  <w:r>
                                    <w:rPr>
                                      <w:rFonts w:ascii="宋体" w:hAnsi="宋体" w:eastAsia="宋体" w:cs="宋体"/>
                                      <w:sz w:val="21"/>
                                      <w:szCs w:val="21"/>
                                    </w:rPr>
                                    <w:t>有机肥厂（外售）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tcBorders>
                                    <w:tl2br w:val="nil"/>
                                    <w:tr2bl w:val="nil"/>
                                  </w:tcBorders>
                                </w:tcPr>
                                <w:p>
                                  <w:pPr>
                                    <w:pStyle w:val="4069"/>
                                    <w:spacing w:before="40" w:line="240" w:lineRule="auto"/>
                                    <w:ind w:left="229" w:right="238"/>
                                    <w:jc w:val="center"/>
                                    <w:rPr>
                                      <w:rFonts w:ascii="Calibri" w:hAnsi="Calibri" w:eastAsia="Calibri" w:cs="Calibri"/>
                                      <w:sz w:val="21"/>
                                      <w:szCs w:val="21"/>
                                    </w:rPr>
                                  </w:pPr>
                                  <w:r>
                                    <w:rPr>
                                      <w:rFonts w:ascii="Calibri"/>
                                      <w:sz w:val="21"/>
                                    </w:rPr>
                                    <w:t>3</w:t>
                                  </w:r>
                                </w:p>
                              </w:tc>
                              <w:tc>
                                <w:tcPr>
                                  <w:tcW w:w="1352" w:type="dxa"/>
                                  <w:vMerge w:val="restart"/>
                                  <w:tcBorders>
                                    <w:tl2br w:val="nil"/>
                                    <w:tr2bl w:val="nil"/>
                                  </w:tcBorders>
                                </w:tcPr>
                                <w:p>
                                  <w:pPr>
                                    <w:pStyle w:val="4069"/>
                                    <w:spacing w:before="1" w:line="100" w:lineRule="exact"/>
                                    <w:ind w:right="0"/>
                                    <w:jc w:val="left"/>
                                    <w:rPr>
                                      <w:sz w:val="10"/>
                                      <w:szCs w:val="1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40" w:right="0"/>
                                    <w:jc w:val="left"/>
                                    <w:rPr>
                                      <w:rFonts w:ascii="宋体" w:hAnsi="宋体" w:eastAsia="宋体" w:cs="宋体"/>
                                      <w:sz w:val="21"/>
                                      <w:szCs w:val="21"/>
                                    </w:rPr>
                                  </w:pPr>
                                  <w:r>
                                    <w:rPr>
                                      <w:rFonts w:ascii="宋体" w:hAnsi="宋体" w:eastAsia="宋体" w:cs="宋体"/>
                                      <w:sz w:val="21"/>
                                      <w:szCs w:val="21"/>
                                    </w:rPr>
                                    <w:t>屠宰加工废物</w:t>
                                  </w:r>
                                </w:p>
                              </w:tc>
                              <w:tc>
                                <w:tcPr>
                                  <w:tcW w:w="2812" w:type="dxa"/>
                                  <w:tcBorders>
                                    <w:tl2br w:val="nil"/>
                                    <w:tr2bl w:val="nil"/>
                                  </w:tcBorders>
                                </w:tcPr>
                                <w:p>
                                  <w:pPr>
                                    <w:pStyle w:val="4069"/>
                                    <w:spacing w:before="1" w:line="240" w:lineRule="auto"/>
                                    <w:ind w:left="244"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牛副产品</w:t>
                                  </w:r>
                                </w:p>
                              </w:tc>
                              <w:tc>
                                <w:tcPr>
                                  <w:tcW w:w="820" w:type="dxa"/>
                                  <w:tcBorders>
                                    <w:tl2br w:val="nil"/>
                                    <w:tr2bl w:val="nil"/>
                                  </w:tcBorders>
                                </w:tcPr>
                                <w:p>
                                  <w:pPr>
                                    <w:pStyle w:val="4069"/>
                                    <w:spacing w:before="40" w:line="240" w:lineRule="auto"/>
                                    <w:ind w:left="191" w:right="0"/>
                                    <w:jc w:val="left"/>
                                    <w:rPr>
                                      <w:rFonts w:hint="default" w:ascii="Calibri" w:hAnsi="Calibri" w:eastAsia="宋体" w:cs="Calibri"/>
                                      <w:sz w:val="21"/>
                                      <w:szCs w:val="21"/>
                                      <w:lang w:val="en-US" w:eastAsia="zh-CN"/>
                                    </w:rPr>
                                  </w:pPr>
                                  <w:r>
                                    <w:rPr>
                                      <w:rFonts w:hint="eastAsia" w:ascii="Calibri" w:eastAsia="宋体"/>
                                      <w:sz w:val="21"/>
                                      <w:lang w:val="en-US" w:eastAsia="zh-CN"/>
                                    </w:rPr>
                                    <w:t>450</w:t>
                                  </w:r>
                                </w:p>
                              </w:tc>
                              <w:tc>
                                <w:tcPr>
                                  <w:tcW w:w="1020" w:type="dxa"/>
                                  <w:tcBorders>
                                    <w:tl2br w:val="nil"/>
                                    <w:tr2bl w:val="nil"/>
                                  </w:tcBorders>
                                </w:tcPr>
                                <w:p>
                                  <w:pPr>
                                    <w:pStyle w:val="4069"/>
                                    <w:spacing w:before="1" w:line="240" w:lineRule="auto"/>
                                    <w:ind w:left="189" w:right="0"/>
                                    <w:jc w:val="left"/>
                                    <w:rPr>
                                      <w:rFonts w:ascii="宋体" w:hAnsi="宋体" w:eastAsia="宋体" w:cs="宋体"/>
                                      <w:sz w:val="21"/>
                                      <w:szCs w:val="21"/>
                                    </w:rPr>
                                  </w:pPr>
                                  <w:r>
                                    <w:rPr>
                                      <w:rFonts w:ascii="宋体" w:hAnsi="宋体" w:eastAsia="宋体" w:cs="宋体"/>
                                      <w:sz w:val="21"/>
                                      <w:szCs w:val="21"/>
                                    </w:rPr>
                                    <w:t>副产品</w:t>
                                  </w:r>
                                </w:p>
                              </w:tc>
                              <w:tc>
                                <w:tcPr>
                                  <w:tcW w:w="1870" w:type="dxa"/>
                                  <w:tcBorders>
                                    <w:tl2br w:val="nil"/>
                                    <w:tr2bl w:val="nil"/>
                                  </w:tcBorders>
                                </w:tcPr>
                                <w:p>
                                  <w:pPr>
                                    <w:pStyle w:val="4069"/>
                                    <w:spacing w:before="1" w:line="240" w:lineRule="auto"/>
                                    <w:ind w:left="22" w:right="0"/>
                                    <w:jc w:val="left"/>
                                    <w:rPr>
                                      <w:rFonts w:ascii="宋体" w:hAnsi="宋体" w:eastAsia="宋体" w:cs="宋体"/>
                                      <w:sz w:val="21"/>
                                      <w:szCs w:val="21"/>
                                    </w:rPr>
                                  </w:pPr>
                                  <w:r>
                                    <w:rPr>
                                      <w:rFonts w:ascii="宋体" w:hAnsi="宋体" w:eastAsia="宋体" w:cs="宋体"/>
                                      <w:sz w:val="21"/>
                                      <w:szCs w:val="21"/>
                                    </w:rPr>
                                    <w:t>资源化利用（外售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8" w:right="237"/>
                                    <w:jc w:val="center"/>
                                    <w:rPr>
                                      <w:rFonts w:ascii="Calibri" w:hAnsi="Calibri" w:eastAsia="Calibri" w:cs="Calibri"/>
                                      <w:sz w:val="21"/>
                                      <w:szCs w:val="21"/>
                                    </w:rPr>
                                  </w:pPr>
                                  <w:r>
                                    <w:rPr>
                                      <w:rFonts w:ascii="Calibri"/>
                                      <w:sz w:val="21"/>
                                    </w:rPr>
                                    <w:t>4</w:t>
                                  </w:r>
                                </w:p>
                              </w:tc>
                              <w:tc>
                                <w:tcPr>
                                  <w:tcW w:w="1352" w:type="dxa"/>
                                  <w:vMerge w:val="continue"/>
                                  <w:tcBorders>
                                    <w:tl2br w:val="nil"/>
                                    <w:tr2bl w:val="nil"/>
                                  </w:tcBorders>
                                </w:tcPr>
                                <w:p/>
                              </w:tc>
                              <w:tc>
                                <w:tcPr>
                                  <w:tcW w:w="2812" w:type="dxa"/>
                                  <w:tcBorders>
                                    <w:tl2br w:val="nil"/>
                                    <w:tr2bl w:val="nil"/>
                                  </w:tcBorders>
                                </w:tcPr>
                                <w:p>
                                  <w:pPr>
                                    <w:pStyle w:val="4069"/>
                                    <w:spacing w:before="2" w:line="240" w:lineRule="auto"/>
                                    <w:ind w:left="560"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粪便、尿液</w:t>
                                  </w:r>
                                </w:p>
                              </w:tc>
                              <w:tc>
                                <w:tcPr>
                                  <w:tcW w:w="820" w:type="dxa"/>
                                  <w:tcBorders>
                                    <w:tl2br w:val="nil"/>
                                    <w:tr2bl w:val="nil"/>
                                  </w:tcBorders>
                                </w:tcPr>
                                <w:p>
                                  <w:pPr>
                                    <w:pStyle w:val="4069"/>
                                    <w:spacing w:before="41" w:line="240" w:lineRule="auto"/>
                                    <w:ind w:left="191" w:right="0"/>
                                    <w:jc w:val="left"/>
                                    <w:rPr>
                                      <w:rFonts w:hint="default" w:ascii="Calibri" w:hAnsi="Calibri" w:eastAsia="宋体" w:cs="Calibri"/>
                                      <w:sz w:val="21"/>
                                      <w:szCs w:val="21"/>
                                      <w:lang w:val="en-US" w:eastAsia="zh-CN"/>
                                    </w:rPr>
                                  </w:pPr>
                                  <w:r>
                                    <w:rPr>
                                      <w:rFonts w:hint="eastAsia" w:ascii="Calibri" w:eastAsia="宋体"/>
                                      <w:sz w:val="21"/>
                                      <w:lang w:val="en-US" w:eastAsia="zh-CN"/>
                                    </w:rPr>
                                    <w:t>610</w:t>
                                  </w:r>
                                </w:p>
                              </w:tc>
                              <w:tc>
                                <w:tcPr>
                                  <w:tcW w:w="1020" w:type="dxa"/>
                                  <w:tcBorders>
                                    <w:tl2br w:val="nil"/>
                                    <w:tr2bl w:val="nil"/>
                                  </w:tcBorders>
                                </w:tcPr>
                                <w:p>
                                  <w:pPr>
                                    <w:pStyle w:val="4069"/>
                                    <w:spacing w:before="2" w:line="240" w:lineRule="auto"/>
                                    <w:ind w:left="189" w:right="0"/>
                                    <w:jc w:val="left"/>
                                    <w:rPr>
                                      <w:rFonts w:ascii="宋体" w:hAnsi="宋体" w:eastAsia="宋体" w:cs="宋体"/>
                                      <w:sz w:val="21"/>
                                      <w:szCs w:val="21"/>
                                    </w:rPr>
                                  </w:pPr>
                                  <w:r>
                                    <w:rPr>
                                      <w:rFonts w:ascii="宋体" w:hAnsi="宋体" w:eastAsia="宋体" w:cs="宋体"/>
                                      <w:sz w:val="21"/>
                                      <w:szCs w:val="21"/>
                                    </w:rPr>
                                    <w:t>副产品</w:t>
                                  </w:r>
                                </w:p>
                              </w:tc>
                              <w:tc>
                                <w:tcPr>
                                  <w:tcW w:w="1870" w:type="dxa"/>
                                  <w:tcBorders>
                                    <w:tl2br w:val="nil"/>
                                    <w:tr2bl w:val="nil"/>
                                  </w:tcBorders>
                                </w:tcPr>
                                <w:p>
                                  <w:pPr>
                                    <w:pStyle w:val="4069"/>
                                    <w:spacing w:before="2" w:line="240" w:lineRule="auto"/>
                                    <w:ind w:left="68" w:right="63"/>
                                    <w:jc w:val="center"/>
                                    <w:rPr>
                                      <w:rFonts w:ascii="宋体" w:hAnsi="宋体" w:eastAsia="宋体" w:cs="宋体"/>
                                      <w:sz w:val="21"/>
                                      <w:szCs w:val="21"/>
                                    </w:rPr>
                                  </w:pPr>
                                  <w:r>
                                    <w:rPr>
                                      <w:rFonts w:ascii="宋体" w:hAnsi="宋体" w:eastAsia="宋体" w:cs="宋体"/>
                                      <w:sz w:val="21"/>
                                      <w:szCs w:val="21"/>
                                    </w:rPr>
                                    <w:t>有机肥厂（外售）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8" w:right="237"/>
                                    <w:jc w:val="center"/>
                                    <w:rPr>
                                      <w:rFonts w:ascii="Calibri" w:hAnsi="Calibri" w:eastAsia="Calibri" w:cs="Calibri"/>
                                      <w:sz w:val="21"/>
                                      <w:szCs w:val="21"/>
                                    </w:rPr>
                                  </w:pPr>
                                  <w:r>
                                    <w:rPr>
                                      <w:rFonts w:ascii="Calibri"/>
                                      <w:sz w:val="21"/>
                                    </w:rPr>
                                    <w:t>5</w:t>
                                  </w: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left="770" w:right="0"/>
                                    <w:jc w:val="left"/>
                                    <w:rPr>
                                      <w:rFonts w:ascii="宋体" w:hAnsi="宋体" w:eastAsia="宋体" w:cs="宋体"/>
                                      <w:sz w:val="21"/>
                                      <w:szCs w:val="21"/>
                                    </w:rPr>
                                  </w:pPr>
                                  <w:r>
                                    <w:rPr>
                                      <w:rFonts w:ascii="宋体" w:hAnsi="宋体" w:eastAsia="宋体" w:cs="宋体"/>
                                      <w:sz w:val="21"/>
                                      <w:szCs w:val="21"/>
                                    </w:rPr>
                                    <w:t>胃肠</w:t>
                                  </w:r>
                                  <w:r>
                                    <w:rPr>
                                      <w:rFonts w:hint="eastAsia" w:ascii="宋体" w:hAnsi="宋体" w:eastAsia="宋体" w:cs="宋体"/>
                                      <w:sz w:val="21"/>
                                      <w:szCs w:val="21"/>
                                      <w:lang w:eastAsia="zh-CN"/>
                                    </w:rPr>
                                    <w:t>溶</w:t>
                                  </w:r>
                                  <w:r>
                                    <w:rPr>
                                      <w:rFonts w:ascii="宋体" w:hAnsi="宋体" w:eastAsia="宋体" w:cs="宋体"/>
                                      <w:sz w:val="21"/>
                                      <w:szCs w:val="21"/>
                                    </w:rPr>
                                    <w:t>物等</w:t>
                                  </w:r>
                                </w:p>
                              </w:tc>
                              <w:tc>
                                <w:tcPr>
                                  <w:tcW w:w="820" w:type="dxa"/>
                                  <w:tcBorders>
                                    <w:tl2br w:val="nil"/>
                                    <w:tr2bl w:val="nil"/>
                                  </w:tcBorders>
                                </w:tcPr>
                                <w:p>
                                  <w:pPr>
                                    <w:pStyle w:val="4069"/>
                                    <w:spacing w:before="41" w:line="240" w:lineRule="auto"/>
                                    <w:ind w:left="191" w:right="0"/>
                                    <w:jc w:val="left"/>
                                    <w:rPr>
                                      <w:rFonts w:hint="default" w:ascii="Calibri" w:hAnsi="Calibri" w:eastAsia="宋体" w:cs="Calibri"/>
                                      <w:sz w:val="21"/>
                                      <w:szCs w:val="21"/>
                                      <w:lang w:val="en-US" w:eastAsia="zh-CN"/>
                                    </w:rPr>
                                  </w:pPr>
                                  <w:r>
                                    <w:rPr>
                                      <w:rFonts w:hint="eastAsia" w:ascii="Calibri" w:eastAsia="宋体"/>
                                      <w:sz w:val="21"/>
                                      <w:lang w:val="en-US" w:eastAsia="zh-CN"/>
                                    </w:rPr>
                                    <w:t>1900</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before="1" w:line="240" w:lineRule="auto"/>
                                    <w:ind w:left="87" w:right="0"/>
                                    <w:jc w:val="left"/>
                                    <w:rPr>
                                      <w:rFonts w:ascii="宋体" w:hAnsi="宋体" w:eastAsia="宋体" w:cs="宋体"/>
                                      <w:sz w:val="21"/>
                                      <w:szCs w:val="21"/>
                                    </w:rPr>
                                  </w:pPr>
                                  <w:r>
                                    <w:rPr>
                                      <w:rFonts w:ascii="宋体" w:hAnsi="宋体" w:eastAsia="宋体" w:cs="宋体"/>
                                      <w:sz w:val="21"/>
                                      <w:szCs w:val="21"/>
                                    </w:rPr>
                                    <w:t>有机肥厂（外售）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tcBorders>
                                    <w:tl2br w:val="nil"/>
                                    <w:tr2bl w:val="nil"/>
                                  </w:tcBorders>
                                </w:tcPr>
                                <w:p>
                                  <w:pPr>
                                    <w:pStyle w:val="4069"/>
                                    <w:spacing w:before="40" w:line="240" w:lineRule="auto"/>
                                    <w:ind w:left="228" w:right="237"/>
                                    <w:jc w:val="center"/>
                                    <w:rPr>
                                      <w:rFonts w:ascii="Calibri" w:hAnsi="Calibri" w:eastAsia="Calibri" w:cs="Calibri"/>
                                      <w:sz w:val="21"/>
                                      <w:szCs w:val="21"/>
                                    </w:rPr>
                                  </w:pPr>
                                  <w:r>
                                    <w:rPr>
                                      <w:rFonts w:ascii="Calibri"/>
                                      <w:sz w:val="21"/>
                                    </w:rPr>
                                    <w:t>6</w:t>
                                  </w: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left="664"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不可食用肉、病变部分</w:t>
                                  </w:r>
                                </w:p>
                              </w:tc>
                              <w:tc>
                                <w:tcPr>
                                  <w:tcW w:w="820" w:type="dxa"/>
                                  <w:tcBorders>
                                    <w:tl2br w:val="nil"/>
                                    <w:tr2bl w:val="nil"/>
                                  </w:tcBorders>
                                </w:tcPr>
                                <w:p>
                                  <w:pPr>
                                    <w:pStyle w:val="4069"/>
                                    <w:spacing w:before="40" w:line="240" w:lineRule="auto"/>
                                    <w:ind w:left="245" w:right="0"/>
                                    <w:jc w:val="left"/>
                                    <w:rPr>
                                      <w:rFonts w:hint="default" w:ascii="Calibri" w:hAnsi="Calibri" w:eastAsia="宋体" w:cs="Calibri"/>
                                      <w:sz w:val="21"/>
                                      <w:szCs w:val="21"/>
                                      <w:lang w:val="en-US" w:eastAsia="zh-CN"/>
                                    </w:rPr>
                                  </w:pPr>
                                  <w:r>
                                    <w:rPr>
                                      <w:rFonts w:hint="eastAsia" w:ascii="Calibri" w:eastAsia="宋体"/>
                                      <w:sz w:val="21"/>
                                      <w:lang w:val="en-US" w:eastAsia="zh-CN"/>
                                    </w:rPr>
                                    <w:t>206</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危险废物</w:t>
                                  </w:r>
                                </w:p>
                              </w:tc>
                              <w:tc>
                                <w:tcPr>
                                  <w:tcW w:w="1870" w:type="dxa"/>
                                  <w:tcBorders>
                                    <w:tl2br w:val="nil"/>
                                    <w:tr2bl w:val="nil"/>
                                  </w:tcBorders>
                                </w:tcPr>
                                <w:p>
                                  <w:pPr>
                                    <w:pStyle w:val="4069"/>
                                    <w:spacing w:before="1" w:line="240" w:lineRule="auto"/>
                                    <w:ind w:left="403" w:right="0"/>
                                    <w:jc w:val="left"/>
                                    <w:rPr>
                                      <w:rFonts w:ascii="宋体" w:hAnsi="宋体" w:eastAsia="宋体" w:cs="宋体"/>
                                      <w:sz w:val="21"/>
                                      <w:szCs w:val="21"/>
                                    </w:rPr>
                                  </w:pPr>
                                  <w:r>
                                    <w:rPr>
                                      <w:rFonts w:ascii="宋体" w:hAnsi="宋体" w:eastAsia="宋体" w:cs="宋体"/>
                                      <w:sz w:val="21"/>
                                      <w:szCs w:val="21"/>
                                    </w:rPr>
                                    <w:t>无害化处理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8" w:right="237"/>
                                    <w:jc w:val="center"/>
                                    <w:rPr>
                                      <w:rFonts w:ascii="Calibri" w:hAnsi="Calibri" w:eastAsia="Calibri" w:cs="Calibri"/>
                                      <w:sz w:val="21"/>
                                      <w:szCs w:val="21"/>
                                    </w:rPr>
                                  </w:pPr>
                                  <w:r>
                                    <w:rPr>
                                      <w:rFonts w:ascii="Calibri"/>
                                      <w:sz w:val="21"/>
                                    </w:rPr>
                                    <w:t>7</w:t>
                                  </w:r>
                                </w:p>
                              </w:tc>
                              <w:tc>
                                <w:tcPr>
                                  <w:tcW w:w="1352" w:type="dxa"/>
                                  <w:vMerge w:val="continue"/>
                                  <w:tcBorders>
                                    <w:tl2br w:val="nil"/>
                                    <w:tr2bl w:val="nil"/>
                                  </w:tcBorders>
                                </w:tcPr>
                                <w:p/>
                              </w:tc>
                              <w:tc>
                                <w:tcPr>
                                  <w:tcW w:w="2812" w:type="dxa"/>
                                  <w:tcBorders>
                                    <w:tl2br w:val="nil"/>
                                    <w:tr2bl w:val="nil"/>
                                  </w:tcBorders>
                                </w:tcPr>
                                <w:p>
                                  <w:pPr>
                                    <w:pStyle w:val="4069"/>
                                    <w:spacing w:before="2" w:line="240" w:lineRule="auto"/>
                                    <w:ind w:left="1171" w:right="1172"/>
                                    <w:jc w:val="center"/>
                                    <w:rPr>
                                      <w:rFonts w:ascii="宋体" w:hAnsi="宋体" w:eastAsia="宋体" w:cs="宋体"/>
                                      <w:sz w:val="21"/>
                                      <w:szCs w:val="21"/>
                                    </w:rPr>
                                  </w:pPr>
                                  <w:r>
                                    <w:rPr>
                                      <w:rFonts w:ascii="宋体" w:hAnsi="宋体" w:eastAsia="宋体" w:cs="宋体"/>
                                      <w:sz w:val="21"/>
                                      <w:szCs w:val="21"/>
                                    </w:rPr>
                                    <w:t>小计</w:t>
                                  </w:r>
                                </w:p>
                              </w:tc>
                              <w:tc>
                                <w:tcPr>
                                  <w:tcW w:w="820" w:type="dxa"/>
                                  <w:tcBorders>
                                    <w:tl2br w:val="nil"/>
                                    <w:tr2bl w:val="nil"/>
                                  </w:tcBorders>
                                </w:tcPr>
                                <w:p>
                                  <w:pPr>
                                    <w:pStyle w:val="4069"/>
                                    <w:spacing w:before="41" w:line="240" w:lineRule="auto"/>
                                    <w:ind w:left="139" w:right="0"/>
                                    <w:jc w:val="left"/>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3166</w:t>
                                  </w:r>
                                </w:p>
                              </w:tc>
                              <w:tc>
                                <w:tcPr>
                                  <w:tcW w:w="1020" w:type="dxa"/>
                                  <w:tcBorders>
                                    <w:tl2br w:val="nil"/>
                                    <w:tr2bl w:val="nil"/>
                                  </w:tcBorders>
                                </w:tcPr>
                                <w:p/>
                              </w:tc>
                              <w:tc>
                                <w:tcPr>
                                  <w:tcW w:w="1870" w:type="dxa"/>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vMerge w:val="restart"/>
                                  <w:tcBorders>
                                    <w:tl2br w:val="nil"/>
                                    <w:tr2bl w:val="nil"/>
                                  </w:tcBorders>
                                </w:tcPr>
                                <w:p>
                                  <w:pPr>
                                    <w:pStyle w:val="4069"/>
                                    <w:spacing w:before="1" w:line="140" w:lineRule="exact"/>
                                    <w:ind w:right="0"/>
                                    <w:jc w:val="left"/>
                                    <w:rPr>
                                      <w:sz w:val="14"/>
                                      <w:szCs w:val="14"/>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228" w:right="237"/>
                                    <w:jc w:val="center"/>
                                    <w:rPr>
                                      <w:rFonts w:ascii="Calibri" w:hAnsi="Calibri" w:eastAsia="Calibri" w:cs="Calibri"/>
                                      <w:sz w:val="21"/>
                                      <w:szCs w:val="21"/>
                                    </w:rPr>
                                  </w:pPr>
                                  <w:r>
                                    <w:rPr>
                                      <w:rFonts w:ascii="Calibri"/>
                                      <w:sz w:val="21"/>
                                    </w:rPr>
                                    <w:t>8</w:t>
                                  </w:r>
                                </w:p>
                              </w:tc>
                              <w:tc>
                                <w:tcPr>
                                  <w:tcW w:w="1352" w:type="dxa"/>
                                  <w:vMerge w:val="restart"/>
                                  <w:tcBorders>
                                    <w:tl2br w:val="nil"/>
                                    <w:tr2bl w:val="nil"/>
                                  </w:tcBorders>
                                </w:tcPr>
                                <w:p>
                                  <w:pPr>
                                    <w:pStyle w:val="4069"/>
                                    <w:spacing w:before="2" w:line="100" w:lineRule="exact"/>
                                    <w:ind w:right="0"/>
                                    <w:jc w:val="left"/>
                                    <w:rPr>
                                      <w:sz w:val="10"/>
                                      <w:szCs w:val="1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145" w:right="0"/>
                                    <w:jc w:val="left"/>
                                    <w:rPr>
                                      <w:rFonts w:ascii="宋体" w:hAnsi="宋体" w:eastAsia="宋体" w:cs="宋体"/>
                                      <w:sz w:val="21"/>
                                      <w:szCs w:val="21"/>
                                    </w:rPr>
                                  </w:pPr>
                                  <w:r>
                                    <w:rPr>
                                      <w:rFonts w:ascii="宋体" w:hAnsi="宋体" w:eastAsia="宋体" w:cs="宋体"/>
                                      <w:sz w:val="21"/>
                                      <w:szCs w:val="21"/>
                                    </w:rPr>
                                    <w:t>污水处理站</w:t>
                                  </w:r>
                                </w:p>
                              </w:tc>
                              <w:tc>
                                <w:tcPr>
                                  <w:tcW w:w="2812" w:type="dxa"/>
                                  <w:tcBorders>
                                    <w:tl2br w:val="nil"/>
                                    <w:tr2bl w:val="nil"/>
                                  </w:tcBorders>
                                </w:tcPr>
                                <w:p>
                                  <w:pPr>
                                    <w:pStyle w:val="4069"/>
                                    <w:spacing w:before="1" w:line="240" w:lineRule="auto"/>
                                    <w:ind w:left="1171" w:right="1172"/>
                                    <w:jc w:val="center"/>
                                    <w:rPr>
                                      <w:rFonts w:ascii="宋体" w:hAnsi="宋体" w:eastAsia="宋体" w:cs="宋体"/>
                                      <w:sz w:val="21"/>
                                      <w:szCs w:val="21"/>
                                    </w:rPr>
                                  </w:pPr>
                                  <w:r>
                                    <w:rPr>
                                      <w:rFonts w:ascii="宋体" w:hAnsi="宋体" w:eastAsia="宋体" w:cs="宋体"/>
                                      <w:sz w:val="21"/>
                                      <w:szCs w:val="21"/>
                                    </w:rPr>
                                    <w:t>栅渣</w:t>
                                  </w:r>
                                </w:p>
                              </w:tc>
                              <w:tc>
                                <w:tcPr>
                                  <w:tcW w:w="820" w:type="dxa"/>
                                  <w:tcBorders>
                                    <w:tl2br w:val="nil"/>
                                    <w:tr2bl w:val="nil"/>
                                  </w:tcBorders>
                                </w:tcPr>
                                <w:p>
                                  <w:pPr>
                                    <w:pStyle w:val="4069"/>
                                    <w:spacing w:before="41" w:line="240" w:lineRule="auto"/>
                                    <w:ind w:left="218" w:right="0"/>
                                    <w:jc w:val="left"/>
                                    <w:rPr>
                                      <w:rFonts w:hint="default" w:ascii="Calibri" w:hAnsi="Calibri" w:eastAsia="宋体" w:cs="Calibri"/>
                                      <w:sz w:val="21"/>
                                      <w:szCs w:val="21"/>
                                      <w:lang w:val="en-US" w:eastAsia="zh-CN"/>
                                    </w:rPr>
                                  </w:pPr>
                                  <w:r>
                                    <w:rPr>
                                      <w:rFonts w:hint="eastAsia" w:ascii="Calibri" w:eastAsia="宋体"/>
                                      <w:sz w:val="21"/>
                                      <w:lang w:val="en-US" w:eastAsia="zh-CN"/>
                                    </w:rPr>
                                    <w:t>3.5</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vMerge w:val="restart"/>
                                  <w:tcBorders>
                                    <w:tl2br w:val="nil"/>
                                    <w:tr2bl w:val="nil"/>
                                  </w:tcBorders>
                                </w:tcPr>
                                <w:p>
                                  <w:pPr>
                                    <w:pStyle w:val="4069"/>
                                    <w:spacing w:before="2" w:line="150" w:lineRule="exact"/>
                                    <w:ind w:right="0"/>
                                    <w:jc w:val="left"/>
                                    <w:rPr>
                                      <w:sz w:val="15"/>
                                      <w:szCs w:val="15"/>
                                    </w:rPr>
                                  </w:pPr>
                                </w:p>
                                <w:p>
                                  <w:pPr>
                                    <w:pStyle w:val="4069"/>
                                    <w:spacing w:line="200" w:lineRule="exact"/>
                                    <w:ind w:right="0"/>
                                    <w:jc w:val="left"/>
                                    <w:rPr>
                                      <w:sz w:val="20"/>
                                      <w:szCs w:val="20"/>
                                    </w:rPr>
                                  </w:pPr>
                                </w:p>
                                <w:p>
                                  <w:pPr>
                                    <w:pStyle w:val="4069"/>
                                    <w:spacing w:line="240" w:lineRule="auto"/>
                                    <w:ind w:left="87" w:right="0"/>
                                    <w:jc w:val="left"/>
                                    <w:rPr>
                                      <w:rFonts w:ascii="宋体" w:hAnsi="宋体" w:eastAsia="宋体" w:cs="宋体"/>
                                      <w:sz w:val="21"/>
                                      <w:szCs w:val="21"/>
                                    </w:rPr>
                                  </w:pPr>
                                  <w:r>
                                    <w:rPr>
                                      <w:rFonts w:ascii="宋体" w:hAnsi="宋体" w:eastAsia="宋体" w:cs="宋体"/>
                                      <w:sz w:val="21"/>
                                      <w:szCs w:val="21"/>
                                    </w:rPr>
                                    <w:t>委托环卫部门处置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right="1"/>
                                    <w:jc w:val="center"/>
                                    <w:rPr>
                                      <w:rFonts w:ascii="宋体" w:hAnsi="宋体" w:eastAsia="宋体" w:cs="宋体"/>
                                      <w:sz w:val="21"/>
                                      <w:szCs w:val="21"/>
                                    </w:rPr>
                                  </w:pPr>
                                  <w:r>
                                    <w:rPr>
                                      <w:rFonts w:ascii="宋体" w:hAnsi="宋体" w:eastAsia="宋体" w:cs="宋体"/>
                                      <w:sz w:val="21"/>
                                      <w:szCs w:val="21"/>
                                    </w:rPr>
                                    <w:t>沉砂</w:t>
                                  </w:r>
                                </w:p>
                              </w:tc>
                              <w:tc>
                                <w:tcPr>
                                  <w:tcW w:w="820" w:type="dxa"/>
                                  <w:tcBorders>
                                    <w:tl2br w:val="nil"/>
                                    <w:tr2bl w:val="nil"/>
                                  </w:tcBorders>
                                </w:tcPr>
                                <w:p>
                                  <w:pPr>
                                    <w:pStyle w:val="4069"/>
                                    <w:spacing w:before="40" w:line="240" w:lineRule="auto"/>
                                    <w:ind w:right="0"/>
                                    <w:jc w:val="center"/>
                                    <w:rPr>
                                      <w:rFonts w:hint="default" w:ascii="Calibri" w:hAnsi="Calibri" w:eastAsia="宋体" w:cs="Calibri"/>
                                      <w:sz w:val="21"/>
                                      <w:szCs w:val="21"/>
                                      <w:lang w:val="en-US" w:eastAsia="zh-CN"/>
                                    </w:rPr>
                                  </w:pPr>
                                  <w:r>
                                    <w:rPr>
                                      <w:rFonts w:hint="eastAsia" w:ascii="Calibri" w:eastAsia="宋体"/>
                                      <w:sz w:val="21"/>
                                      <w:lang w:val="en-US" w:eastAsia="zh-CN"/>
                                    </w:rPr>
                                    <w:t>0.6</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2" w:line="240" w:lineRule="auto"/>
                                    <w:ind w:left="458" w:right="0"/>
                                    <w:jc w:val="left"/>
                                    <w:rPr>
                                      <w:rFonts w:ascii="宋体" w:hAnsi="宋体" w:eastAsia="宋体" w:cs="宋体"/>
                                      <w:sz w:val="21"/>
                                      <w:szCs w:val="21"/>
                                    </w:rPr>
                                  </w:pPr>
                                  <w:r>
                                    <w:rPr>
                                      <w:rFonts w:ascii="宋体" w:hAnsi="宋体" w:eastAsia="宋体" w:cs="宋体"/>
                                      <w:sz w:val="21"/>
                                      <w:szCs w:val="21"/>
                                    </w:rPr>
                                    <w:t>污泥（含水率</w:t>
                                  </w:r>
                                  <w:r>
                                    <w:rPr>
                                      <w:rFonts w:ascii="宋体" w:hAnsi="宋体" w:eastAsia="宋体" w:cs="宋体"/>
                                      <w:spacing w:val="-58"/>
                                      <w:sz w:val="21"/>
                                      <w:szCs w:val="21"/>
                                    </w:rPr>
                                    <w:t xml:space="preserve"> </w:t>
                                  </w:r>
                                  <w:r>
                                    <w:rPr>
                                      <w:rFonts w:ascii="Calibri" w:hAnsi="Calibri" w:eastAsia="Calibri" w:cs="Calibri"/>
                                      <w:spacing w:val="-1"/>
                                      <w:sz w:val="21"/>
                                      <w:szCs w:val="21"/>
                                    </w:rPr>
                                    <w:t>60%</w:t>
                                  </w:r>
                                  <w:r>
                                    <w:rPr>
                                      <w:rFonts w:ascii="宋体" w:hAnsi="宋体" w:eastAsia="宋体" w:cs="宋体"/>
                                      <w:spacing w:val="-1"/>
                                      <w:sz w:val="21"/>
                                      <w:szCs w:val="21"/>
                                    </w:rPr>
                                    <w:t>）</w:t>
                                  </w:r>
                                </w:p>
                              </w:tc>
                              <w:tc>
                                <w:tcPr>
                                  <w:tcW w:w="820" w:type="dxa"/>
                                  <w:tcBorders>
                                    <w:tl2br w:val="nil"/>
                                    <w:tr2bl w:val="nil"/>
                                  </w:tcBorders>
                                </w:tcPr>
                                <w:p>
                                  <w:pPr>
                                    <w:pStyle w:val="4069"/>
                                    <w:spacing w:before="41" w:line="240" w:lineRule="auto"/>
                                    <w:ind w:left="165" w:right="0"/>
                                    <w:jc w:val="left"/>
                                    <w:rPr>
                                      <w:rFonts w:hint="default" w:ascii="Calibri" w:hAnsi="Calibri" w:eastAsia="宋体" w:cs="Calibri"/>
                                      <w:sz w:val="21"/>
                                      <w:szCs w:val="21"/>
                                      <w:lang w:val="en-US" w:eastAsia="zh-CN"/>
                                    </w:rPr>
                                  </w:pPr>
                                  <w:r>
                                    <w:rPr>
                                      <w:rFonts w:hint="eastAsia" w:ascii="Calibri" w:eastAsia="宋体"/>
                                      <w:sz w:val="21"/>
                                      <w:lang w:val="en-US" w:eastAsia="zh-CN"/>
                                    </w:rPr>
                                    <w:t>25.7</w:t>
                                  </w:r>
                                </w:p>
                              </w:tc>
                              <w:tc>
                                <w:tcPr>
                                  <w:tcW w:w="1020" w:type="dxa"/>
                                  <w:tcBorders>
                                    <w:tl2br w:val="nil"/>
                                    <w:tr2bl w:val="nil"/>
                                  </w:tcBorders>
                                </w:tcPr>
                                <w:p>
                                  <w:pPr>
                                    <w:pStyle w:val="4069"/>
                                    <w:spacing w:before="2"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left="874" w:right="0"/>
                                    <w:jc w:val="left"/>
                                    <w:rPr>
                                      <w:rFonts w:ascii="宋体" w:hAnsi="宋体" w:eastAsia="宋体" w:cs="宋体"/>
                                      <w:sz w:val="21"/>
                                      <w:szCs w:val="21"/>
                                    </w:rPr>
                                  </w:pPr>
                                  <w:r>
                                    <w:rPr>
                                      <w:rFonts w:ascii="宋体" w:hAnsi="宋体" w:eastAsia="宋体" w:cs="宋体"/>
                                      <w:sz w:val="21"/>
                                      <w:szCs w:val="21"/>
                                    </w:rPr>
                                    <w:t>废动植物油</w:t>
                                  </w:r>
                                </w:p>
                              </w:tc>
                              <w:tc>
                                <w:tcPr>
                                  <w:tcW w:w="820" w:type="dxa"/>
                                  <w:tcBorders>
                                    <w:tl2br w:val="nil"/>
                                    <w:tr2bl w:val="nil"/>
                                  </w:tcBorders>
                                </w:tcPr>
                                <w:p>
                                  <w:pPr>
                                    <w:pStyle w:val="4069"/>
                                    <w:spacing w:before="41" w:line="240" w:lineRule="auto"/>
                                    <w:ind w:right="0"/>
                                    <w:jc w:val="center"/>
                                    <w:rPr>
                                      <w:rFonts w:hint="default" w:ascii="Calibri" w:hAnsi="Calibri" w:eastAsia="宋体" w:cs="Calibri"/>
                                      <w:sz w:val="21"/>
                                      <w:szCs w:val="21"/>
                                      <w:lang w:val="en-US" w:eastAsia="zh-CN"/>
                                    </w:rPr>
                                  </w:pPr>
                                  <w:r>
                                    <w:rPr>
                                      <w:rFonts w:hint="eastAsia" w:ascii="Calibri" w:eastAsia="宋体"/>
                                      <w:sz w:val="21"/>
                                      <w:lang w:val="en-US" w:eastAsia="zh-CN"/>
                                    </w:rPr>
                                    <w:t>0.9</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before="1" w:line="240" w:lineRule="auto"/>
                                    <w:ind w:left="22" w:right="0"/>
                                    <w:jc w:val="left"/>
                                    <w:rPr>
                                      <w:rFonts w:ascii="宋体" w:hAnsi="宋体" w:eastAsia="宋体" w:cs="宋体"/>
                                      <w:sz w:val="21"/>
                                      <w:szCs w:val="21"/>
                                    </w:rPr>
                                  </w:pPr>
                                  <w:r>
                                    <w:rPr>
                                      <w:rFonts w:ascii="宋体" w:hAnsi="宋体" w:eastAsia="宋体" w:cs="宋体"/>
                                      <w:sz w:val="21"/>
                                      <w:szCs w:val="21"/>
                                    </w:rPr>
                                    <w:t>资源化利用（外售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right="1"/>
                                    <w:jc w:val="center"/>
                                    <w:rPr>
                                      <w:rFonts w:ascii="宋体" w:hAnsi="宋体" w:eastAsia="宋体" w:cs="宋体"/>
                                      <w:sz w:val="21"/>
                                      <w:szCs w:val="21"/>
                                    </w:rPr>
                                  </w:pPr>
                                  <w:r>
                                    <w:rPr>
                                      <w:rFonts w:ascii="宋体" w:hAnsi="宋体" w:eastAsia="宋体" w:cs="宋体"/>
                                      <w:sz w:val="21"/>
                                      <w:szCs w:val="21"/>
                                    </w:rPr>
                                    <w:t>小计</w:t>
                                  </w:r>
                                </w:p>
                              </w:tc>
                              <w:tc>
                                <w:tcPr>
                                  <w:tcW w:w="820" w:type="dxa"/>
                                  <w:tcBorders>
                                    <w:tl2br w:val="nil"/>
                                    <w:tr2bl w:val="nil"/>
                                  </w:tcBorders>
                                </w:tcPr>
                                <w:p>
                                  <w:pPr>
                                    <w:pStyle w:val="4069"/>
                                    <w:spacing w:before="40" w:line="240" w:lineRule="auto"/>
                                    <w:ind w:left="165" w:right="0"/>
                                    <w:jc w:val="left"/>
                                    <w:rPr>
                                      <w:rFonts w:hint="default" w:ascii="Calibri" w:hAnsi="Calibri" w:eastAsia="宋体" w:cs="Calibri"/>
                                      <w:sz w:val="21"/>
                                      <w:szCs w:val="21"/>
                                      <w:lang w:val="en-US" w:eastAsia="zh-CN"/>
                                    </w:rPr>
                                  </w:pPr>
                                  <w:r>
                                    <w:rPr>
                                      <w:rFonts w:ascii="Calibri"/>
                                      <w:sz w:val="21"/>
                                    </w:rPr>
                                    <w:t>30</w:t>
                                  </w:r>
                                  <w:r>
                                    <w:rPr>
                                      <w:rFonts w:hint="eastAsia" w:ascii="Calibri" w:eastAsia="宋体"/>
                                      <w:sz w:val="21"/>
                                      <w:lang w:val="en-US" w:eastAsia="zh-CN"/>
                                    </w:rPr>
                                    <w:t>.7</w:t>
                                  </w:r>
                                </w:p>
                              </w:tc>
                              <w:tc>
                                <w:tcPr>
                                  <w:tcW w:w="1020" w:type="dxa"/>
                                  <w:tcBorders>
                                    <w:tl2br w:val="nil"/>
                                    <w:tr2bl w:val="nil"/>
                                  </w:tcBorders>
                                </w:tcPr>
                                <w:p/>
                              </w:tc>
                              <w:tc>
                                <w:tcPr>
                                  <w:tcW w:w="1870" w:type="dxa"/>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5" w:hRule="exact"/>
                              </w:trPr>
                              <w:tc>
                                <w:tcPr>
                                  <w:tcW w:w="631" w:type="dxa"/>
                                  <w:tcBorders>
                                    <w:tl2br w:val="nil"/>
                                    <w:tr2bl w:val="nil"/>
                                  </w:tcBorders>
                                </w:tcPr>
                                <w:p>
                                  <w:pPr>
                                    <w:pStyle w:val="4069"/>
                                    <w:spacing w:before="3" w:line="180" w:lineRule="exact"/>
                                    <w:ind w:right="0"/>
                                    <w:jc w:val="left"/>
                                    <w:rPr>
                                      <w:sz w:val="18"/>
                                      <w:szCs w:val="18"/>
                                    </w:rPr>
                                  </w:pPr>
                                </w:p>
                                <w:p>
                                  <w:pPr>
                                    <w:pStyle w:val="4069"/>
                                    <w:spacing w:line="240" w:lineRule="auto"/>
                                    <w:ind w:right="8"/>
                                    <w:jc w:val="center"/>
                                    <w:rPr>
                                      <w:rFonts w:ascii="Calibri" w:hAnsi="Calibri" w:eastAsia="Calibri" w:cs="Calibri"/>
                                      <w:sz w:val="21"/>
                                      <w:szCs w:val="21"/>
                                    </w:rPr>
                                  </w:pPr>
                                  <w:r>
                                    <w:rPr>
                                      <w:rFonts w:ascii="Calibri"/>
                                      <w:sz w:val="21"/>
                                    </w:rPr>
                                    <w:t>9</w:t>
                                  </w:r>
                                </w:p>
                              </w:tc>
                              <w:tc>
                                <w:tcPr>
                                  <w:tcW w:w="4164" w:type="dxa"/>
                                  <w:gridSpan w:val="2"/>
                                  <w:tcBorders>
                                    <w:tl2br w:val="nil"/>
                                    <w:tr2bl w:val="nil"/>
                                  </w:tcBorders>
                                </w:tcPr>
                                <w:p>
                                  <w:pPr>
                                    <w:pStyle w:val="4069"/>
                                    <w:spacing w:before="144" w:line="240" w:lineRule="auto"/>
                                    <w:ind w:right="2"/>
                                    <w:jc w:val="center"/>
                                    <w:rPr>
                                      <w:rFonts w:ascii="宋体" w:hAnsi="宋体" w:eastAsia="宋体" w:cs="宋体"/>
                                      <w:sz w:val="21"/>
                                      <w:szCs w:val="21"/>
                                    </w:rPr>
                                  </w:pPr>
                                  <w:r>
                                    <w:rPr>
                                      <w:rFonts w:ascii="宋体" w:hAnsi="宋体" w:eastAsia="宋体" w:cs="宋体"/>
                                      <w:sz w:val="21"/>
                                      <w:szCs w:val="21"/>
                                    </w:rPr>
                                    <w:t>生活垃圾</w:t>
                                  </w:r>
                                </w:p>
                              </w:tc>
                              <w:tc>
                                <w:tcPr>
                                  <w:tcW w:w="820" w:type="dxa"/>
                                  <w:tcBorders>
                                    <w:tl2br w:val="nil"/>
                                    <w:tr2bl w:val="nil"/>
                                  </w:tcBorders>
                                </w:tcPr>
                                <w:p>
                                  <w:pPr>
                                    <w:pStyle w:val="4069"/>
                                    <w:spacing w:before="3" w:line="180" w:lineRule="exact"/>
                                    <w:ind w:right="0"/>
                                    <w:jc w:val="left"/>
                                    <w:rPr>
                                      <w:sz w:val="18"/>
                                      <w:szCs w:val="18"/>
                                    </w:rPr>
                                  </w:pPr>
                                </w:p>
                                <w:p>
                                  <w:pPr>
                                    <w:pStyle w:val="4069"/>
                                    <w:spacing w:line="240" w:lineRule="auto"/>
                                    <w:ind w:left="245" w:right="0"/>
                                    <w:jc w:val="left"/>
                                    <w:rPr>
                                      <w:rFonts w:hint="default" w:ascii="Calibri" w:hAnsi="Calibri" w:eastAsia="宋体" w:cs="Calibri"/>
                                      <w:sz w:val="21"/>
                                      <w:szCs w:val="21"/>
                                      <w:lang w:val="en-US" w:eastAsia="zh-CN"/>
                                    </w:rPr>
                                  </w:pPr>
                                  <w:r>
                                    <w:rPr>
                                      <w:rFonts w:hint="eastAsia" w:ascii="Calibri" w:eastAsia="宋体"/>
                                      <w:spacing w:val="-1"/>
                                      <w:sz w:val="21"/>
                                      <w:lang w:val="en-US" w:eastAsia="zh-CN"/>
                                    </w:rPr>
                                    <w:t>156.6</w:t>
                                  </w:r>
                                </w:p>
                              </w:tc>
                              <w:tc>
                                <w:tcPr>
                                  <w:tcW w:w="1020" w:type="dxa"/>
                                  <w:tcBorders>
                                    <w:tl2br w:val="nil"/>
                                    <w:tr2bl w:val="nil"/>
                                  </w:tcBorders>
                                </w:tcPr>
                                <w:p>
                                  <w:pPr>
                                    <w:pStyle w:val="4069"/>
                                    <w:spacing w:before="144"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line="260" w:lineRule="exact"/>
                                    <w:ind w:left="68" w:right="63"/>
                                    <w:jc w:val="center"/>
                                    <w:rPr>
                                      <w:rFonts w:ascii="宋体" w:hAnsi="宋体" w:eastAsia="宋体" w:cs="宋体"/>
                                      <w:sz w:val="21"/>
                                      <w:szCs w:val="21"/>
                                    </w:rPr>
                                  </w:pPr>
                                  <w:r>
                                    <w:rPr>
                                      <w:rFonts w:ascii="宋体" w:hAnsi="宋体" w:eastAsia="宋体" w:cs="宋体"/>
                                      <w:sz w:val="21"/>
                                      <w:szCs w:val="21"/>
                                    </w:rPr>
                                    <w:t>清运至附近的生活</w:t>
                                  </w:r>
                                </w:p>
                                <w:p>
                                  <w:pPr>
                                    <w:pStyle w:val="4069"/>
                                    <w:spacing w:before="40" w:line="240" w:lineRule="auto"/>
                                    <w:ind w:left="5" w:right="0"/>
                                    <w:jc w:val="center"/>
                                    <w:rPr>
                                      <w:rFonts w:ascii="宋体" w:hAnsi="宋体" w:eastAsia="宋体" w:cs="宋体"/>
                                      <w:sz w:val="21"/>
                                      <w:szCs w:val="21"/>
                                    </w:rPr>
                                  </w:pPr>
                                  <w:r>
                                    <w:rPr>
                                      <w:rFonts w:ascii="宋体" w:hAnsi="宋体" w:eastAsia="宋体" w:cs="宋体"/>
                                      <w:sz w:val="21"/>
                                      <w:szCs w:val="21"/>
                                    </w:rPr>
                                    <w:t>垃圾转运站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exact"/>
                              </w:trPr>
                              <w:tc>
                                <w:tcPr>
                                  <w:tcW w:w="631" w:type="dxa"/>
                                  <w:tcBorders>
                                    <w:tl2br w:val="nil"/>
                                    <w:tr2bl w:val="nil"/>
                                  </w:tcBorders>
                                </w:tcPr>
                                <w:p>
                                  <w:pPr>
                                    <w:pStyle w:val="4069"/>
                                    <w:spacing w:before="40" w:line="240" w:lineRule="auto"/>
                                    <w:ind w:left="195" w:right="0"/>
                                    <w:jc w:val="left"/>
                                    <w:rPr>
                                      <w:rFonts w:ascii="Calibri" w:hAnsi="Calibri" w:eastAsia="Calibri" w:cs="Calibri"/>
                                      <w:sz w:val="21"/>
                                      <w:szCs w:val="21"/>
                                    </w:rPr>
                                  </w:pPr>
                                  <w:r>
                                    <w:rPr>
                                      <w:rFonts w:ascii="Calibri"/>
                                      <w:sz w:val="21"/>
                                    </w:rPr>
                                    <w:t>10</w:t>
                                  </w:r>
                                </w:p>
                              </w:tc>
                              <w:tc>
                                <w:tcPr>
                                  <w:tcW w:w="4164" w:type="dxa"/>
                                  <w:gridSpan w:val="2"/>
                                  <w:tcBorders>
                                    <w:tl2br w:val="nil"/>
                                    <w:tr2bl w:val="nil"/>
                                  </w:tcBorders>
                                </w:tcPr>
                                <w:p>
                                  <w:pPr>
                                    <w:pStyle w:val="4069"/>
                                    <w:spacing w:before="1" w:line="240" w:lineRule="auto"/>
                                    <w:ind w:right="2"/>
                                    <w:jc w:val="center"/>
                                    <w:rPr>
                                      <w:rFonts w:ascii="宋体" w:hAnsi="宋体" w:eastAsia="宋体" w:cs="宋体"/>
                                      <w:sz w:val="21"/>
                                      <w:szCs w:val="21"/>
                                    </w:rPr>
                                  </w:pPr>
                                  <w:r>
                                    <w:rPr>
                                      <w:rFonts w:ascii="宋体" w:hAnsi="宋体" w:eastAsia="宋体" w:cs="宋体"/>
                                      <w:sz w:val="21"/>
                                      <w:szCs w:val="21"/>
                                    </w:rPr>
                                    <w:t>合计</w:t>
                                  </w:r>
                                </w:p>
                              </w:tc>
                              <w:tc>
                                <w:tcPr>
                                  <w:tcW w:w="820" w:type="dxa"/>
                                  <w:tcBorders>
                                    <w:tl2br w:val="nil"/>
                                    <w:tr2bl w:val="nil"/>
                                  </w:tcBorders>
                                </w:tcPr>
                                <w:p>
                                  <w:pPr>
                                    <w:pStyle w:val="4069"/>
                                    <w:spacing w:before="40" w:line="240" w:lineRule="auto"/>
                                    <w:ind w:left="59" w:right="0"/>
                                    <w:jc w:val="left"/>
                                    <w:rPr>
                                      <w:rFonts w:hint="default" w:ascii="Calibri" w:hAnsi="Calibri" w:eastAsia="宋体" w:cs="Calibri"/>
                                      <w:sz w:val="21"/>
                                      <w:szCs w:val="21"/>
                                      <w:lang w:val="en-US" w:eastAsia="zh-CN"/>
                                    </w:rPr>
                                  </w:pPr>
                                  <w:r>
                                    <w:rPr>
                                      <w:rFonts w:hint="eastAsia" w:ascii="Calibri" w:eastAsia="宋体"/>
                                      <w:sz w:val="21"/>
                                      <w:lang w:val="en-US" w:eastAsia="zh-CN"/>
                                    </w:rPr>
                                    <w:t>6685.18</w:t>
                                  </w:r>
                                </w:p>
                              </w:tc>
                              <w:tc>
                                <w:tcPr>
                                  <w:tcW w:w="1020" w:type="dxa"/>
                                  <w:tcBorders>
                                    <w:tl2br w:val="nil"/>
                                    <w:tr2bl w:val="nil"/>
                                  </w:tcBorders>
                                </w:tcPr>
                                <w:p/>
                              </w:tc>
                              <w:tc>
                                <w:tcPr>
                                  <w:tcW w:w="1870" w:type="dxa"/>
                                  <w:tcBorders>
                                    <w:tl2br w:val="nil"/>
                                    <w:tr2bl w:val="nil"/>
                                  </w:tcBorders>
                                </w:tcPr>
                                <w:p/>
                              </w:tc>
                            </w:tr>
                          </w:tbl>
                          <w:p/>
                        </w:txbxContent>
                      </wps:txbx>
                      <wps:bodyPr lIns="0" tIns="0" rIns="0" bIns="0" upright="1"/>
                    </wps:wsp>
                  </a:graphicData>
                </a:graphic>
              </wp:anchor>
            </w:drawing>
          </mc:Choice>
          <mc:Fallback>
            <w:pict>
              <v:shape id="_x0000_s1026" o:spid="_x0000_s1026" o:spt="202" type="#_x0000_t202" style="position:absolute;left:0pt;margin-left:84.3pt;margin-top:-67.15pt;height:294.8pt;width:427.35pt;mso-position-horizontal-relative:page;z-index:2025286656;mso-width-relative:page;mso-height-relative:page;" filled="f" stroked="f" coordsize="21600,21600" o:gfxdata="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7ZpUPbAAAADQEA&#10;AA8AAAAAAAAAAQAgAAAAIgAAAGRycy9kb3ducmV2LnhtbFBLAQIUABQAAAAIAIdO4kD3ArGhpQEA&#10;ACkDAAAOAAAAAAAAAAEAIAAAACoBAABkcnMvZTJvRG9jLnhtbFBLBQYAAAAABgAGAFkBAABBBQAA&#10;AAA=&#10;">
                <v:fill on="f" focussize="0,0"/>
                <v:stroke on="f"/>
                <v:imagedata o:title=""/>
                <o:lock v:ext="edit" aspectratio="f"/>
                <v:textbox inset="0mm,0mm,0mm,0mm">
                  <w:txbxContent>
                    <w:tbl>
                      <w:tblPr>
                        <w:tblStyle w:val="88"/>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1"/>
                        <w:gridCol w:w="1352"/>
                        <w:gridCol w:w="2812"/>
                        <w:gridCol w:w="820"/>
                        <w:gridCol w:w="1020"/>
                        <w:gridCol w:w="187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exact"/>
                        </w:trPr>
                        <w:tc>
                          <w:tcPr>
                            <w:tcW w:w="631" w:type="dxa"/>
                            <w:tcBorders>
                              <w:tl2br w:val="nil"/>
                              <w:tr2bl w:val="nil"/>
                            </w:tcBorders>
                          </w:tcPr>
                          <w:p>
                            <w:pPr>
                              <w:pStyle w:val="4069"/>
                              <w:spacing w:before="161" w:line="240" w:lineRule="auto"/>
                              <w:ind w:left="91" w:right="0"/>
                              <w:jc w:val="left"/>
                              <w:rPr>
                                <w:rFonts w:ascii="宋体" w:hAnsi="宋体" w:eastAsia="宋体" w:cs="宋体"/>
                                <w:sz w:val="21"/>
                                <w:szCs w:val="21"/>
                              </w:rPr>
                            </w:pPr>
                            <w:r>
                              <w:rPr>
                                <w:rFonts w:ascii="宋体" w:hAnsi="宋体" w:eastAsia="宋体" w:cs="宋体"/>
                                <w:spacing w:val="1"/>
                                <w:sz w:val="21"/>
                                <w:szCs w:val="21"/>
                              </w:rPr>
                              <w:t>序号</w:t>
                            </w:r>
                          </w:p>
                        </w:tc>
                        <w:tc>
                          <w:tcPr>
                            <w:tcW w:w="4164" w:type="dxa"/>
                            <w:gridSpan w:val="2"/>
                            <w:tcBorders>
                              <w:tl2br w:val="nil"/>
                              <w:tr2bl w:val="nil"/>
                            </w:tcBorders>
                          </w:tcPr>
                          <w:p>
                            <w:pPr>
                              <w:pStyle w:val="4069"/>
                              <w:spacing w:before="161" w:line="240" w:lineRule="auto"/>
                              <w:ind w:right="0"/>
                              <w:jc w:val="center"/>
                              <w:rPr>
                                <w:rFonts w:ascii="宋体" w:hAnsi="宋体" w:eastAsia="宋体" w:cs="宋体"/>
                                <w:sz w:val="21"/>
                                <w:szCs w:val="21"/>
                              </w:rPr>
                            </w:pPr>
                            <w:r>
                              <w:rPr>
                                <w:rFonts w:ascii="宋体" w:hAnsi="宋体" w:eastAsia="宋体" w:cs="宋体"/>
                                <w:spacing w:val="1"/>
                                <w:sz w:val="21"/>
                                <w:szCs w:val="21"/>
                              </w:rPr>
                              <w:t>名称</w:t>
                            </w:r>
                          </w:p>
                        </w:tc>
                        <w:tc>
                          <w:tcPr>
                            <w:tcW w:w="820" w:type="dxa"/>
                            <w:tcBorders>
                              <w:tl2br w:val="nil"/>
                              <w:tr2bl w:val="nil"/>
                            </w:tcBorders>
                          </w:tcPr>
                          <w:p>
                            <w:pPr>
                              <w:pStyle w:val="4069"/>
                              <w:spacing w:before="5" w:line="240" w:lineRule="auto"/>
                              <w:ind w:left="90" w:right="0"/>
                              <w:jc w:val="left"/>
                              <w:rPr>
                                <w:rFonts w:ascii="宋体" w:hAnsi="宋体" w:eastAsia="宋体" w:cs="宋体"/>
                                <w:sz w:val="21"/>
                                <w:szCs w:val="21"/>
                              </w:rPr>
                            </w:pPr>
                            <w:r>
                              <w:rPr>
                                <w:rFonts w:ascii="宋体" w:hAnsi="宋体" w:eastAsia="宋体" w:cs="宋体"/>
                                <w:sz w:val="21"/>
                                <w:szCs w:val="21"/>
                              </w:rPr>
                              <w:t>产生量</w:t>
                            </w:r>
                          </w:p>
                          <w:p>
                            <w:pPr>
                              <w:pStyle w:val="4069"/>
                              <w:spacing w:before="40" w:line="240" w:lineRule="auto"/>
                              <w:ind w:left="61"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t/a</w:t>
                            </w:r>
                            <w:r>
                              <w:rPr>
                                <w:rFonts w:ascii="宋体" w:hAnsi="宋体" w:eastAsia="宋体" w:cs="宋体"/>
                                <w:sz w:val="21"/>
                                <w:szCs w:val="21"/>
                              </w:rPr>
                              <w:t>）</w:t>
                            </w:r>
                          </w:p>
                        </w:tc>
                        <w:tc>
                          <w:tcPr>
                            <w:tcW w:w="1020" w:type="dxa"/>
                            <w:tcBorders>
                              <w:tl2br w:val="nil"/>
                              <w:tr2bl w:val="nil"/>
                            </w:tcBorders>
                          </w:tcPr>
                          <w:p>
                            <w:pPr>
                              <w:pStyle w:val="4069"/>
                              <w:spacing w:before="161" w:line="240" w:lineRule="auto"/>
                              <w:ind w:left="295" w:right="0"/>
                              <w:jc w:val="left"/>
                              <w:rPr>
                                <w:rFonts w:ascii="宋体" w:hAnsi="宋体" w:eastAsia="宋体" w:cs="宋体"/>
                                <w:sz w:val="21"/>
                                <w:szCs w:val="21"/>
                              </w:rPr>
                            </w:pPr>
                            <w:r>
                              <w:rPr>
                                <w:rFonts w:ascii="宋体" w:hAnsi="宋体" w:eastAsia="宋体" w:cs="宋体"/>
                                <w:spacing w:val="1"/>
                                <w:sz w:val="21"/>
                                <w:szCs w:val="21"/>
                              </w:rPr>
                              <w:t>属性</w:t>
                            </w:r>
                          </w:p>
                        </w:tc>
                        <w:tc>
                          <w:tcPr>
                            <w:tcW w:w="1870" w:type="dxa"/>
                            <w:tcBorders>
                              <w:tl2br w:val="nil"/>
                              <w:tr2bl w:val="nil"/>
                            </w:tcBorders>
                          </w:tcPr>
                          <w:p>
                            <w:pPr>
                              <w:pStyle w:val="4069"/>
                              <w:spacing w:before="161" w:line="240" w:lineRule="auto"/>
                              <w:ind w:left="507" w:right="0"/>
                              <w:jc w:val="left"/>
                              <w:rPr>
                                <w:rFonts w:ascii="宋体" w:hAnsi="宋体" w:eastAsia="宋体" w:cs="宋体"/>
                                <w:sz w:val="21"/>
                                <w:szCs w:val="21"/>
                              </w:rPr>
                            </w:pPr>
                            <w:r>
                              <w:rPr>
                                <w:rFonts w:ascii="宋体" w:hAnsi="宋体" w:eastAsia="宋体" w:cs="宋体"/>
                                <w:sz w:val="21"/>
                                <w:szCs w:val="21"/>
                              </w:rPr>
                              <w:t>处理措施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right="8"/>
                              <w:jc w:val="center"/>
                              <w:rPr>
                                <w:rFonts w:ascii="Calibri" w:hAnsi="Calibri" w:eastAsia="Calibri" w:cs="Calibri"/>
                                <w:sz w:val="21"/>
                                <w:szCs w:val="21"/>
                              </w:rPr>
                            </w:pPr>
                            <w:r>
                              <w:rPr>
                                <w:rFonts w:ascii="Calibri"/>
                                <w:sz w:val="21"/>
                              </w:rPr>
                              <w:t>1</w:t>
                            </w:r>
                          </w:p>
                        </w:tc>
                        <w:tc>
                          <w:tcPr>
                            <w:tcW w:w="4164" w:type="dxa"/>
                            <w:gridSpan w:val="2"/>
                            <w:tcBorders>
                              <w:tl2br w:val="nil"/>
                              <w:tr2bl w:val="nil"/>
                            </w:tcBorders>
                          </w:tcPr>
                          <w:p>
                            <w:pPr>
                              <w:pStyle w:val="4069"/>
                              <w:spacing w:before="2" w:line="240" w:lineRule="auto"/>
                              <w:ind w:left="921" w:right="0"/>
                              <w:jc w:val="left"/>
                              <w:rPr>
                                <w:rFonts w:ascii="宋体" w:hAnsi="宋体" w:eastAsia="宋体" w:cs="宋体"/>
                                <w:sz w:val="21"/>
                                <w:szCs w:val="21"/>
                              </w:rPr>
                            </w:pPr>
                            <w:r>
                              <w:rPr>
                                <w:rFonts w:ascii="宋体" w:hAnsi="宋体" w:eastAsia="宋体" w:cs="宋体"/>
                                <w:sz w:val="21"/>
                                <w:szCs w:val="21"/>
                              </w:rPr>
                              <w:t>病、死牲畜及病牲畜产品</w:t>
                            </w:r>
                          </w:p>
                        </w:tc>
                        <w:tc>
                          <w:tcPr>
                            <w:tcW w:w="820" w:type="dxa"/>
                            <w:tcBorders>
                              <w:tl2br w:val="nil"/>
                              <w:tr2bl w:val="nil"/>
                            </w:tcBorders>
                          </w:tcPr>
                          <w:p>
                            <w:pPr>
                              <w:pStyle w:val="4069"/>
                              <w:spacing w:before="41" w:line="240" w:lineRule="auto"/>
                              <w:ind w:left="246" w:right="0"/>
                              <w:jc w:val="left"/>
                              <w:rPr>
                                <w:rFonts w:hint="default" w:ascii="Calibri" w:hAnsi="Calibri" w:eastAsia="宋体" w:cs="Calibri"/>
                                <w:sz w:val="21"/>
                                <w:szCs w:val="21"/>
                                <w:lang w:val="en-US" w:eastAsia="zh-CN"/>
                              </w:rPr>
                            </w:pPr>
                            <w:r>
                              <w:rPr>
                                <w:rFonts w:hint="eastAsia" w:ascii="Calibri" w:eastAsia="宋体"/>
                                <w:sz w:val="21"/>
                                <w:lang w:val="en-US" w:eastAsia="zh-CN"/>
                              </w:rPr>
                              <w:t>4.5</w:t>
                            </w:r>
                          </w:p>
                        </w:tc>
                        <w:tc>
                          <w:tcPr>
                            <w:tcW w:w="1020" w:type="dxa"/>
                            <w:tcBorders>
                              <w:tl2br w:val="nil"/>
                              <w:tr2bl w:val="nil"/>
                            </w:tcBorders>
                          </w:tcPr>
                          <w:p>
                            <w:pPr>
                              <w:pStyle w:val="4069"/>
                              <w:spacing w:before="2" w:line="240" w:lineRule="auto"/>
                              <w:ind w:left="85" w:right="0"/>
                              <w:jc w:val="left"/>
                              <w:rPr>
                                <w:rFonts w:ascii="宋体" w:hAnsi="宋体" w:eastAsia="宋体" w:cs="宋体"/>
                                <w:sz w:val="21"/>
                                <w:szCs w:val="21"/>
                              </w:rPr>
                            </w:pPr>
                            <w:r>
                              <w:rPr>
                                <w:rFonts w:ascii="宋体" w:hAnsi="宋体" w:eastAsia="宋体" w:cs="宋体"/>
                                <w:sz w:val="21"/>
                                <w:szCs w:val="21"/>
                              </w:rPr>
                              <w:t>危险废物</w:t>
                            </w:r>
                          </w:p>
                        </w:tc>
                        <w:tc>
                          <w:tcPr>
                            <w:tcW w:w="1870" w:type="dxa"/>
                            <w:tcBorders>
                              <w:tl2br w:val="nil"/>
                              <w:tr2bl w:val="nil"/>
                            </w:tcBorders>
                          </w:tcPr>
                          <w:p>
                            <w:pPr>
                              <w:pStyle w:val="4069"/>
                              <w:spacing w:before="2" w:line="240" w:lineRule="auto"/>
                              <w:ind w:left="403" w:right="0"/>
                              <w:jc w:val="left"/>
                              <w:rPr>
                                <w:rFonts w:ascii="宋体" w:hAnsi="宋体" w:eastAsia="宋体" w:cs="宋体"/>
                                <w:sz w:val="21"/>
                                <w:szCs w:val="21"/>
                              </w:rPr>
                            </w:pPr>
                            <w:r>
                              <w:rPr>
                                <w:rFonts w:ascii="宋体" w:hAnsi="宋体" w:eastAsia="宋体" w:cs="宋体"/>
                                <w:sz w:val="21"/>
                                <w:szCs w:val="21"/>
                              </w:rPr>
                              <w:t>无害化处理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9" w:right="238"/>
                              <w:jc w:val="center"/>
                              <w:rPr>
                                <w:rFonts w:ascii="Calibri" w:hAnsi="Calibri" w:eastAsia="Calibri" w:cs="Calibri"/>
                                <w:sz w:val="21"/>
                                <w:szCs w:val="21"/>
                              </w:rPr>
                            </w:pPr>
                            <w:r>
                              <w:rPr>
                                <w:rFonts w:ascii="Calibri"/>
                                <w:sz w:val="21"/>
                              </w:rPr>
                              <w:t>2</w:t>
                            </w:r>
                          </w:p>
                        </w:tc>
                        <w:tc>
                          <w:tcPr>
                            <w:tcW w:w="4164" w:type="dxa"/>
                            <w:gridSpan w:val="2"/>
                            <w:tcBorders>
                              <w:tl2br w:val="nil"/>
                              <w:tr2bl w:val="nil"/>
                            </w:tcBorders>
                          </w:tcPr>
                          <w:p>
                            <w:pPr>
                              <w:pStyle w:val="4069"/>
                              <w:spacing w:before="1" w:line="240" w:lineRule="auto"/>
                              <w:ind w:left="1236" w:right="0"/>
                              <w:jc w:val="left"/>
                              <w:rPr>
                                <w:rFonts w:ascii="宋体" w:hAnsi="宋体" w:eastAsia="宋体" w:cs="宋体"/>
                                <w:sz w:val="21"/>
                                <w:szCs w:val="21"/>
                              </w:rPr>
                            </w:pPr>
                            <w:r>
                              <w:rPr>
                                <w:rFonts w:ascii="宋体" w:hAnsi="宋体" w:eastAsia="宋体" w:cs="宋体"/>
                                <w:sz w:val="21"/>
                                <w:szCs w:val="21"/>
                              </w:rPr>
                              <w:t>待宰区产生的粪便</w:t>
                            </w:r>
                          </w:p>
                        </w:tc>
                        <w:tc>
                          <w:tcPr>
                            <w:tcW w:w="820" w:type="dxa"/>
                            <w:tcBorders>
                              <w:tl2br w:val="nil"/>
                              <w:tr2bl w:val="nil"/>
                            </w:tcBorders>
                          </w:tcPr>
                          <w:p>
                            <w:pPr>
                              <w:pStyle w:val="4069"/>
                              <w:spacing w:before="41" w:line="240" w:lineRule="auto"/>
                              <w:ind w:left="112" w:right="0"/>
                              <w:jc w:val="left"/>
                              <w:rPr>
                                <w:rFonts w:ascii="Calibri" w:hAnsi="Calibri" w:eastAsia="Calibri" w:cs="Calibri"/>
                                <w:sz w:val="21"/>
                                <w:szCs w:val="21"/>
                              </w:rPr>
                            </w:pPr>
                            <w:r>
                              <w:rPr>
                                <w:rFonts w:hint="eastAsia"/>
                                <w:spacing w:val="3"/>
                                <w:lang w:val="en-US" w:eastAsia="zh-CN"/>
                              </w:rPr>
                              <w:t>130.68</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before="1" w:line="240" w:lineRule="auto"/>
                              <w:ind w:left="87" w:right="0"/>
                              <w:jc w:val="left"/>
                              <w:rPr>
                                <w:rFonts w:ascii="宋体" w:hAnsi="宋体" w:eastAsia="宋体" w:cs="宋体"/>
                                <w:sz w:val="21"/>
                                <w:szCs w:val="21"/>
                              </w:rPr>
                            </w:pPr>
                            <w:r>
                              <w:rPr>
                                <w:rFonts w:ascii="宋体" w:hAnsi="宋体" w:eastAsia="宋体" w:cs="宋体"/>
                                <w:sz w:val="21"/>
                                <w:szCs w:val="21"/>
                              </w:rPr>
                              <w:t>有机肥厂（外售）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tcBorders>
                              <w:tl2br w:val="nil"/>
                              <w:tr2bl w:val="nil"/>
                            </w:tcBorders>
                          </w:tcPr>
                          <w:p>
                            <w:pPr>
                              <w:pStyle w:val="4069"/>
                              <w:spacing w:before="40" w:line="240" w:lineRule="auto"/>
                              <w:ind w:left="229" w:right="238"/>
                              <w:jc w:val="center"/>
                              <w:rPr>
                                <w:rFonts w:ascii="Calibri" w:hAnsi="Calibri" w:eastAsia="Calibri" w:cs="Calibri"/>
                                <w:sz w:val="21"/>
                                <w:szCs w:val="21"/>
                              </w:rPr>
                            </w:pPr>
                            <w:r>
                              <w:rPr>
                                <w:rFonts w:ascii="Calibri"/>
                                <w:sz w:val="21"/>
                              </w:rPr>
                              <w:t>3</w:t>
                            </w:r>
                          </w:p>
                        </w:tc>
                        <w:tc>
                          <w:tcPr>
                            <w:tcW w:w="1352" w:type="dxa"/>
                            <w:vMerge w:val="restart"/>
                            <w:tcBorders>
                              <w:tl2br w:val="nil"/>
                              <w:tr2bl w:val="nil"/>
                            </w:tcBorders>
                          </w:tcPr>
                          <w:p>
                            <w:pPr>
                              <w:pStyle w:val="4069"/>
                              <w:spacing w:before="1" w:line="100" w:lineRule="exact"/>
                              <w:ind w:right="0"/>
                              <w:jc w:val="left"/>
                              <w:rPr>
                                <w:sz w:val="10"/>
                                <w:szCs w:val="1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40" w:right="0"/>
                              <w:jc w:val="left"/>
                              <w:rPr>
                                <w:rFonts w:ascii="宋体" w:hAnsi="宋体" w:eastAsia="宋体" w:cs="宋体"/>
                                <w:sz w:val="21"/>
                                <w:szCs w:val="21"/>
                              </w:rPr>
                            </w:pPr>
                            <w:r>
                              <w:rPr>
                                <w:rFonts w:ascii="宋体" w:hAnsi="宋体" w:eastAsia="宋体" w:cs="宋体"/>
                                <w:sz w:val="21"/>
                                <w:szCs w:val="21"/>
                              </w:rPr>
                              <w:t>屠宰加工废物</w:t>
                            </w:r>
                          </w:p>
                        </w:tc>
                        <w:tc>
                          <w:tcPr>
                            <w:tcW w:w="2812" w:type="dxa"/>
                            <w:tcBorders>
                              <w:tl2br w:val="nil"/>
                              <w:tr2bl w:val="nil"/>
                            </w:tcBorders>
                          </w:tcPr>
                          <w:p>
                            <w:pPr>
                              <w:pStyle w:val="4069"/>
                              <w:spacing w:before="1" w:line="240" w:lineRule="auto"/>
                              <w:ind w:left="244"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牛副产品</w:t>
                            </w:r>
                          </w:p>
                        </w:tc>
                        <w:tc>
                          <w:tcPr>
                            <w:tcW w:w="820" w:type="dxa"/>
                            <w:tcBorders>
                              <w:tl2br w:val="nil"/>
                              <w:tr2bl w:val="nil"/>
                            </w:tcBorders>
                          </w:tcPr>
                          <w:p>
                            <w:pPr>
                              <w:pStyle w:val="4069"/>
                              <w:spacing w:before="40" w:line="240" w:lineRule="auto"/>
                              <w:ind w:left="191" w:right="0"/>
                              <w:jc w:val="left"/>
                              <w:rPr>
                                <w:rFonts w:hint="default" w:ascii="Calibri" w:hAnsi="Calibri" w:eastAsia="宋体" w:cs="Calibri"/>
                                <w:sz w:val="21"/>
                                <w:szCs w:val="21"/>
                                <w:lang w:val="en-US" w:eastAsia="zh-CN"/>
                              </w:rPr>
                            </w:pPr>
                            <w:r>
                              <w:rPr>
                                <w:rFonts w:hint="eastAsia" w:ascii="Calibri" w:eastAsia="宋体"/>
                                <w:sz w:val="21"/>
                                <w:lang w:val="en-US" w:eastAsia="zh-CN"/>
                              </w:rPr>
                              <w:t>450</w:t>
                            </w:r>
                          </w:p>
                        </w:tc>
                        <w:tc>
                          <w:tcPr>
                            <w:tcW w:w="1020" w:type="dxa"/>
                            <w:tcBorders>
                              <w:tl2br w:val="nil"/>
                              <w:tr2bl w:val="nil"/>
                            </w:tcBorders>
                          </w:tcPr>
                          <w:p>
                            <w:pPr>
                              <w:pStyle w:val="4069"/>
                              <w:spacing w:before="1" w:line="240" w:lineRule="auto"/>
                              <w:ind w:left="189" w:right="0"/>
                              <w:jc w:val="left"/>
                              <w:rPr>
                                <w:rFonts w:ascii="宋体" w:hAnsi="宋体" w:eastAsia="宋体" w:cs="宋体"/>
                                <w:sz w:val="21"/>
                                <w:szCs w:val="21"/>
                              </w:rPr>
                            </w:pPr>
                            <w:r>
                              <w:rPr>
                                <w:rFonts w:ascii="宋体" w:hAnsi="宋体" w:eastAsia="宋体" w:cs="宋体"/>
                                <w:sz w:val="21"/>
                                <w:szCs w:val="21"/>
                              </w:rPr>
                              <w:t>副产品</w:t>
                            </w:r>
                          </w:p>
                        </w:tc>
                        <w:tc>
                          <w:tcPr>
                            <w:tcW w:w="1870" w:type="dxa"/>
                            <w:tcBorders>
                              <w:tl2br w:val="nil"/>
                              <w:tr2bl w:val="nil"/>
                            </w:tcBorders>
                          </w:tcPr>
                          <w:p>
                            <w:pPr>
                              <w:pStyle w:val="4069"/>
                              <w:spacing w:before="1" w:line="240" w:lineRule="auto"/>
                              <w:ind w:left="22" w:right="0"/>
                              <w:jc w:val="left"/>
                              <w:rPr>
                                <w:rFonts w:ascii="宋体" w:hAnsi="宋体" w:eastAsia="宋体" w:cs="宋体"/>
                                <w:sz w:val="21"/>
                                <w:szCs w:val="21"/>
                              </w:rPr>
                            </w:pPr>
                            <w:r>
                              <w:rPr>
                                <w:rFonts w:ascii="宋体" w:hAnsi="宋体" w:eastAsia="宋体" w:cs="宋体"/>
                                <w:sz w:val="21"/>
                                <w:szCs w:val="21"/>
                              </w:rPr>
                              <w:t>资源化利用（外售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8" w:right="237"/>
                              <w:jc w:val="center"/>
                              <w:rPr>
                                <w:rFonts w:ascii="Calibri" w:hAnsi="Calibri" w:eastAsia="Calibri" w:cs="Calibri"/>
                                <w:sz w:val="21"/>
                                <w:szCs w:val="21"/>
                              </w:rPr>
                            </w:pPr>
                            <w:r>
                              <w:rPr>
                                <w:rFonts w:ascii="Calibri"/>
                                <w:sz w:val="21"/>
                              </w:rPr>
                              <w:t>4</w:t>
                            </w:r>
                          </w:p>
                        </w:tc>
                        <w:tc>
                          <w:tcPr>
                            <w:tcW w:w="1352" w:type="dxa"/>
                            <w:vMerge w:val="continue"/>
                            <w:tcBorders>
                              <w:tl2br w:val="nil"/>
                              <w:tr2bl w:val="nil"/>
                            </w:tcBorders>
                          </w:tcPr>
                          <w:p/>
                        </w:tc>
                        <w:tc>
                          <w:tcPr>
                            <w:tcW w:w="2812" w:type="dxa"/>
                            <w:tcBorders>
                              <w:tl2br w:val="nil"/>
                              <w:tr2bl w:val="nil"/>
                            </w:tcBorders>
                          </w:tcPr>
                          <w:p>
                            <w:pPr>
                              <w:pStyle w:val="4069"/>
                              <w:spacing w:before="2" w:line="240" w:lineRule="auto"/>
                              <w:ind w:left="560"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粪便、尿液</w:t>
                            </w:r>
                          </w:p>
                        </w:tc>
                        <w:tc>
                          <w:tcPr>
                            <w:tcW w:w="820" w:type="dxa"/>
                            <w:tcBorders>
                              <w:tl2br w:val="nil"/>
                              <w:tr2bl w:val="nil"/>
                            </w:tcBorders>
                          </w:tcPr>
                          <w:p>
                            <w:pPr>
                              <w:pStyle w:val="4069"/>
                              <w:spacing w:before="41" w:line="240" w:lineRule="auto"/>
                              <w:ind w:left="191" w:right="0"/>
                              <w:jc w:val="left"/>
                              <w:rPr>
                                <w:rFonts w:hint="default" w:ascii="Calibri" w:hAnsi="Calibri" w:eastAsia="宋体" w:cs="Calibri"/>
                                <w:sz w:val="21"/>
                                <w:szCs w:val="21"/>
                                <w:lang w:val="en-US" w:eastAsia="zh-CN"/>
                              </w:rPr>
                            </w:pPr>
                            <w:r>
                              <w:rPr>
                                <w:rFonts w:hint="eastAsia" w:ascii="Calibri" w:eastAsia="宋体"/>
                                <w:sz w:val="21"/>
                                <w:lang w:val="en-US" w:eastAsia="zh-CN"/>
                              </w:rPr>
                              <w:t>610</w:t>
                            </w:r>
                          </w:p>
                        </w:tc>
                        <w:tc>
                          <w:tcPr>
                            <w:tcW w:w="1020" w:type="dxa"/>
                            <w:tcBorders>
                              <w:tl2br w:val="nil"/>
                              <w:tr2bl w:val="nil"/>
                            </w:tcBorders>
                          </w:tcPr>
                          <w:p>
                            <w:pPr>
                              <w:pStyle w:val="4069"/>
                              <w:spacing w:before="2" w:line="240" w:lineRule="auto"/>
                              <w:ind w:left="189" w:right="0"/>
                              <w:jc w:val="left"/>
                              <w:rPr>
                                <w:rFonts w:ascii="宋体" w:hAnsi="宋体" w:eastAsia="宋体" w:cs="宋体"/>
                                <w:sz w:val="21"/>
                                <w:szCs w:val="21"/>
                              </w:rPr>
                            </w:pPr>
                            <w:r>
                              <w:rPr>
                                <w:rFonts w:ascii="宋体" w:hAnsi="宋体" w:eastAsia="宋体" w:cs="宋体"/>
                                <w:sz w:val="21"/>
                                <w:szCs w:val="21"/>
                              </w:rPr>
                              <w:t>副产品</w:t>
                            </w:r>
                          </w:p>
                        </w:tc>
                        <w:tc>
                          <w:tcPr>
                            <w:tcW w:w="1870" w:type="dxa"/>
                            <w:tcBorders>
                              <w:tl2br w:val="nil"/>
                              <w:tr2bl w:val="nil"/>
                            </w:tcBorders>
                          </w:tcPr>
                          <w:p>
                            <w:pPr>
                              <w:pStyle w:val="4069"/>
                              <w:spacing w:before="2" w:line="240" w:lineRule="auto"/>
                              <w:ind w:left="68" w:right="63"/>
                              <w:jc w:val="center"/>
                              <w:rPr>
                                <w:rFonts w:ascii="宋体" w:hAnsi="宋体" w:eastAsia="宋体" w:cs="宋体"/>
                                <w:sz w:val="21"/>
                                <w:szCs w:val="21"/>
                              </w:rPr>
                            </w:pPr>
                            <w:r>
                              <w:rPr>
                                <w:rFonts w:ascii="宋体" w:hAnsi="宋体" w:eastAsia="宋体" w:cs="宋体"/>
                                <w:sz w:val="21"/>
                                <w:szCs w:val="21"/>
                              </w:rPr>
                              <w:t>有机肥厂（外售）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8" w:right="237"/>
                              <w:jc w:val="center"/>
                              <w:rPr>
                                <w:rFonts w:ascii="Calibri" w:hAnsi="Calibri" w:eastAsia="Calibri" w:cs="Calibri"/>
                                <w:sz w:val="21"/>
                                <w:szCs w:val="21"/>
                              </w:rPr>
                            </w:pPr>
                            <w:r>
                              <w:rPr>
                                <w:rFonts w:ascii="Calibri"/>
                                <w:sz w:val="21"/>
                              </w:rPr>
                              <w:t>5</w:t>
                            </w: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left="770" w:right="0"/>
                              <w:jc w:val="left"/>
                              <w:rPr>
                                <w:rFonts w:ascii="宋体" w:hAnsi="宋体" w:eastAsia="宋体" w:cs="宋体"/>
                                <w:sz w:val="21"/>
                                <w:szCs w:val="21"/>
                              </w:rPr>
                            </w:pPr>
                            <w:r>
                              <w:rPr>
                                <w:rFonts w:ascii="宋体" w:hAnsi="宋体" w:eastAsia="宋体" w:cs="宋体"/>
                                <w:sz w:val="21"/>
                                <w:szCs w:val="21"/>
                              </w:rPr>
                              <w:t>胃肠</w:t>
                            </w:r>
                            <w:r>
                              <w:rPr>
                                <w:rFonts w:hint="eastAsia" w:ascii="宋体" w:hAnsi="宋体" w:eastAsia="宋体" w:cs="宋体"/>
                                <w:sz w:val="21"/>
                                <w:szCs w:val="21"/>
                                <w:lang w:eastAsia="zh-CN"/>
                              </w:rPr>
                              <w:t>溶</w:t>
                            </w:r>
                            <w:r>
                              <w:rPr>
                                <w:rFonts w:ascii="宋体" w:hAnsi="宋体" w:eastAsia="宋体" w:cs="宋体"/>
                                <w:sz w:val="21"/>
                                <w:szCs w:val="21"/>
                              </w:rPr>
                              <w:t>物等</w:t>
                            </w:r>
                          </w:p>
                        </w:tc>
                        <w:tc>
                          <w:tcPr>
                            <w:tcW w:w="820" w:type="dxa"/>
                            <w:tcBorders>
                              <w:tl2br w:val="nil"/>
                              <w:tr2bl w:val="nil"/>
                            </w:tcBorders>
                          </w:tcPr>
                          <w:p>
                            <w:pPr>
                              <w:pStyle w:val="4069"/>
                              <w:spacing w:before="41" w:line="240" w:lineRule="auto"/>
                              <w:ind w:left="191" w:right="0"/>
                              <w:jc w:val="left"/>
                              <w:rPr>
                                <w:rFonts w:hint="default" w:ascii="Calibri" w:hAnsi="Calibri" w:eastAsia="宋体" w:cs="Calibri"/>
                                <w:sz w:val="21"/>
                                <w:szCs w:val="21"/>
                                <w:lang w:val="en-US" w:eastAsia="zh-CN"/>
                              </w:rPr>
                            </w:pPr>
                            <w:r>
                              <w:rPr>
                                <w:rFonts w:hint="eastAsia" w:ascii="Calibri" w:eastAsia="宋体"/>
                                <w:sz w:val="21"/>
                                <w:lang w:val="en-US" w:eastAsia="zh-CN"/>
                              </w:rPr>
                              <w:t>1900</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before="1" w:line="240" w:lineRule="auto"/>
                              <w:ind w:left="87" w:right="0"/>
                              <w:jc w:val="left"/>
                              <w:rPr>
                                <w:rFonts w:ascii="宋体" w:hAnsi="宋体" w:eastAsia="宋体" w:cs="宋体"/>
                                <w:sz w:val="21"/>
                                <w:szCs w:val="21"/>
                              </w:rPr>
                            </w:pPr>
                            <w:r>
                              <w:rPr>
                                <w:rFonts w:ascii="宋体" w:hAnsi="宋体" w:eastAsia="宋体" w:cs="宋体"/>
                                <w:sz w:val="21"/>
                                <w:szCs w:val="21"/>
                              </w:rPr>
                              <w:t>有机肥厂（外售）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tcBorders>
                              <w:tl2br w:val="nil"/>
                              <w:tr2bl w:val="nil"/>
                            </w:tcBorders>
                          </w:tcPr>
                          <w:p>
                            <w:pPr>
                              <w:pStyle w:val="4069"/>
                              <w:spacing w:before="40" w:line="240" w:lineRule="auto"/>
                              <w:ind w:left="228" w:right="237"/>
                              <w:jc w:val="center"/>
                              <w:rPr>
                                <w:rFonts w:ascii="Calibri" w:hAnsi="Calibri" w:eastAsia="Calibri" w:cs="Calibri"/>
                                <w:sz w:val="21"/>
                                <w:szCs w:val="21"/>
                              </w:rPr>
                            </w:pPr>
                            <w:r>
                              <w:rPr>
                                <w:rFonts w:ascii="Calibri"/>
                                <w:sz w:val="21"/>
                              </w:rPr>
                              <w:t>6</w:t>
                            </w: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left="664" w:right="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不可食用肉、病变部分</w:t>
                            </w:r>
                          </w:p>
                        </w:tc>
                        <w:tc>
                          <w:tcPr>
                            <w:tcW w:w="820" w:type="dxa"/>
                            <w:tcBorders>
                              <w:tl2br w:val="nil"/>
                              <w:tr2bl w:val="nil"/>
                            </w:tcBorders>
                          </w:tcPr>
                          <w:p>
                            <w:pPr>
                              <w:pStyle w:val="4069"/>
                              <w:spacing w:before="40" w:line="240" w:lineRule="auto"/>
                              <w:ind w:left="245" w:right="0"/>
                              <w:jc w:val="left"/>
                              <w:rPr>
                                <w:rFonts w:hint="default" w:ascii="Calibri" w:hAnsi="Calibri" w:eastAsia="宋体" w:cs="Calibri"/>
                                <w:sz w:val="21"/>
                                <w:szCs w:val="21"/>
                                <w:lang w:val="en-US" w:eastAsia="zh-CN"/>
                              </w:rPr>
                            </w:pPr>
                            <w:r>
                              <w:rPr>
                                <w:rFonts w:hint="eastAsia" w:ascii="Calibri" w:eastAsia="宋体"/>
                                <w:sz w:val="21"/>
                                <w:lang w:val="en-US" w:eastAsia="zh-CN"/>
                              </w:rPr>
                              <w:t>206</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危险废物</w:t>
                            </w:r>
                          </w:p>
                        </w:tc>
                        <w:tc>
                          <w:tcPr>
                            <w:tcW w:w="1870" w:type="dxa"/>
                            <w:tcBorders>
                              <w:tl2br w:val="nil"/>
                              <w:tr2bl w:val="nil"/>
                            </w:tcBorders>
                          </w:tcPr>
                          <w:p>
                            <w:pPr>
                              <w:pStyle w:val="4069"/>
                              <w:spacing w:before="1" w:line="240" w:lineRule="auto"/>
                              <w:ind w:left="403" w:right="0"/>
                              <w:jc w:val="left"/>
                              <w:rPr>
                                <w:rFonts w:ascii="宋体" w:hAnsi="宋体" w:eastAsia="宋体" w:cs="宋体"/>
                                <w:sz w:val="21"/>
                                <w:szCs w:val="21"/>
                              </w:rPr>
                            </w:pPr>
                            <w:r>
                              <w:rPr>
                                <w:rFonts w:ascii="宋体" w:hAnsi="宋体" w:eastAsia="宋体" w:cs="宋体"/>
                                <w:sz w:val="21"/>
                                <w:szCs w:val="21"/>
                              </w:rPr>
                              <w:t>无害化处理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tcBorders>
                              <w:tl2br w:val="nil"/>
                              <w:tr2bl w:val="nil"/>
                            </w:tcBorders>
                          </w:tcPr>
                          <w:p>
                            <w:pPr>
                              <w:pStyle w:val="4069"/>
                              <w:spacing w:before="41" w:line="240" w:lineRule="auto"/>
                              <w:ind w:left="228" w:right="237"/>
                              <w:jc w:val="center"/>
                              <w:rPr>
                                <w:rFonts w:ascii="Calibri" w:hAnsi="Calibri" w:eastAsia="Calibri" w:cs="Calibri"/>
                                <w:sz w:val="21"/>
                                <w:szCs w:val="21"/>
                              </w:rPr>
                            </w:pPr>
                            <w:r>
                              <w:rPr>
                                <w:rFonts w:ascii="Calibri"/>
                                <w:sz w:val="21"/>
                              </w:rPr>
                              <w:t>7</w:t>
                            </w:r>
                          </w:p>
                        </w:tc>
                        <w:tc>
                          <w:tcPr>
                            <w:tcW w:w="1352" w:type="dxa"/>
                            <w:vMerge w:val="continue"/>
                            <w:tcBorders>
                              <w:tl2br w:val="nil"/>
                              <w:tr2bl w:val="nil"/>
                            </w:tcBorders>
                          </w:tcPr>
                          <w:p/>
                        </w:tc>
                        <w:tc>
                          <w:tcPr>
                            <w:tcW w:w="2812" w:type="dxa"/>
                            <w:tcBorders>
                              <w:tl2br w:val="nil"/>
                              <w:tr2bl w:val="nil"/>
                            </w:tcBorders>
                          </w:tcPr>
                          <w:p>
                            <w:pPr>
                              <w:pStyle w:val="4069"/>
                              <w:spacing w:before="2" w:line="240" w:lineRule="auto"/>
                              <w:ind w:left="1171" w:right="1172"/>
                              <w:jc w:val="center"/>
                              <w:rPr>
                                <w:rFonts w:ascii="宋体" w:hAnsi="宋体" w:eastAsia="宋体" w:cs="宋体"/>
                                <w:sz w:val="21"/>
                                <w:szCs w:val="21"/>
                              </w:rPr>
                            </w:pPr>
                            <w:r>
                              <w:rPr>
                                <w:rFonts w:ascii="宋体" w:hAnsi="宋体" w:eastAsia="宋体" w:cs="宋体"/>
                                <w:sz w:val="21"/>
                                <w:szCs w:val="21"/>
                              </w:rPr>
                              <w:t>小计</w:t>
                            </w:r>
                          </w:p>
                        </w:tc>
                        <w:tc>
                          <w:tcPr>
                            <w:tcW w:w="820" w:type="dxa"/>
                            <w:tcBorders>
                              <w:tl2br w:val="nil"/>
                              <w:tr2bl w:val="nil"/>
                            </w:tcBorders>
                          </w:tcPr>
                          <w:p>
                            <w:pPr>
                              <w:pStyle w:val="4069"/>
                              <w:spacing w:before="41" w:line="240" w:lineRule="auto"/>
                              <w:ind w:left="139" w:right="0"/>
                              <w:jc w:val="left"/>
                              <w:rPr>
                                <w:rFonts w:hint="default" w:ascii="Calibri" w:hAnsi="Calibri" w:eastAsia="宋体" w:cs="Calibri"/>
                                <w:sz w:val="21"/>
                                <w:szCs w:val="21"/>
                                <w:lang w:val="en-US" w:eastAsia="zh-CN"/>
                              </w:rPr>
                            </w:pPr>
                            <w:r>
                              <w:rPr>
                                <w:rFonts w:hint="eastAsia" w:ascii="Calibri" w:hAnsi="Calibri" w:eastAsia="宋体" w:cs="Calibri"/>
                                <w:sz w:val="21"/>
                                <w:szCs w:val="21"/>
                                <w:lang w:val="en-US" w:eastAsia="zh-CN"/>
                              </w:rPr>
                              <w:t>3166</w:t>
                            </w:r>
                          </w:p>
                        </w:tc>
                        <w:tc>
                          <w:tcPr>
                            <w:tcW w:w="1020" w:type="dxa"/>
                            <w:tcBorders>
                              <w:tl2br w:val="nil"/>
                              <w:tr2bl w:val="nil"/>
                            </w:tcBorders>
                          </w:tcPr>
                          <w:p/>
                        </w:tc>
                        <w:tc>
                          <w:tcPr>
                            <w:tcW w:w="1870" w:type="dxa"/>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vMerge w:val="restart"/>
                            <w:tcBorders>
                              <w:tl2br w:val="nil"/>
                              <w:tr2bl w:val="nil"/>
                            </w:tcBorders>
                          </w:tcPr>
                          <w:p>
                            <w:pPr>
                              <w:pStyle w:val="4069"/>
                              <w:spacing w:before="1" w:line="140" w:lineRule="exact"/>
                              <w:ind w:right="0"/>
                              <w:jc w:val="left"/>
                              <w:rPr>
                                <w:sz w:val="14"/>
                                <w:szCs w:val="14"/>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228" w:right="237"/>
                              <w:jc w:val="center"/>
                              <w:rPr>
                                <w:rFonts w:ascii="Calibri" w:hAnsi="Calibri" w:eastAsia="Calibri" w:cs="Calibri"/>
                                <w:sz w:val="21"/>
                                <w:szCs w:val="21"/>
                              </w:rPr>
                            </w:pPr>
                            <w:r>
                              <w:rPr>
                                <w:rFonts w:ascii="Calibri"/>
                                <w:sz w:val="21"/>
                              </w:rPr>
                              <w:t>8</w:t>
                            </w:r>
                          </w:p>
                        </w:tc>
                        <w:tc>
                          <w:tcPr>
                            <w:tcW w:w="1352" w:type="dxa"/>
                            <w:vMerge w:val="restart"/>
                            <w:tcBorders>
                              <w:tl2br w:val="nil"/>
                              <w:tr2bl w:val="nil"/>
                            </w:tcBorders>
                          </w:tcPr>
                          <w:p>
                            <w:pPr>
                              <w:pStyle w:val="4069"/>
                              <w:spacing w:before="2" w:line="100" w:lineRule="exact"/>
                              <w:ind w:right="0"/>
                              <w:jc w:val="left"/>
                              <w:rPr>
                                <w:sz w:val="10"/>
                                <w:szCs w:val="1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145" w:right="0"/>
                              <w:jc w:val="left"/>
                              <w:rPr>
                                <w:rFonts w:ascii="宋体" w:hAnsi="宋体" w:eastAsia="宋体" w:cs="宋体"/>
                                <w:sz w:val="21"/>
                                <w:szCs w:val="21"/>
                              </w:rPr>
                            </w:pPr>
                            <w:r>
                              <w:rPr>
                                <w:rFonts w:ascii="宋体" w:hAnsi="宋体" w:eastAsia="宋体" w:cs="宋体"/>
                                <w:sz w:val="21"/>
                                <w:szCs w:val="21"/>
                              </w:rPr>
                              <w:t>污水处理站</w:t>
                            </w:r>
                          </w:p>
                        </w:tc>
                        <w:tc>
                          <w:tcPr>
                            <w:tcW w:w="2812" w:type="dxa"/>
                            <w:tcBorders>
                              <w:tl2br w:val="nil"/>
                              <w:tr2bl w:val="nil"/>
                            </w:tcBorders>
                          </w:tcPr>
                          <w:p>
                            <w:pPr>
                              <w:pStyle w:val="4069"/>
                              <w:spacing w:before="1" w:line="240" w:lineRule="auto"/>
                              <w:ind w:left="1171" w:right="1172"/>
                              <w:jc w:val="center"/>
                              <w:rPr>
                                <w:rFonts w:ascii="宋体" w:hAnsi="宋体" w:eastAsia="宋体" w:cs="宋体"/>
                                <w:sz w:val="21"/>
                                <w:szCs w:val="21"/>
                              </w:rPr>
                            </w:pPr>
                            <w:r>
                              <w:rPr>
                                <w:rFonts w:ascii="宋体" w:hAnsi="宋体" w:eastAsia="宋体" w:cs="宋体"/>
                                <w:sz w:val="21"/>
                                <w:szCs w:val="21"/>
                              </w:rPr>
                              <w:t>栅渣</w:t>
                            </w:r>
                          </w:p>
                        </w:tc>
                        <w:tc>
                          <w:tcPr>
                            <w:tcW w:w="820" w:type="dxa"/>
                            <w:tcBorders>
                              <w:tl2br w:val="nil"/>
                              <w:tr2bl w:val="nil"/>
                            </w:tcBorders>
                          </w:tcPr>
                          <w:p>
                            <w:pPr>
                              <w:pStyle w:val="4069"/>
                              <w:spacing w:before="41" w:line="240" w:lineRule="auto"/>
                              <w:ind w:left="218" w:right="0"/>
                              <w:jc w:val="left"/>
                              <w:rPr>
                                <w:rFonts w:hint="default" w:ascii="Calibri" w:hAnsi="Calibri" w:eastAsia="宋体" w:cs="Calibri"/>
                                <w:sz w:val="21"/>
                                <w:szCs w:val="21"/>
                                <w:lang w:val="en-US" w:eastAsia="zh-CN"/>
                              </w:rPr>
                            </w:pPr>
                            <w:r>
                              <w:rPr>
                                <w:rFonts w:hint="eastAsia" w:ascii="Calibri" w:eastAsia="宋体"/>
                                <w:sz w:val="21"/>
                                <w:lang w:val="en-US" w:eastAsia="zh-CN"/>
                              </w:rPr>
                              <w:t>3.5</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vMerge w:val="restart"/>
                            <w:tcBorders>
                              <w:tl2br w:val="nil"/>
                              <w:tr2bl w:val="nil"/>
                            </w:tcBorders>
                          </w:tcPr>
                          <w:p>
                            <w:pPr>
                              <w:pStyle w:val="4069"/>
                              <w:spacing w:before="2" w:line="150" w:lineRule="exact"/>
                              <w:ind w:right="0"/>
                              <w:jc w:val="left"/>
                              <w:rPr>
                                <w:sz w:val="15"/>
                                <w:szCs w:val="15"/>
                              </w:rPr>
                            </w:pPr>
                          </w:p>
                          <w:p>
                            <w:pPr>
                              <w:pStyle w:val="4069"/>
                              <w:spacing w:line="200" w:lineRule="exact"/>
                              <w:ind w:right="0"/>
                              <w:jc w:val="left"/>
                              <w:rPr>
                                <w:sz w:val="20"/>
                                <w:szCs w:val="20"/>
                              </w:rPr>
                            </w:pPr>
                          </w:p>
                          <w:p>
                            <w:pPr>
                              <w:pStyle w:val="4069"/>
                              <w:spacing w:line="240" w:lineRule="auto"/>
                              <w:ind w:left="87" w:right="0"/>
                              <w:jc w:val="left"/>
                              <w:rPr>
                                <w:rFonts w:ascii="宋体" w:hAnsi="宋体" w:eastAsia="宋体" w:cs="宋体"/>
                                <w:sz w:val="21"/>
                                <w:szCs w:val="21"/>
                              </w:rPr>
                            </w:pPr>
                            <w:r>
                              <w:rPr>
                                <w:rFonts w:ascii="宋体" w:hAnsi="宋体" w:eastAsia="宋体" w:cs="宋体"/>
                                <w:sz w:val="21"/>
                                <w:szCs w:val="21"/>
                              </w:rPr>
                              <w:t>委托环卫部门处置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right="1"/>
                              <w:jc w:val="center"/>
                              <w:rPr>
                                <w:rFonts w:ascii="宋体" w:hAnsi="宋体" w:eastAsia="宋体" w:cs="宋体"/>
                                <w:sz w:val="21"/>
                                <w:szCs w:val="21"/>
                              </w:rPr>
                            </w:pPr>
                            <w:r>
                              <w:rPr>
                                <w:rFonts w:ascii="宋体" w:hAnsi="宋体" w:eastAsia="宋体" w:cs="宋体"/>
                                <w:sz w:val="21"/>
                                <w:szCs w:val="21"/>
                              </w:rPr>
                              <w:t>沉砂</w:t>
                            </w:r>
                          </w:p>
                        </w:tc>
                        <w:tc>
                          <w:tcPr>
                            <w:tcW w:w="820" w:type="dxa"/>
                            <w:tcBorders>
                              <w:tl2br w:val="nil"/>
                              <w:tr2bl w:val="nil"/>
                            </w:tcBorders>
                          </w:tcPr>
                          <w:p>
                            <w:pPr>
                              <w:pStyle w:val="4069"/>
                              <w:spacing w:before="40" w:line="240" w:lineRule="auto"/>
                              <w:ind w:right="0"/>
                              <w:jc w:val="center"/>
                              <w:rPr>
                                <w:rFonts w:hint="default" w:ascii="Calibri" w:hAnsi="Calibri" w:eastAsia="宋体" w:cs="Calibri"/>
                                <w:sz w:val="21"/>
                                <w:szCs w:val="21"/>
                                <w:lang w:val="en-US" w:eastAsia="zh-CN"/>
                              </w:rPr>
                            </w:pPr>
                            <w:r>
                              <w:rPr>
                                <w:rFonts w:hint="eastAsia" w:ascii="Calibri" w:eastAsia="宋体"/>
                                <w:sz w:val="21"/>
                                <w:lang w:val="en-US" w:eastAsia="zh-CN"/>
                              </w:rPr>
                              <w:t>0.6</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2" w:line="240" w:lineRule="auto"/>
                              <w:ind w:left="458" w:right="0"/>
                              <w:jc w:val="left"/>
                              <w:rPr>
                                <w:rFonts w:ascii="宋体" w:hAnsi="宋体" w:eastAsia="宋体" w:cs="宋体"/>
                                <w:sz w:val="21"/>
                                <w:szCs w:val="21"/>
                              </w:rPr>
                            </w:pPr>
                            <w:r>
                              <w:rPr>
                                <w:rFonts w:ascii="宋体" w:hAnsi="宋体" w:eastAsia="宋体" w:cs="宋体"/>
                                <w:sz w:val="21"/>
                                <w:szCs w:val="21"/>
                              </w:rPr>
                              <w:t>污泥（含水率</w:t>
                            </w:r>
                            <w:r>
                              <w:rPr>
                                <w:rFonts w:ascii="宋体" w:hAnsi="宋体" w:eastAsia="宋体" w:cs="宋体"/>
                                <w:spacing w:val="-58"/>
                                <w:sz w:val="21"/>
                                <w:szCs w:val="21"/>
                              </w:rPr>
                              <w:t xml:space="preserve"> </w:t>
                            </w:r>
                            <w:r>
                              <w:rPr>
                                <w:rFonts w:ascii="Calibri" w:hAnsi="Calibri" w:eastAsia="Calibri" w:cs="Calibri"/>
                                <w:spacing w:val="-1"/>
                                <w:sz w:val="21"/>
                                <w:szCs w:val="21"/>
                              </w:rPr>
                              <w:t>60%</w:t>
                            </w:r>
                            <w:r>
                              <w:rPr>
                                <w:rFonts w:ascii="宋体" w:hAnsi="宋体" w:eastAsia="宋体" w:cs="宋体"/>
                                <w:spacing w:val="-1"/>
                                <w:sz w:val="21"/>
                                <w:szCs w:val="21"/>
                              </w:rPr>
                              <w:t>）</w:t>
                            </w:r>
                          </w:p>
                        </w:tc>
                        <w:tc>
                          <w:tcPr>
                            <w:tcW w:w="820" w:type="dxa"/>
                            <w:tcBorders>
                              <w:tl2br w:val="nil"/>
                              <w:tr2bl w:val="nil"/>
                            </w:tcBorders>
                          </w:tcPr>
                          <w:p>
                            <w:pPr>
                              <w:pStyle w:val="4069"/>
                              <w:spacing w:before="41" w:line="240" w:lineRule="auto"/>
                              <w:ind w:left="165" w:right="0"/>
                              <w:jc w:val="left"/>
                              <w:rPr>
                                <w:rFonts w:hint="default" w:ascii="Calibri" w:hAnsi="Calibri" w:eastAsia="宋体" w:cs="Calibri"/>
                                <w:sz w:val="21"/>
                                <w:szCs w:val="21"/>
                                <w:lang w:val="en-US" w:eastAsia="zh-CN"/>
                              </w:rPr>
                            </w:pPr>
                            <w:r>
                              <w:rPr>
                                <w:rFonts w:hint="eastAsia" w:ascii="Calibri" w:eastAsia="宋体"/>
                                <w:sz w:val="21"/>
                                <w:lang w:val="en-US" w:eastAsia="zh-CN"/>
                              </w:rPr>
                              <w:t>25.7</w:t>
                            </w:r>
                          </w:p>
                        </w:tc>
                        <w:tc>
                          <w:tcPr>
                            <w:tcW w:w="1020" w:type="dxa"/>
                            <w:tcBorders>
                              <w:tl2br w:val="nil"/>
                              <w:tr2bl w:val="nil"/>
                            </w:tcBorders>
                          </w:tcPr>
                          <w:p>
                            <w:pPr>
                              <w:pStyle w:val="4069"/>
                              <w:spacing w:before="2"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left="874" w:right="0"/>
                              <w:jc w:val="left"/>
                              <w:rPr>
                                <w:rFonts w:ascii="宋体" w:hAnsi="宋体" w:eastAsia="宋体" w:cs="宋体"/>
                                <w:sz w:val="21"/>
                                <w:szCs w:val="21"/>
                              </w:rPr>
                            </w:pPr>
                            <w:r>
                              <w:rPr>
                                <w:rFonts w:ascii="宋体" w:hAnsi="宋体" w:eastAsia="宋体" w:cs="宋体"/>
                                <w:sz w:val="21"/>
                                <w:szCs w:val="21"/>
                              </w:rPr>
                              <w:t>废动植物油</w:t>
                            </w:r>
                          </w:p>
                        </w:tc>
                        <w:tc>
                          <w:tcPr>
                            <w:tcW w:w="820" w:type="dxa"/>
                            <w:tcBorders>
                              <w:tl2br w:val="nil"/>
                              <w:tr2bl w:val="nil"/>
                            </w:tcBorders>
                          </w:tcPr>
                          <w:p>
                            <w:pPr>
                              <w:pStyle w:val="4069"/>
                              <w:spacing w:before="41" w:line="240" w:lineRule="auto"/>
                              <w:ind w:right="0"/>
                              <w:jc w:val="center"/>
                              <w:rPr>
                                <w:rFonts w:hint="default" w:ascii="Calibri" w:hAnsi="Calibri" w:eastAsia="宋体" w:cs="Calibri"/>
                                <w:sz w:val="21"/>
                                <w:szCs w:val="21"/>
                                <w:lang w:val="en-US" w:eastAsia="zh-CN"/>
                              </w:rPr>
                            </w:pPr>
                            <w:r>
                              <w:rPr>
                                <w:rFonts w:hint="eastAsia" w:ascii="Calibri" w:eastAsia="宋体"/>
                                <w:sz w:val="21"/>
                                <w:lang w:val="en-US" w:eastAsia="zh-CN"/>
                              </w:rPr>
                              <w:t>0.9</w:t>
                            </w:r>
                          </w:p>
                        </w:tc>
                        <w:tc>
                          <w:tcPr>
                            <w:tcW w:w="1020" w:type="dxa"/>
                            <w:tcBorders>
                              <w:tl2br w:val="nil"/>
                              <w:tr2bl w:val="nil"/>
                            </w:tcBorders>
                          </w:tcPr>
                          <w:p>
                            <w:pPr>
                              <w:pStyle w:val="4069"/>
                              <w:spacing w:before="1"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before="1" w:line="240" w:lineRule="auto"/>
                              <w:ind w:left="22" w:right="0"/>
                              <w:jc w:val="left"/>
                              <w:rPr>
                                <w:rFonts w:ascii="宋体" w:hAnsi="宋体" w:eastAsia="宋体" w:cs="宋体"/>
                                <w:sz w:val="21"/>
                                <w:szCs w:val="21"/>
                              </w:rPr>
                            </w:pPr>
                            <w:r>
                              <w:rPr>
                                <w:rFonts w:ascii="宋体" w:hAnsi="宋体" w:eastAsia="宋体" w:cs="宋体"/>
                                <w:sz w:val="21"/>
                                <w:szCs w:val="21"/>
                              </w:rPr>
                              <w:t>资源化利用（外售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631" w:type="dxa"/>
                            <w:vMerge w:val="continue"/>
                            <w:tcBorders>
                              <w:tl2br w:val="nil"/>
                              <w:tr2bl w:val="nil"/>
                            </w:tcBorders>
                          </w:tcPr>
                          <w:p/>
                        </w:tc>
                        <w:tc>
                          <w:tcPr>
                            <w:tcW w:w="1352" w:type="dxa"/>
                            <w:vMerge w:val="continue"/>
                            <w:tcBorders>
                              <w:tl2br w:val="nil"/>
                              <w:tr2bl w:val="nil"/>
                            </w:tcBorders>
                          </w:tcPr>
                          <w:p/>
                        </w:tc>
                        <w:tc>
                          <w:tcPr>
                            <w:tcW w:w="2812" w:type="dxa"/>
                            <w:tcBorders>
                              <w:tl2br w:val="nil"/>
                              <w:tr2bl w:val="nil"/>
                            </w:tcBorders>
                          </w:tcPr>
                          <w:p>
                            <w:pPr>
                              <w:pStyle w:val="4069"/>
                              <w:spacing w:before="1" w:line="240" w:lineRule="auto"/>
                              <w:ind w:right="1"/>
                              <w:jc w:val="center"/>
                              <w:rPr>
                                <w:rFonts w:ascii="宋体" w:hAnsi="宋体" w:eastAsia="宋体" w:cs="宋体"/>
                                <w:sz w:val="21"/>
                                <w:szCs w:val="21"/>
                              </w:rPr>
                            </w:pPr>
                            <w:r>
                              <w:rPr>
                                <w:rFonts w:ascii="宋体" w:hAnsi="宋体" w:eastAsia="宋体" w:cs="宋体"/>
                                <w:sz w:val="21"/>
                                <w:szCs w:val="21"/>
                              </w:rPr>
                              <w:t>小计</w:t>
                            </w:r>
                          </w:p>
                        </w:tc>
                        <w:tc>
                          <w:tcPr>
                            <w:tcW w:w="820" w:type="dxa"/>
                            <w:tcBorders>
                              <w:tl2br w:val="nil"/>
                              <w:tr2bl w:val="nil"/>
                            </w:tcBorders>
                          </w:tcPr>
                          <w:p>
                            <w:pPr>
                              <w:pStyle w:val="4069"/>
                              <w:spacing w:before="40" w:line="240" w:lineRule="auto"/>
                              <w:ind w:left="165" w:right="0"/>
                              <w:jc w:val="left"/>
                              <w:rPr>
                                <w:rFonts w:hint="default" w:ascii="Calibri" w:hAnsi="Calibri" w:eastAsia="宋体" w:cs="Calibri"/>
                                <w:sz w:val="21"/>
                                <w:szCs w:val="21"/>
                                <w:lang w:val="en-US" w:eastAsia="zh-CN"/>
                              </w:rPr>
                            </w:pPr>
                            <w:r>
                              <w:rPr>
                                <w:rFonts w:ascii="Calibri"/>
                                <w:sz w:val="21"/>
                              </w:rPr>
                              <w:t>30</w:t>
                            </w:r>
                            <w:r>
                              <w:rPr>
                                <w:rFonts w:hint="eastAsia" w:ascii="Calibri" w:eastAsia="宋体"/>
                                <w:sz w:val="21"/>
                                <w:lang w:val="en-US" w:eastAsia="zh-CN"/>
                              </w:rPr>
                              <w:t>.7</w:t>
                            </w:r>
                          </w:p>
                        </w:tc>
                        <w:tc>
                          <w:tcPr>
                            <w:tcW w:w="1020" w:type="dxa"/>
                            <w:tcBorders>
                              <w:tl2br w:val="nil"/>
                              <w:tr2bl w:val="nil"/>
                            </w:tcBorders>
                          </w:tcPr>
                          <w:p/>
                        </w:tc>
                        <w:tc>
                          <w:tcPr>
                            <w:tcW w:w="1870" w:type="dxa"/>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5" w:hRule="exact"/>
                        </w:trPr>
                        <w:tc>
                          <w:tcPr>
                            <w:tcW w:w="631" w:type="dxa"/>
                            <w:tcBorders>
                              <w:tl2br w:val="nil"/>
                              <w:tr2bl w:val="nil"/>
                            </w:tcBorders>
                          </w:tcPr>
                          <w:p>
                            <w:pPr>
                              <w:pStyle w:val="4069"/>
                              <w:spacing w:before="3" w:line="180" w:lineRule="exact"/>
                              <w:ind w:right="0"/>
                              <w:jc w:val="left"/>
                              <w:rPr>
                                <w:sz w:val="18"/>
                                <w:szCs w:val="18"/>
                              </w:rPr>
                            </w:pPr>
                          </w:p>
                          <w:p>
                            <w:pPr>
                              <w:pStyle w:val="4069"/>
                              <w:spacing w:line="240" w:lineRule="auto"/>
                              <w:ind w:right="8"/>
                              <w:jc w:val="center"/>
                              <w:rPr>
                                <w:rFonts w:ascii="Calibri" w:hAnsi="Calibri" w:eastAsia="Calibri" w:cs="Calibri"/>
                                <w:sz w:val="21"/>
                                <w:szCs w:val="21"/>
                              </w:rPr>
                            </w:pPr>
                            <w:r>
                              <w:rPr>
                                <w:rFonts w:ascii="Calibri"/>
                                <w:sz w:val="21"/>
                              </w:rPr>
                              <w:t>9</w:t>
                            </w:r>
                          </w:p>
                        </w:tc>
                        <w:tc>
                          <w:tcPr>
                            <w:tcW w:w="4164" w:type="dxa"/>
                            <w:gridSpan w:val="2"/>
                            <w:tcBorders>
                              <w:tl2br w:val="nil"/>
                              <w:tr2bl w:val="nil"/>
                            </w:tcBorders>
                          </w:tcPr>
                          <w:p>
                            <w:pPr>
                              <w:pStyle w:val="4069"/>
                              <w:spacing w:before="144" w:line="240" w:lineRule="auto"/>
                              <w:ind w:right="2"/>
                              <w:jc w:val="center"/>
                              <w:rPr>
                                <w:rFonts w:ascii="宋体" w:hAnsi="宋体" w:eastAsia="宋体" w:cs="宋体"/>
                                <w:sz w:val="21"/>
                                <w:szCs w:val="21"/>
                              </w:rPr>
                            </w:pPr>
                            <w:r>
                              <w:rPr>
                                <w:rFonts w:ascii="宋体" w:hAnsi="宋体" w:eastAsia="宋体" w:cs="宋体"/>
                                <w:sz w:val="21"/>
                                <w:szCs w:val="21"/>
                              </w:rPr>
                              <w:t>生活垃圾</w:t>
                            </w:r>
                          </w:p>
                        </w:tc>
                        <w:tc>
                          <w:tcPr>
                            <w:tcW w:w="820" w:type="dxa"/>
                            <w:tcBorders>
                              <w:tl2br w:val="nil"/>
                              <w:tr2bl w:val="nil"/>
                            </w:tcBorders>
                          </w:tcPr>
                          <w:p>
                            <w:pPr>
                              <w:pStyle w:val="4069"/>
                              <w:spacing w:before="3" w:line="180" w:lineRule="exact"/>
                              <w:ind w:right="0"/>
                              <w:jc w:val="left"/>
                              <w:rPr>
                                <w:sz w:val="18"/>
                                <w:szCs w:val="18"/>
                              </w:rPr>
                            </w:pPr>
                          </w:p>
                          <w:p>
                            <w:pPr>
                              <w:pStyle w:val="4069"/>
                              <w:spacing w:line="240" w:lineRule="auto"/>
                              <w:ind w:left="245" w:right="0"/>
                              <w:jc w:val="left"/>
                              <w:rPr>
                                <w:rFonts w:hint="default" w:ascii="Calibri" w:hAnsi="Calibri" w:eastAsia="宋体" w:cs="Calibri"/>
                                <w:sz w:val="21"/>
                                <w:szCs w:val="21"/>
                                <w:lang w:val="en-US" w:eastAsia="zh-CN"/>
                              </w:rPr>
                            </w:pPr>
                            <w:r>
                              <w:rPr>
                                <w:rFonts w:hint="eastAsia" w:ascii="Calibri" w:eastAsia="宋体"/>
                                <w:spacing w:val="-1"/>
                                <w:sz w:val="21"/>
                                <w:lang w:val="en-US" w:eastAsia="zh-CN"/>
                              </w:rPr>
                              <w:t>156.6</w:t>
                            </w:r>
                          </w:p>
                        </w:tc>
                        <w:tc>
                          <w:tcPr>
                            <w:tcW w:w="1020" w:type="dxa"/>
                            <w:tcBorders>
                              <w:tl2br w:val="nil"/>
                              <w:tr2bl w:val="nil"/>
                            </w:tcBorders>
                          </w:tcPr>
                          <w:p>
                            <w:pPr>
                              <w:pStyle w:val="4069"/>
                              <w:spacing w:before="144" w:line="240" w:lineRule="auto"/>
                              <w:ind w:left="85" w:right="0"/>
                              <w:jc w:val="left"/>
                              <w:rPr>
                                <w:rFonts w:ascii="宋体" w:hAnsi="宋体" w:eastAsia="宋体" w:cs="宋体"/>
                                <w:sz w:val="21"/>
                                <w:szCs w:val="21"/>
                              </w:rPr>
                            </w:pPr>
                            <w:r>
                              <w:rPr>
                                <w:rFonts w:ascii="宋体" w:hAnsi="宋体" w:eastAsia="宋体" w:cs="宋体"/>
                                <w:sz w:val="21"/>
                                <w:szCs w:val="21"/>
                              </w:rPr>
                              <w:t>一般废物</w:t>
                            </w:r>
                          </w:p>
                        </w:tc>
                        <w:tc>
                          <w:tcPr>
                            <w:tcW w:w="1870" w:type="dxa"/>
                            <w:tcBorders>
                              <w:tl2br w:val="nil"/>
                              <w:tr2bl w:val="nil"/>
                            </w:tcBorders>
                          </w:tcPr>
                          <w:p>
                            <w:pPr>
                              <w:pStyle w:val="4069"/>
                              <w:spacing w:line="260" w:lineRule="exact"/>
                              <w:ind w:left="68" w:right="63"/>
                              <w:jc w:val="center"/>
                              <w:rPr>
                                <w:rFonts w:ascii="宋体" w:hAnsi="宋体" w:eastAsia="宋体" w:cs="宋体"/>
                                <w:sz w:val="21"/>
                                <w:szCs w:val="21"/>
                              </w:rPr>
                            </w:pPr>
                            <w:r>
                              <w:rPr>
                                <w:rFonts w:ascii="宋体" w:hAnsi="宋体" w:eastAsia="宋体" w:cs="宋体"/>
                                <w:sz w:val="21"/>
                                <w:szCs w:val="21"/>
                              </w:rPr>
                              <w:t>清运至附近的生活</w:t>
                            </w:r>
                          </w:p>
                          <w:p>
                            <w:pPr>
                              <w:pStyle w:val="4069"/>
                              <w:spacing w:before="40" w:line="240" w:lineRule="auto"/>
                              <w:ind w:left="5" w:right="0"/>
                              <w:jc w:val="center"/>
                              <w:rPr>
                                <w:rFonts w:ascii="宋体" w:hAnsi="宋体" w:eastAsia="宋体" w:cs="宋体"/>
                                <w:sz w:val="21"/>
                                <w:szCs w:val="21"/>
                              </w:rPr>
                            </w:pPr>
                            <w:r>
                              <w:rPr>
                                <w:rFonts w:ascii="宋体" w:hAnsi="宋体" w:eastAsia="宋体" w:cs="宋体"/>
                                <w:sz w:val="21"/>
                                <w:szCs w:val="21"/>
                              </w:rPr>
                              <w:t>垃圾转运站</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exact"/>
                        </w:trPr>
                        <w:tc>
                          <w:tcPr>
                            <w:tcW w:w="631" w:type="dxa"/>
                            <w:tcBorders>
                              <w:tl2br w:val="nil"/>
                              <w:tr2bl w:val="nil"/>
                            </w:tcBorders>
                          </w:tcPr>
                          <w:p>
                            <w:pPr>
                              <w:pStyle w:val="4069"/>
                              <w:spacing w:before="40" w:line="240" w:lineRule="auto"/>
                              <w:ind w:left="195" w:right="0"/>
                              <w:jc w:val="left"/>
                              <w:rPr>
                                <w:rFonts w:ascii="Calibri" w:hAnsi="Calibri" w:eastAsia="Calibri" w:cs="Calibri"/>
                                <w:sz w:val="21"/>
                                <w:szCs w:val="21"/>
                              </w:rPr>
                            </w:pPr>
                            <w:r>
                              <w:rPr>
                                <w:rFonts w:ascii="Calibri"/>
                                <w:sz w:val="21"/>
                              </w:rPr>
                              <w:t>10</w:t>
                            </w:r>
                          </w:p>
                        </w:tc>
                        <w:tc>
                          <w:tcPr>
                            <w:tcW w:w="4164" w:type="dxa"/>
                            <w:gridSpan w:val="2"/>
                            <w:tcBorders>
                              <w:tl2br w:val="nil"/>
                              <w:tr2bl w:val="nil"/>
                            </w:tcBorders>
                          </w:tcPr>
                          <w:p>
                            <w:pPr>
                              <w:pStyle w:val="4069"/>
                              <w:spacing w:before="1" w:line="240" w:lineRule="auto"/>
                              <w:ind w:right="2"/>
                              <w:jc w:val="center"/>
                              <w:rPr>
                                <w:rFonts w:ascii="宋体" w:hAnsi="宋体" w:eastAsia="宋体" w:cs="宋体"/>
                                <w:sz w:val="21"/>
                                <w:szCs w:val="21"/>
                              </w:rPr>
                            </w:pPr>
                            <w:r>
                              <w:rPr>
                                <w:rFonts w:ascii="宋体" w:hAnsi="宋体" w:eastAsia="宋体" w:cs="宋体"/>
                                <w:sz w:val="21"/>
                                <w:szCs w:val="21"/>
                              </w:rPr>
                              <w:t>合计</w:t>
                            </w:r>
                          </w:p>
                        </w:tc>
                        <w:tc>
                          <w:tcPr>
                            <w:tcW w:w="820" w:type="dxa"/>
                            <w:tcBorders>
                              <w:tl2br w:val="nil"/>
                              <w:tr2bl w:val="nil"/>
                            </w:tcBorders>
                          </w:tcPr>
                          <w:p>
                            <w:pPr>
                              <w:pStyle w:val="4069"/>
                              <w:spacing w:before="40" w:line="240" w:lineRule="auto"/>
                              <w:ind w:left="59" w:right="0"/>
                              <w:jc w:val="left"/>
                              <w:rPr>
                                <w:rFonts w:hint="default" w:ascii="Calibri" w:hAnsi="Calibri" w:eastAsia="宋体" w:cs="Calibri"/>
                                <w:sz w:val="21"/>
                                <w:szCs w:val="21"/>
                                <w:lang w:val="en-US" w:eastAsia="zh-CN"/>
                              </w:rPr>
                            </w:pPr>
                            <w:r>
                              <w:rPr>
                                <w:rFonts w:hint="eastAsia" w:ascii="Calibri" w:eastAsia="宋体"/>
                                <w:sz w:val="21"/>
                                <w:lang w:val="en-US" w:eastAsia="zh-CN"/>
                              </w:rPr>
                              <w:t>6685.18</w:t>
                            </w:r>
                          </w:p>
                        </w:tc>
                        <w:tc>
                          <w:tcPr>
                            <w:tcW w:w="1020" w:type="dxa"/>
                            <w:tcBorders>
                              <w:tl2br w:val="nil"/>
                              <w:tr2bl w:val="nil"/>
                            </w:tcBorders>
                          </w:tcPr>
                          <w:p/>
                        </w:tc>
                        <w:tc>
                          <w:tcPr>
                            <w:tcW w:w="1870" w:type="dxa"/>
                            <w:tcBorders>
                              <w:tl2br w:val="nil"/>
                              <w:tr2bl w:val="nil"/>
                            </w:tcBorders>
                          </w:tcPr>
                          <w:p/>
                        </w:tc>
                      </w:tr>
                    </w:tbl>
                    <w:p/>
                  </w:txbxContent>
                </v:textbox>
              </v:shape>
            </w:pict>
          </mc:Fallback>
        </mc:AlternateContent>
      </w:r>
      <w:r>
        <w:rPr>
          <w:rFonts w:ascii="宋体" w:hAnsi="宋体" w:eastAsia="宋体" w:cs="宋体"/>
          <w:sz w:val="21"/>
          <w:szCs w:val="21"/>
        </w:rPr>
        <w:t>）</w:t>
      </w: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0" w:line="280" w:lineRule="exact"/>
        <w:rPr>
          <w:sz w:val="28"/>
          <w:szCs w:val="28"/>
        </w:rPr>
      </w:pPr>
    </w:p>
    <w:p>
      <w:pPr>
        <w:spacing w:before="38"/>
        <w:ind w:left="0" w:right="111" w:firstLine="0"/>
        <w:jc w:val="right"/>
        <w:rPr>
          <w:rFonts w:ascii="宋体" w:hAnsi="宋体" w:eastAsia="宋体" w:cs="宋体"/>
          <w:sz w:val="21"/>
          <w:szCs w:val="21"/>
        </w:rPr>
      </w:pPr>
      <w:r>
        <w:rPr>
          <w:rFonts w:ascii="宋体" w:hAnsi="宋体" w:eastAsia="宋体" w:cs="宋体"/>
          <w:sz w:val="21"/>
          <w:szCs w:val="21"/>
        </w:rPr>
        <w:t>）</w:t>
      </w: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0" w:line="200" w:lineRule="exact"/>
        <w:rPr>
          <w:sz w:val="20"/>
          <w:szCs w:val="20"/>
        </w:rPr>
      </w:pPr>
    </w:p>
    <w:p>
      <w:pPr>
        <w:spacing w:before="15" w:line="260" w:lineRule="exact"/>
        <w:rPr>
          <w:sz w:val="26"/>
          <w:szCs w:val="26"/>
        </w:rPr>
      </w:pPr>
    </w:p>
    <w:p>
      <w:pPr>
        <w:pStyle w:val="1659"/>
      </w:pPr>
    </w:p>
    <w:p>
      <w:pPr>
        <w:pStyle w:val="1659"/>
      </w:pPr>
    </w:p>
    <w:p>
      <w:pPr>
        <w:pStyle w:val="1659"/>
      </w:pPr>
    </w:p>
    <w:p>
      <w:pPr>
        <w:pStyle w:val="1659"/>
        <w:sectPr>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126"/>
    <w:bookmarkEnd w:id="127"/>
    <w:p>
      <w:pPr>
        <w:pStyle w:val="4"/>
        <w:spacing w:before="312" w:after="312"/>
      </w:pPr>
      <w:bookmarkStart w:id="160" w:name="_Toc16262"/>
      <w:bookmarkStart w:id="161" w:name="_Toc37316984"/>
      <w:bookmarkStart w:id="162" w:name="_Toc132596262"/>
      <w:bookmarkStart w:id="163" w:name="_Toc137476647"/>
      <w:bookmarkStart w:id="164" w:name="_Toc165190430"/>
      <w:bookmarkStart w:id="165" w:name="_Toc37242799"/>
      <w:bookmarkStart w:id="166" w:name="_Toc181676892"/>
      <w:bookmarkStart w:id="167" w:name="_Toc146870456"/>
      <w:bookmarkStart w:id="168" w:name="_Toc142639414"/>
      <w:bookmarkStart w:id="169" w:name="_Toc90772645"/>
      <w:bookmarkStart w:id="170" w:name="_Toc90770974"/>
      <w:bookmarkStart w:id="171" w:name="_Toc165190655"/>
      <w:bookmarkStart w:id="172" w:name="_Toc165190224"/>
      <w:bookmarkStart w:id="173" w:name="_Toc165189812"/>
      <w:r>
        <w:rPr>
          <w:rFonts w:hint="eastAsia"/>
          <w:lang w:eastAsia="zh-CN"/>
        </w:rPr>
        <w:t>环境质量现状调查与评价</w:t>
      </w:r>
      <w:bookmarkEnd w:id="160"/>
    </w:p>
    <w:bookmarkEnd w:id="161"/>
    <w:bookmarkEnd w:id="162"/>
    <w:bookmarkEnd w:id="163"/>
    <w:bookmarkEnd w:id="164"/>
    <w:bookmarkEnd w:id="165"/>
    <w:bookmarkEnd w:id="166"/>
    <w:bookmarkEnd w:id="167"/>
    <w:bookmarkEnd w:id="168"/>
    <w:bookmarkEnd w:id="169"/>
    <w:bookmarkEnd w:id="170"/>
    <w:bookmarkEnd w:id="171"/>
    <w:bookmarkEnd w:id="172"/>
    <w:bookmarkEnd w:id="173"/>
    <w:p>
      <w:pPr>
        <w:pStyle w:val="5"/>
        <w:numPr>
          <w:ilvl w:val="1"/>
          <w:numId w:val="0"/>
        </w:numPr>
        <w:tabs>
          <w:tab w:val="left" w:pos="360"/>
        </w:tabs>
        <w:spacing w:before="156" w:after="156"/>
        <w:rPr>
          <w:bCs w:val="0"/>
        </w:rPr>
      </w:pPr>
      <w:bookmarkStart w:id="174" w:name="_Toc25993"/>
      <w:r>
        <w:rPr>
          <w:bCs w:val="0"/>
        </w:rPr>
        <w:t>4.1环境概况</w:t>
      </w:r>
      <w:bookmarkEnd w:id="174"/>
    </w:p>
    <w:p>
      <w:pPr>
        <w:pStyle w:val="6"/>
        <w:rPr>
          <w:sz w:val="28"/>
          <w:szCs w:val="28"/>
        </w:rPr>
      </w:pPr>
      <w:bookmarkStart w:id="175" w:name="_Toc343089741"/>
      <w:bookmarkStart w:id="176" w:name="_Toc336289271"/>
      <w:bookmarkStart w:id="177" w:name="_Toc299633117"/>
      <w:bookmarkStart w:id="178" w:name="_Toc386194682"/>
      <w:bookmarkStart w:id="179" w:name="_Toc406428685"/>
      <w:bookmarkStart w:id="180" w:name="_Toc28414"/>
      <w:r>
        <w:rPr>
          <w:sz w:val="28"/>
          <w:szCs w:val="28"/>
        </w:rPr>
        <w:t>地理位置</w:t>
      </w:r>
      <w:bookmarkEnd w:id="175"/>
      <w:bookmarkEnd w:id="176"/>
      <w:bookmarkEnd w:id="177"/>
      <w:bookmarkEnd w:id="178"/>
      <w:bookmarkEnd w:id="179"/>
      <w:bookmarkEnd w:id="180"/>
    </w:p>
    <w:p>
      <w:pPr>
        <w:pStyle w:val="1659"/>
      </w:pPr>
      <w:r>
        <w:rPr>
          <w:rFonts w:hint="eastAsia"/>
          <w:lang w:val="en-US" w:eastAsia="zh-CN"/>
        </w:rPr>
        <w:t>黔西南州义龙新区地处兴义市、兴仁市、安龙县三县市结合部，位于</w:t>
      </w:r>
      <w:r>
        <w:rPr>
          <w:rFonts w:hint="default"/>
          <w:lang w:val="en-US" w:eastAsia="zh-CN"/>
        </w:rPr>
        <w:t>“</w:t>
      </w:r>
      <w:r>
        <w:rPr>
          <w:rFonts w:hint="eastAsia"/>
          <w:lang w:val="en-US" w:eastAsia="zh-CN"/>
        </w:rPr>
        <w:t>兴兴安贞</w:t>
      </w:r>
      <w:r>
        <w:rPr>
          <w:rFonts w:hint="default"/>
          <w:lang w:val="en-US" w:eastAsia="zh-CN"/>
        </w:rPr>
        <w:t xml:space="preserve">” </w:t>
      </w:r>
      <w:r>
        <w:rPr>
          <w:rFonts w:hint="eastAsia"/>
          <w:lang w:val="en-US" w:eastAsia="zh-CN"/>
        </w:rPr>
        <w:t>半小时经济圈核心区，辖顶效经济开发区、安龙经济发开发区二个省级经济开发区及顶效、郑屯、万屯、鲁屯、龙广、新桥、木咱、德卧、雨樟九镇，</w:t>
      </w:r>
      <w:r>
        <w:rPr>
          <w:rFonts w:hint="default"/>
          <w:lang w:val="en-US" w:eastAsia="zh-CN"/>
        </w:rPr>
        <w:t xml:space="preserve">92 </w:t>
      </w:r>
      <w:r>
        <w:rPr>
          <w:rFonts w:hint="eastAsia"/>
          <w:lang w:val="en-US" w:eastAsia="zh-CN"/>
        </w:rPr>
        <w:t>个行政村</w:t>
      </w:r>
      <w:r>
        <w:rPr>
          <w:rFonts w:hint="default"/>
          <w:lang w:val="en-US" w:eastAsia="zh-CN"/>
        </w:rPr>
        <w:t>1202</w:t>
      </w:r>
      <w:r>
        <w:rPr>
          <w:rFonts w:hint="eastAsia"/>
          <w:lang w:val="en-US" w:eastAsia="zh-CN"/>
        </w:rPr>
        <w:t xml:space="preserve">个村民小组，总人口 </w:t>
      </w:r>
      <w:r>
        <w:rPr>
          <w:rFonts w:hint="default"/>
          <w:lang w:val="en-US" w:eastAsia="zh-CN"/>
        </w:rPr>
        <w:t xml:space="preserve">32.39 </w:t>
      </w:r>
      <w:r>
        <w:rPr>
          <w:rFonts w:hint="eastAsia"/>
          <w:lang w:val="en-US" w:eastAsia="zh-CN"/>
        </w:rPr>
        <w:t xml:space="preserve">万人。规划控制区总面积 </w:t>
      </w:r>
      <w:r>
        <w:rPr>
          <w:rFonts w:hint="default"/>
          <w:lang w:val="en-US" w:eastAsia="zh-CN"/>
        </w:rPr>
        <w:t xml:space="preserve">1324.78 </w:t>
      </w:r>
      <w:r>
        <w:rPr>
          <w:rFonts w:hint="eastAsia"/>
          <w:lang w:val="en-US" w:eastAsia="zh-CN"/>
        </w:rPr>
        <w:t xml:space="preserve">平方公里，规划建设用地面积约 </w:t>
      </w:r>
      <w:r>
        <w:rPr>
          <w:rFonts w:hint="default"/>
          <w:lang w:val="en-US" w:eastAsia="zh-CN"/>
        </w:rPr>
        <w:t xml:space="preserve">133 </w:t>
      </w:r>
      <w:r>
        <w:rPr>
          <w:rFonts w:hint="eastAsia"/>
          <w:lang w:val="en-US" w:eastAsia="zh-CN"/>
        </w:rPr>
        <w:t xml:space="preserve">平方公里，规划人口约 </w:t>
      </w:r>
      <w:r>
        <w:rPr>
          <w:rFonts w:hint="default"/>
          <w:lang w:val="en-US" w:eastAsia="zh-CN"/>
        </w:rPr>
        <w:t xml:space="preserve">50 </w:t>
      </w:r>
      <w:r>
        <w:rPr>
          <w:rFonts w:hint="eastAsia"/>
          <w:lang w:val="en-US" w:eastAsia="zh-CN"/>
        </w:rPr>
        <w:t>万人。本项目位于万屯镇下坝村</w:t>
      </w:r>
      <w:r>
        <w:t>。</w:t>
      </w:r>
    </w:p>
    <w:p>
      <w:pPr>
        <w:pStyle w:val="6"/>
        <w:rPr>
          <w:sz w:val="28"/>
          <w:szCs w:val="28"/>
        </w:rPr>
      </w:pPr>
      <w:bookmarkStart w:id="181" w:name="_Toc299633118"/>
      <w:bookmarkStart w:id="182" w:name="_Toc336289272"/>
      <w:bookmarkStart w:id="183" w:name="_Toc343089742"/>
      <w:bookmarkStart w:id="184" w:name="_Toc386194683"/>
      <w:bookmarkStart w:id="185" w:name="_Toc406428686"/>
      <w:bookmarkStart w:id="186" w:name="_Toc5846"/>
      <w:r>
        <w:rPr>
          <w:sz w:val="28"/>
          <w:szCs w:val="28"/>
        </w:rPr>
        <w:t>自然环境</w:t>
      </w:r>
      <w:bookmarkEnd w:id="181"/>
      <w:bookmarkEnd w:id="182"/>
      <w:bookmarkEnd w:id="183"/>
      <w:bookmarkEnd w:id="184"/>
      <w:bookmarkEnd w:id="185"/>
      <w:bookmarkEnd w:id="186"/>
    </w:p>
    <w:p>
      <w:pPr>
        <w:pStyle w:val="7"/>
      </w:pPr>
      <w:bookmarkStart w:id="187" w:name="_Toc299633119"/>
      <w:bookmarkStart w:id="188" w:name="_Toc336289273"/>
      <w:bookmarkStart w:id="189" w:name="_Toc28315"/>
      <w:r>
        <w:t>地形、地貌</w:t>
      </w:r>
      <w:bookmarkEnd w:id="187"/>
      <w:bookmarkEnd w:id="188"/>
      <w:r>
        <w:rPr>
          <w:rFonts w:hint="eastAsia"/>
          <w:lang w:eastAsia="zh-CN"/>
        </w:rPr>
        <w:t>、</w:t>
      </w:r>
      <w:r>
        <w:rPr>
          <w:rFonts w:hint="eastAsia"/>
          <w:lang w:val="en-US" w:eastAsia="zh-CN"/>
        </w:rPr>
        <w:t>地址</w:t>
      </w:r>
      <w:bookmarkEnd w:id="189"/>
    </w:p>
    <w:p>
      <w:pPr>
        <w:pStyle w:val="1659"/>
      </w:pPr>
      <w:bookmarkStart w:id="190" w:name="_Toc299633120"/>
      <w:bookmarkStart w:id="191" w:name="_Toc336289274"/>
      <w:r>
        <w:rPr>
          <w:rFonts w:hint="eastAsia"/>
          <w:lang w:val="en-US" w:eastAsia="zh-CN"/>
        </w:rPr>
        <w:t xml:space="preserve">义龙新区境内地势西北高、东南低，山峦起伏、河流纵横，喀斯特地貌发育十分良好。喀斯特地形地貌占 </w:t>
      </w:r>
      <w:r>
        <w:rPr>
          <w:rFonts w:hint="default"/>
          <w:lang w:val="en-US" w:eastAsia="zh-CN"/>
        </w:rPr>
        <w:t>71.5%</w:t>
      </w:r>
      <w:r>
        <w:rPr>
          <w:rFonts w:hint="eastAsia"/>
          <w:lang w:val="en-US" w:eastAsia="zh-CN"/>
        </w:rPr>
        <w:t xml:space="preserve">，丘陵占 </w:t>
      </w:r>
      <w:r>
        <w:rPr>
          <w:rFonts w:hint="default"/>
          <w:lang w:val="en-US" w:eastAsia="zh-CN"/>
        </w:rPr>
        <w:t>20.5%</w:t>
      </w:r>
      <w:r>
        <w:rPr>
          <w:rFonts w:hint="eastAsia"/>
          <w:lang w:val="en-US" w:eastAsia="zh-CN"/>
        </w:rPr>
        <w:t xml:space="preserve">，平坝占 </w:t>
      </w:r>
      <w:r>
        <w:rPr>
          <w:rFonts w:hint="default"/>
          <w:lang w:val="en-US" w:eastAsia="zh-CN"/>
        </w:rPr>
        <w:t>7.2%</w:t>
      </w:r>
      <w:r>
        <w:rPr>
          <w:rFonts w:hint="eastAsia"/>
          <w:lang w:val="en-US" w:eastAsia="zh-CN"/>
        </w:rPr>
        <w:t xml:space="preserve">，村庄、河流占 </w:t>
      </w:r>
      <w:r>
        <w:rPr>
          <w:rFonts w:hint="default"/>
          <w:lang w:val="en-US" w:eastAsia="zh-CN"/>
        </w:rPr>
        <w:t>0.8%</w:t>
      </w:r>
      <w:r>
        <w:rPr>
          <w:rFonts w:hint="eastAsia"/>
          <w:lang w:val="en-US" w:eastAsia="zh-CN"/>
        </w:rPr>
        <w:t xml:space="preserve">。 </w:t>
      </w:r>
    </w:p>
    <w:p>
      <w:pPr>
        <w:pStyle w:val="1659"/>
      </w:pPr>
      <w:r>
        <w:rPr>
          <w:rFonts w:hint="eastAsia"/>
          <w:lang w:val="en-US" w:eastAsia="zh-CN"/>
        </w:rPr>
        <w:t>地层岩性及地质结构造除局部出露石炭系、二叠系外，区内主要出露三叠系中、下统地层</w:t>
      </w:r>
      <w:r>
        <w:rPr>
          <w:rFonts w:hint="default"/>
          <w:lang w:val="en-US" w:eastAsia="zh-CN"/>
        </w:rPr>
        <w:t>,</w:t>
      </w:r>
      <w:r>
        <w:rPr>
          <w:rFonts w:hint="eastAsia"/>
          <w:lang w:val="en-US" w:eastAsia="zh-CN"/>
        </w:rPr>
        <w:t>岩性相变复杂，自北向南依次分神礁后泻湖相带白云岩、灰岩、礁相带白云岩、藻礁灰岩</w:t>
      </w:r>
      <w:r>
        <w:rPr>
          <w:rFonts w:hint="default"/>
          <w:lang w:val="en-US" w:eastAsia="zh-CN"/>
        </w:rPr>
        <w:t>,</w:t>
      </w:r>
      <w:r>
        <w:rPr>
          <w:rFonts w:hint="eastAsia"/>
          <w:lang w:val="en-US" w:eastAsia="zh-CN"/>
        </w:rPr>
        <w:t>至耐盘江则为礁前斜坡相带碎屑岩。地势总体上曲北西向南东爿阶梯状递降</w:t>
      </w:r>
      <w:r>
        <w:rPr>
          <w:rFonts w:hint="default"/>
          <w:lang w:val="en-US" w:eastAsia="zh-CN"/>
        </w:rPr>
        <w:t>,</w:t>
      </w:r>
      <w:r>
        <w:rPr>
          <w:rFonts w:hint="eastAsia"/>
          <w:lang w:val="en-US" w:eastAsia="zh-CN"/>
        </w:rPr>
        <w:t xml:space="preserve">属河间高原山地景观，其东、南、西三面分别被马岭河、南盘江及黄泥河切割。全区最大地形高差 </w:t>
      </w:r>
      <w:r>
        <w:rPr>
          <w:rFonts w:hint="default"/>
          <w:lang w:val="en-US" w:eastAsia="zh-CN"/>
        </w:rPr>
        <w:t>1582m</w:t>
      </w:r>
      <w:r>
        <w:rPr>
          <w:rFonts w:hint="eastAsia"/>
          <w:lang w:val="en-US" w:eastAsia="zh-CN"/>
        </w:rPr>
        <w:t xml:space="preserve">，一般河谷切割深度 </w:t>
      </w:r>
      <w:r>
        <w:rPr>
          <w:rFonts w:hint="default"/>
          <w:lang w:val="en-US" w:eastAsia="zh-CN"/>
        </w:rPr>
        <w:t>300~700m,</w:t>
      </w:r>
      <w:r>
        <w:rPr>
          <w:rFonts w:hint="eastAsia"/>
          <w:lang w:val="en-US" w:eastAsia="zh-CN"/>
        </w:rPr>
        <w:t xml:space="preserve">高原面上地形高差多小于 </w:t>
      </w:r>
      <w:r>
        <w:rPr>
          <w:rFonts w:hint="default"/>
          <w:lang w:val="en-US" w:eastAsia="zh-CN"/>
        </w:rPr>
        <w:t>100m</w:t>
      </w:r>
      <w:r>
        <w:rPr>
          <w:rFonts w:hint="eastAsia"/>
          <w:lang w:val="en-US" w:eastAsia="zh-CN"/>
        </w:rPr>
        <w:t xml:space="preserve">。其中西北部黄泥河东南岸山岭高大，呈北东向延伸，一般海拔在 </w:t>
      </w:r>
      <w:r>
        <w:rPr>
          <w:rFonts w:hint="default"/>
          <w:lang w:val="en-US" w:eastAsia="zh-CN"/>
        </w:rPr>
        <w:t>1800m</w:t>
      </w:r>
      <w:r>
        <w:rPr>
          <w:rFonts w:hint="eastAsia"/>
          <w:lang w:val="en-US" w:eastAsia="zh-CN"/>
        </w:rPr>
        <w:t xml:space="preserve">以上，最高可达 </w:t>
      </w:r>
      <w:r>
        <w:rPr>
          <w:rFonts w:hint="default"/>
          <w:lang w:val="en-US" w:eastAsia="zh-CN"/>
        </w:rPr>
        <w:t>2207m</w:t>
      </w:r>
      <w:r>
        <w:rPr>
          <w:rFonts w:hint="eastAsia"/>
          <w:lang w:val="en-US" w:eastAsia="zh-CN"/>
        </w:rPr>
        <w:t xml:space="preserve">；南盘江北岸地势低缓，海拔一般在 </w:t>
      </w:r>
      <w:r>
        <w:rPr>
          <w:rFonts w:hint="default"/>
          <w:lang w:val="en-US" w:eastAsia="zh-CN"/>
        </w:rPr>
        <w:t xml:space="preserve">1000m </w:t>
      </w:r>
      <w:r>
        <w:rPr>
          <w:rFonts w:hint="eastAsia"/>
          <w:lang w:val="en-US" w:eastAsia="zh-CN"/>
        </w:rPr>
        <w:t>下以</w:t>
      </w:r>
      <w:r>
        <w:rPr>
          <w:rFonts w:hint="default"/>
          <w:lang w:val="en-US" w:eastAsia="zh-CN"/>
        </w:rPr>
        <w:t>,</w:t>
      </w:r>
      <w:r>
        <w:rPr>
          <w:rFonts w:hint="eastAsia"/>
          <w:lang w:val="en-US" w:eastAsia="zh-CN"/>
        </w:rPr>
        <w:t xml:space="preserve">南盘江水库常年水位 </w:t>
      </w:r>
      <w:r>
        <w:rPr>
          <w:rFonts w:hint="default"/>
          <w:lang w:val="en-US" w:eastAsia="zh-CN"/>
        </w:rPr>
        <w:t>760m</w:t>
      </w:r>
      <w:r>
        <w:rPr>
          <w:rFonts w:hint="eastAsia"/>
          <w:lang w:val="en-US" w:eastAsia="zh-CN"/>
        </w:rPr>
        <w:t xml:space="preserve">。 </w:t>
      </w:r>
    </w:p>
    <w:bookmarkEnd w:id="190"/>
    <w:bookmarkEnd w:id="191"/>
    <w:p>
      <w:pPr>
        <w:pStyle w:val="7"/>
      </w:pPr>
      <w:bookmarkStart w:id="192" w:name="_Toc26003"/>
      <w:bookmarkStart w:id="193" w:name="_Toc299633121"/>
      <w:bookmarkStart w:id="194" w:name="_Toc336289275"/>
      <w:r>
        <w:rPr>
          <w:rFonts w:hint="eastAsia"/>
          <w:lang w:eastAsia="zh-CN"/>
        </w:rPr>
        <w:t>气候特征</w:t>
      </w:r>
      <w:bookmarkEnd w:id="192"/>
    </w:p>
    <w:bookmarkEnd w:id="193"/>
    <w:bookmarkEnd w:id="194"/>
    <w:p>
      <w:pPr>
        <w:pStyle w:val="1659"/>
        <w:rPr>
          <w:rFonts w:hint="eastAsia"/>
          <w:lang w:val="en-US" w:eastAsia="zh-CN"/>
        </w:rPr>
      </w:pPr>
      <w:r>
        <w:rPr>
          <w:rFonts w:hint="eastAsia"/>
          <w:lang w:val="en-US" w:eastAsia="zh-CN"/>
        </w:rPr>
        <w:t>黔西南州义龙新区位于北回归线以北，南近东南沿海，受东亚季风环流所制， 形成</w:t>
      </w:r>
      <w:r>
        <w:rPr>
          <w:rFonts w:hint="default"/>
          <w:lang w:val="en-US" w:eastAsia="zh-CN"/>
        </w:rPr>
        <w:t>“</w:t>
      </w:r>
      <w:r>
        <w:rPr>
          <w:rFonts w:hint="eastAsia"/>
          <w:lang w:val="en-US" w:eastAsia="zh-CN"/>
        </w:rPr>
        <w:t>十里不同天</w:t>
      </w:r>
      <w:r>
        <w:rPr>
          <w:rFonts w:hint="default"/>
          <w:lang w:val="en-US" w:eastAsia="zh-CN"/>
        </w:rPr>
        <w:t>”</w:t>
      </w:r>
      <w:r>
        <w:rPr>
          <w:rFonts w:hint="eastAsia"/>
          <w:lang w:val="en-US" w:eastAsia="zh-CN"/>
        </w:rPr>
        <w:t>的多种类型立体气候，西北部温凉多雨，东北部温暖少雨，中部温和多雨，东及中南部温热少雨，南部干热少雨，属除南部河谷地带外，大部分地区气候温和，夏无酷暑，冬无严寒，干湿季节分明，素有</w:t>
      </w:r>
      <w:r>
        <w:rPr>
          <w:rFonts w:hint="default"/>
          <w:lang w:val="en-US" w:eastAsia="zh-CN"/>
        </w:rPr>
        <w:t>“</w:t>
      </w:r>
      <w:r>
        <w:rPr>
          <w:rFonts w:hint="eastAsia"/>
          <w:lang w:val="en-US" w:eastAsia="zh-CN"/>
        </w:rPr>
        <w:t>小昆明</w:t>
      </w:r>
      <w:r>
        <w:rPr>
          <w:rFonts w:hint="default"/>
          <w:lang w:val="en-US" w:eastAsia="zh-CN"/>
        </w:rPr>
        <w:t>”</w:t>
      </w:r>
      <w:r>
        <w:rPr>
          <w:rFonts w:hint="eastAsia"/>
          <w:lang w:val="en-US" w:eastAsia="zh-CN"/>
        </w:rPr>
        <w:t xml:space="preserve">之称。年平均气温 </w:t>
      </w:r>
      <w:r>
        <w:rPr>
          <w:rFonts w:hint="default"/>
          <w:lang w:val="en-US" w:eastAsia="zh-CN"/>
        </w:rPr>
        <w:t>15.6°C</w:t>
      </w:r>
      <w:r>
        <w:rPr>
          <w:rFonts w:hint="eastAsia"/>
          <w:lang w:val="en-US" w:eastAsia="zh-CN"/>
        </w:rPr>
        <w:t xml:space="preserve">，极端最高气温 </w:t>
      </w:r>
      <w:r>
        <w:rPr>
          <w:rFonts w:hint="default"/>
          <w:lang w:val="en-US" w:eastAsia="zh-CN"/>
        </w:rPr>
        <w:t>34.0</w:t>
      </w:r>
      <w:r>
        <w:rPr>
          <w:rFonts w:hint="eastAsia"/>
          <w:lang w:val="en-US" w:eastAsia="zh-CN"/>
        </w:rPr>
        <w:t>℃，极端最低气温</w:t>
      </w:r>
      <w:r>
        <w:rPr>
          <w:rFonts w:hint="default"/>
          <w:lang w:val="en-US" w:eastAsia="zh-CN"/>
        </w:rPr>
        <w:t>-8.9</w:t>
      </w:r>
      <w:r>
        <w:rPr>
          <w:rFonts w:hint="eastAsia"/>
          <w:lang w:val="en-US" w:eastAsia="zh-CN"/>
        </w:rPr>
        <w:t xml:space="preserve">℃，最热月平均气温 </w:t>
      </w:r>
      <w:r>
        <w:rPr>
          <w:rFonts w:hint="default"/>
          <w:lang w:val="en-US" w:eastAsia="zh-CN"/>
        </w:rPr>
        <w:t>21.8</w:t>
      </w:r>
      <w:r>
        <w:rPr>
          <w:rFonts w:hint="eastAsia"/>
          <w:lang w:val="en-US" w:eastAsia="zh-CN"/>
        </w:rPr>
        <w:t xml:space="preserve">℃，最低月平均气温 </w:t>
      </w:r>
      <w:r>
        <w:rPr>
          <w:rFonts w:hint="default"/>
          <w:lang w:val="en-US" w:eastAsia="zh-CN"/>
        </w:rPr>
        <w:t>6.0</w:t>
      </w:r>
      <w:r>
        <w:rPr>
          <w:rFonts w:hint="eastAsia"/>
          <w:lang w:val="en-US" w:eastAsia="zh-CN"/>
        </w:rPr>
        <w:t xml:space="preserve">℃，年降水量 </w:t>
      </w:r>
      <w:r>
        <w:rPr>
          <w:rFonts w:hint="default"/>
          <w:lang w:val="en-US" w:eastAsia="zh-CN"/>
        </w:rPr>
        <w:t xml:space="preserve">1256 </w:t>
      </w:r>
      <w:r>
        <w:rPr>
          <w:rFonts w:hint="eastAsia"/>
          <w:lang w:val="en-US" w:eastAsia="zh-CN"/>
        </w:rPr>
        <w:t xml:space="preserve">毫米，最大降水量 </w:t>
      </w:r>
      <w:r>
        <w:rPr>
          <w:rFonts w:hint="default"/>
          <w:lang w:val="en-US" w:eastAsia="zh-CN"/>
        </w:rPr>
        <w:t>140.0mm</w:t>
      </w:r>
      <w:r>
        <w:rPr>
          <w:rFonts w:hint="eastAsia"/>
          <w:lang w:val="en-US" w:eastAsia="zh-CN"/>
        </w:rPr>
        <w:t xml:space="preserve">，降水量大于等于 </w:t>
      </w:r>
      <w:r>
        <w:rPr>
          <w:rFonts w:hint="default"/>
          <w:lang w:val="en-US" w:eastAsia="zh-CN"/>
        </w:rPr>
        <w:t xml:space="preserve">5mm </w:t>
      </w:r>
      <w:r>
        <w:rPr>
          <w:rFonts w:hint="eastAsia"/>
          <w:lang w:val="en-US" w:eastAsia="zh-CN"/>
        </w:rPr>
        <w:t xml:space="preserve">的天数 </w:t>
      </w:r>
      <w:r>
        <w:rPr>
          <w:rFonts w:hint="default"/>
          <w:lang w:val="en-US" w:eastAsia="zh-CN"/>
        </w:rPr>
        <w:t xml:space="preserve">58.0 </w:t>
      </w:r>
      <w:r>
        <w:rPr>
          <w:rFonts w:hint="eastAsia"/>
          <w:lang w:val="en-US" w:eastAsia="zh-CN"/>
        </w:rPr>
        <w:t xml:space="preserve">天，多年平均雷暴日数 </w:t>
      </w:r>
      <w:r>
        <w:rPr>
          <w:rFonts w:hint="default"/>
          <w:lang w:val="en-US" w:eastAsia="zh-CN"/>
        </w:rPr>
        <w:t xml:space="preserve">72.0 </w:t>
      </w:r>
      <w:r>
        <w:rPr>
          <w:rFonts w:hint="eastAsia"/>
          <w:lang w:val="en-US" w:eastAsia="zh-CN"/>
        </w:rPr>
        <w:t xml:space="preserve">天，多年平均冰雹日数 </w:t>
      </w:r>
      <w:r>
        <w:rPr>
          <w:rFonts w:hint="default"/>
          <w:lang w:val="en-US" w:eastAsia="zh-CN"/>
        </w:rPr>
        <w:t xml:space="preserve">2.1 </w:t>
      </w:r>
      <w:r>
        <w:rPr>
          <w:rFonts w:hint="eastAsia"/>
          <w:lang w:val="en-US" w:eastAsia="zh-CN"/>
        </w:rPr>
        <w:t>天，最大积雪深度 10cm，年日照数 1504.7 小时，无霜期 288 天，全年以 NE 风为多，夏季盛行 S 风，冬季盛行 NE 风，年平均风速为 2.4m/s，极端最大风速 20.8m/s。</w:t>
      </w:r>
    </w:p>
    <w:p>
      <w:pPr>
        <w:pStyle w:val="7"/>
      </w:pPr>
      <w:bookmarkStart w:id="195" w:name="_Toc323"/>
      <w:r>
        <w:rPr>
          <w:rFonts w:hint="eastAsia"/>
          <w:lang w:val="en-US" w:eastAsia="zh-CN"/>
        </w:rPr>
        <w:t>植被、生物多样性及土壤</w:t>
      </w:r>
      <w:bookmarkEnd w:id="195"/>
    </w:p>
    <w:p>
      <w:pPr>
        <w:pStyle w:val="1659"/>
      </w:pPr>
      <w:r>
        <w:rPr>
          <w:rFonts w:hint="eastAsia"/>
          <w:lang w:val="en-US" w:eastAsia="zh-CN"/>
        </w:rPr>
        <w:t xml:space="preserve">义龙新区地处高原地区，不同的生物、气候、地形条件，特别是广、温、水、 热的不同，形成了不同的环境生态，使土壤的形状、分布呈明显的地带性和地域性。地带性土壤有山地黄棕坑壤、黄壤、河谷红壤、河谷砖红壤性红壤 </w:t>
      </w:r>
      <w:r>
        <w:rPr>
          <w:rFonts w:hint="default"/>
          <w:lang w:val="en-US" w:eastAsia="zh-CN"/>
        </w:rPr>
        <w:t xml:space="preserve">4 </w:t>
      </w:r>
      <w:r>
        <w:rPr>
          <w:rFonts w:hint="eastAsia"/>
          <w:lang w:val="en-US" w:eastAsia="zh-CN"/>
        </w:rPr>
        <w:t xml:space="preserve">个土类；地域性土壤有石灰土、紫色土、潮土、水稻土 </w:t>
      </w:r>
      <w:r>
        <w:rPr>
          <w:rFonts w:hint="default"/>
          <w:lang w:val="en-US" w:eastAsia="zh-CN"/>
        </w:rPr>
        <w:t xml:space="preserve">4 </w:t>
      </w:r>
      <w:r>
        <w:rPr>
          <w:rFonts w:hint="eastAsia"/>
          <w:lang w:val="en-US" w:eastAsia="zh-CN"/>
        </w:rPr>
        <w:t xml:space="preserve">个土类。以上 </w:t>
      </w:r>
      <w:r>
        <w:rPr>
          <w:rFonts w:hint="default"/>
          <w:lang w:val="en-US" w:eastAsia="zh-CN"/>
        </w:rPr>
        <w:t xml:space="preserve">8 </w:t>
      </w:r>
      <w:r>
        <w:rPr>
          <w:rFonts w:hint="eastAsia"/>
          <w:lang w:val="en-US" w:eastAsia="zh-CN"/>
        </w:rPr>
        <w:t>类土类还可划分为</w:t>
      </w:r>
      <w:r>
        <w:rPr>
          <w:rFonts w:hint="default"/>
          <w:lang w:val="en-US" w:eastAsia="zh-CN"/>
        </w:rPr>
        <w:t>27</w:t>
      </w:r>
      <w:r>
        <w:rPr>
          <w:rFonts w:hint="eastAsia"/>
          <w:lang w:val="en-US" w:eastAsia="zh-CN"/>
        </w:rPr>
        <w:t>个亚类、</w:t>
      </w:r>
      <w:r>
        <w:rPr>
          <w:rFonts w:hint="default"/>
          <w:lang w:val="en-US" w:eastAsia="zh-CN"/>
        </w:rPr>
        <w:t xml:space="preserve">79 </w:t>
      </w:r>
      <w:r>
        <w:rPr>
          <w:rFonts w:hint="eastAsia"/>
          <w:lang w:val="en-US" w:eastAsia="zh-CN"/>
        </w:rPr>
        <w:t>个土属、</w:t>
      </w:r>
      <w:r>
        <w:rPr>
          <w:rFonts w:hint="default"/>
          <w:lang w:val="en-US" w:eastAsia="zh-CN"/>
        </w:rPr>
        <w:t xml:space="preserve">161 </w:t>
      </w:r>
      <w:r>
        <w:rPr>
          <w:rFonts w:hint="eastAsia"/>
          <w:lang w:val="en-US" w:eastAsia="zh-CN"/>
        </w:rPr>
        <w:t xml:space="preserve">个土种。根据地形、地貌、土质的差异，全区的土壤大致可划分为 </w:t>
      </w:r>
      <w:r>
        <w:rPr>
          <w:rFonts w:hint="default"/>
          <w:lang w:val="en-US" w:eastAsia="zh-CN"/>
        </w:rPr>
        <w:t xml:space="preserve">4 </w:t>
      </w:r>
      <w:r>
        <w:rPr>
          <w:rFonts w:hint="eastAsia"/>
          <w:lang w:val="en-US" w:eastAsia="zh-CN"/>
        </w:rPr>
        <w:t>种组合类型：砂页岩高中山山地土壤组合，石灰岩中山峰丛峰林山地土壤组合，石灰岩低中山丘陵、盆地土壤组合，砂页岩低山河谷土壤组合。</w:t>
      </w:r>
    </w:p>
    <w:p>
      <w:pPr>
        <w:pStyle w:val="1659"/>
      </w:pPr>
      <w:r>
        <w:rPr>
          <w:rFonts w:hint="eastAsia"/>
          <w:lang w:val="en-US" w:eastAsia="zh-CN"/>
        </w:rPr>
        <w:t xml:space="preserve">义龙新区植被类型属于亚热带湿润常绿阔叶林、亚热带暖性针叶林。境内植被分布受地形、地貌、气候、土壤等自然条件的影响，形成多种多样的森林类型，影响着森林的分布与生长，大部分林地的主要树种为马尾松、杉木、柏木、枫香等针阔叶树种，占林业用地总面积的 </w:t>
      </w:r>
      <w:r>
        <w:rPr>
          <w:rFonts w:hint="default"/>
          <w:lang w:val="en-US" w:eastAsia="zh-CN"/>
        </w:rPr>
        <w:t>70.4%</w:t>
      </w:r>
      <w:r>
        <w:rPr>
          <w:rFonts w:hint="eastAsia"/>
          <w:lang w:val="en-US" w:eastAsia="zh-CN"/>
        </w:rPr>
        <w:t xml:space="preserve">。海拔 </w:t>
      </w:r>
      <w:r>
        <w:rPr>
          <w:rFonts w:hint="default"/>
          <w:lang w:val="en-US" w:eastAsia="zh-CN"/>
        </w:rPr>
        <w:t xml:space="preserve">800m </w:t>
      </w:r>
      <w:r>
        <w:rPr>
          <w:rFonts w:hint="eastAsia"/>
          <w:lang w:val="en-US" w:eastAsia="zh-CN"/>
        </w:rPr>
        <w:t xml:space="preserve">以上地区，林木多为针、阔叶乔木树种，其次为常绿阔叶林次生植被，主要有马尾松、杉木、柏木；还有多种藤蔓职务、草木植物和菌类、苔藓类植物；海拔 </w:t>
      </w:r>
      <w:r>
        <w:rPr>
          <w:rFonts w:hint="default"/>
          <w:lang w:val="en-US" w:eastAsia="zh-CN"/>
        </w:rPr>
        <w:t xml:space="preserve">500 </w:t>
      </w:r>
      <w:r>
        <w:rPr>
          <w:rFonts w:hint="eastAsia"/>
          <w:lang w:val="en-US" w:eastAsia="zh-CN"/>
        </w:rPr>
        <w:t xml:space="preserve">至 </w:t>
      </w:r>
      <w:r>
        <w:rPr>
          <w:rFonts w:hint="default"/>
          <w:lang w:val="en-US" w:eastAsia="zh-CN"/>
        </w:rPr>
        <w:t xml:space="preserve">800m </w:t>
      </w:r>
      <w:r>
        <w:rPr>
          <w:rFonts w:hint="eastAsia"/>
          <w:lang w:val="en-US" w:eastAsia="zh-CN"/>
        </w:rPr>
        <w:t xml:space="preserve">的地区，以亚热带暖性针叶林为主，林木多针叶乔木和阔叶灌木，还分布有茅草、狗尾草等多种草本植物，且有少量竹类分布；海拔 </w:t>
      </w:r>
      <w:r>
        <w:rPr>
          <w:rFonts w:hint="default"/>
          <w:lang w:val="en-US" w:eastAsia="zh-CN"/>
        </w:rPr>
        <w:t xml:space="preserve">500m </w:t>
      </w:r>
      <w:r>
        <w:rPr>
          <w:rFonts w:hint="eastAsia"/>
          <w:lang w:val="en-US" w:eastAsia="zh-CN"/>
        </w:rPr>
        <w:t xml:space="preserve">以下地区，主要为人工植被，乔木甚少，多零星灌木和草本植物，零星分布有柏木、桉树、喜树、洋槐、黄荆、梨、桔、桃、李等；草本植物有茅草地瓜、蒲公英等。全区森林覆盖率 </w:t>
      </w:r>
      <w:r>
        <w:rPr>
          <w:rFonts w:hint="default"/>
          <w:lang w:val="en-US" w:eastAsia="zh-CN"/>
        </w:rPr>
        <w:t>37.6%</w:t>
      </w:r>
      <w:r>
        <w:rPr>
          <w:rFonts w:hint="eastAsia"/>
          <w:lang w:val="en-US" w:eastAsia="zh-CN"/>
        </w:rPr>
        <w:t xml:space="preserve">。 </w:t>
      </w:r>
    </w:p>
    <w:p>
      <w:pPr>
        <w:pStyle w:val="1659"/>
      </w:pPr>
      <w:r>
        <w:rPr>
          <w:rFonts w:hint="eastAsia"/>
          <w:lang w:val="en-US" w:eastAsia="zh-CN"/>
        </w:rPr>
        <w:t xml:space="preserve">黔西南州义龙新区境生物种类繁多，全县木本植物约 </w:t>
      </w:r>
      <w:r>
        <w:rPr>
          <w:rFonts w:hint="default"/>
          <w:lang w:val="en-US" w:eastAsia="zh-CN"/>
        </w:rPr>
        <w:t xml:space="preserve">800 </w:t>
      </w:r>
      <w:r>
        <w:rPr>
          <w:rFonts w:hint="eastAsia"/>
          <w:lang w:val="en-US" w:eastAsia="zh-CN"/>
        </w:rPr>
        <w:t xml:space="preserve">余种，其中乔木 </w:t>
      </w:r>
      <w:r>
        <w:rPr>
          <w:rFonts w:hint="default"/>
          <w:lang w:val="en-US" w:eastAsia="zh-CN"/>
        </w:rPr>
        <w:t>450</w:t>
      </w:r>
      <w:r>
        <w:rPr>
          <w:rFonts w:hint="eastAsia"/>
          <w:lang w:val="en-US" w:eastAsia="zh-CN"/>
        </w:rPr>
        <w:t xml:space="preserve">种以上，主要针叶有云南松、华山松、杉树等，主要阔叶树有栎类、泡桐、枫香、女贞、桃、李等。草本植物约有 </w:t>
      </w:r>
      <w:r>
        <w:rPr>
          <w:rFonts w:hint="default"/>
          <w:lang w:val="en-US" w:eastAsia="zh-CN"/>
        </w:rPr>
        <w:t xml:space="preserve">100 </w:t>
      </w:r>
      <w:r>
        <w:rPr>
          <w:rFonts w:hint="eastAsia"/>
          <w:lang w:val="en-US" w:eastAsia="zh-CN"/>
        </w:rPr>
        <w:t xml:space="preserve">多种 </w:t>
      </w:r>
      <w:r>
        <w:rPr>
          <w:rFonts w:hint="default"/>
          <w:lang w:val="en-US" w:eastAsia="zh-CN"/>
        </w:rPr>
        <w:t xml:space="preserve">3000 </w:t>
      </w:r>
      <w:r>
        <w:rPr>
          <w:rFonts w:hint="eastAsia"/>
          <w:lang w:val="en-US" w:eastAsia="zh-CN"/>
        </w:rPr>
        <w:t>多种，藤本植物有草质和木质两类。菌类种类繁多，常见鸡纵菌、马蹄菌等。黔西南州义龙新区气候良好，土地肥沃，适宜发展粮、茶、林、果及中药材、芭蕉芋等绿色产业，是国家商品粮基地，贵州省金银花主产区和黔西南草地畜牧业基地。动物主要为常见的哺乳动物及鸟类、蛇类等。</w:t>
      </w:r>
    </w:p>
    <w:p>
      <w:pPr>
        <w:pStyle w:val="7"/>
      </w:pPr>
      <w:bookmarkStart w:id="196" w:name="_Toc303072879"/>
      <w:bookmarkEnd w:id="196"/>
      <w:bookmarkStart w:id="197" w:name="_Toc31261"/>
      <w:r>
        <w:rPr>
          <w:rFonts w:hint="eastAsia"/>
          <w:lang w:eastAsia="zh-CN"/>
        </w:rPr>
        <w:t>地表水和地下水</w:t>
      </w:r>
      <w:bookmarkEnd w:id="197"/>
    </w:p>
    <w:p>
      <w:pPr>
        <w:pStyle w:val="1659"/>
        <w:rPr>
          <w:rFonts w:hint="eastAsia"/>
          <w:kern w:val="0"/>
          <w:lang w:val="en-US" w:eastAsia="zh-CN"/>
        </w:rPr>
      </w:pPr>
      <w:r>
        <w:rPr>
          <w:rFonts w:hint="eastAsia"/>
          <w:kern w:val="0"/>
          <w:lang w:val="en-US" w:eastAsia="zh-CN"/>
        </w:rPr>
        <w:t>（1）地表水</w:t>
      </w:r>
    </w:p>
    <w:p>
      <w:pPr>
        <w:pStyle w:val="1659"/>
        <w:rPr>
          <w:kern w:val="0"/>
        </w:rPr>
      </w:pPr>
      <w:r>
        <w:rPr>
          <w:rFonts w:hint="eastAsia"/>
          <w:kern w:val="0"/>
          <w:lang w:val="en-US" w:eastAsia="zh-CN"/>
        </w:rPr>
        <w:t xml:space="preserve">义龙新区内部主要河流有白水河、新桥河、纳省河、狮子山河、顶效河、樟屯者山河等。 </w:t>
      </w:r>
    </w:p>
    <w:p>
      <w:pPr>
        <w:pStyle w:val="1659"/>
        <w:rPr>
          <w:kern w:val="0"/>
        </w:rPr>
      </w:pPr>
      <w:r>
        <w:rPr>
          <w:rFonts w:hint="eastAsia"/>
          <w:kern w:val="0"/>
          <w:lang w:val="en-US" w:eastAsia="zh-CN"/>
        </w:rPr>
        <w:t xml:space="preserve">白水河：属珠江流域南盘江的一级支流，发源于安龙县海子乡的庙湾村，进入新桥镇为新桥河，主河长 </w:t>
      </w:r>
      <w:r>
        <w:rPr>
          <w:rFonts w:hint="default"/>
          <w:kern w:val="0"/>
          <w:lang w:val="en-US" w:eastAsia="zh-CN"/>
        </w:rPr>
        <w:t xml:space="preserve">53.1 </w:t>
      </w:r>
      <w:r>
        <w:rPr>
          <w:rFonts w:hint="eastAsia"/>
          <w:kern w:val="0"/>
          <w:lang w:val="en-US" w:eastAsia="zh-CN"/>
        </w:rPr>
        <w:t xml:space="preserve">公里，落差 </w:t>
      </w:r>
      <w:r>
        <w:rPr>
          <w:rFonts w:hint="default"/>
          <w:kern w:val="0"/>
          <w:lang w:val="en-US" w:eastAsia="zh-CN"/>
        </w:rPr>
        <w:t xml:space="preserve">968 </w:t>
      </w:r>
      <w:r>
        <w:rPr>
          <w:rFonts w:hint="eastAsia"/>
          <w:kern w:val="0"/>
          <w:lang w:val="en-US" w:eastAsia="zh-CN"/>
        </w:rPr>
        <w:t xml:space="preserve">米，流域面积 </w:t>
      </w:r>
      <w:r>
        <w:rPr>
          <w:rFonts w:hint="default"/>
          <w:kern w:val="0"/>
          <w:lang w:val="en-US" w:eastAsia="zh-CN"/>
        </w:rPr>
        <w:t xml:space="preserve">361.5 </w:t>
      </w:r>
      <w:r>
        <w:rPr>
          <w:rFonts w:hint="eastAsia"/>
          <w:kern w:val="0"/>
          <w:lang w:val="en-US" w:eastAsia="zh-CN"/>
        </w:rPr>
        <w:t xml:space="preserve">平方公里，多年平均流量为 </w:t>
      </w:r>
      <w:r>
        <w:rPr>
          <w:rFonts w:hint="default"/>
          <w:kern w:val="0"/>
          <w:lang w:val="en-US" w:eastAsia="zh-CN"/>
        </w:rPr>
        <w:t xml:space="preserve">6.39 </w:t>
      </w:r>
      <w:r>
        <w:rPr>
          <w:rFonts w:hint="eastAsia"/>
          <w:kern w:val="0"/>
          <w:lang w:val="en-US" w:eastAsia="zh-CN"/>
        </w:rPr>
        <w:t>立方米</w:t>
      </w:r>
      <w:r>
        <w:rPr>
          <w:rFonts w:hint="default"/>
          <w:kern w:val="0"/>
          <w:lang w:val="en-US" w:eastAsia="zh-CN"/>
        </w:rPr>
        <w:t>/</w:t>
      </w:r>
      <w:r>
        <w:rPr>
          <w:rFonts w:hint="eastAsia"/>
          <w:kern w:val="0"/>
          <w:lang w:val="en-US" w:eastAsia="zh-CN"/>
        </w:rPr>
        <w:t xml:space="preserve">秒。 </w:t>
      </w:r>
    </w:p>
    <w:p>
      <w:pPr>
        <w:pStyle w:val="1659"/>
        <w:rPr>
          <w:kern w:val="0"/>
        </w:rPr>
      </w:pPr>
      <w:r>
        <w:rPr>
          <w:rFonts w:hint="eastAsia"/>
          <w:kern w:val="0"/>
          <w:lang w:val="en-US" w:eastAsia="zh-CN"/>
        </w:rPr>
        <w:t xml:space="preserve">新桥河：新桥河由龙广镇拓仑村入新桥镇境内，呈西南走向，流经境内新桥村、荷花村汇入白水河，总长度 </w:t>
      </w:r>
      <w:r>
        <w:rPr>
          <w:rFonts w:hint="default"/>
          <w:kern w:val="0"/>
          <w:lang w:val="en-US" w:eastAsia="zh-CN"/>
        </w:rPr>
        <w:t xml:space="preserve">14.2 </w:t>
      </w:r>
      <w:r>
        <w:rPr>
          <w:rFonts w:hint="eastAsia"/>
          <w:kern w:val="0"/>
          <w:lang w:val="en-US" w:eastAsia="zh-CN"/>
        </w:rPr>
        <w:t xml:space="preserve">千米，多年平均流量为 </w:t>
      </w:r>
      <w:r>
        <w:rPr>
          <w:rFonts w:hint="default"/>
          <w:kern w:val="0"/>
          <w:lang w:val="en-US" w:eastAsia="zh-CN"/>
        </w:rPr>
        <w:t xml:space="preserve">6.39 </w:t>
      </w:r>
      <w:r>
        <w:rPr>
          <w:rFonts w:hint="eastAsia"/>
          <w:kern w:val="0"/>
          <w:lang w:val="en-US" w:eastAsia="zh-CN"/>
        </w:rPr>
        <w:t>立方米</w:t>
      </w:r>
      <w:r>
        <w:rPr>
          <w:rFonts w:hint="default"/>
          <w:kern w:val="0"/>
          <w:lang w:val="en-US" w:eastAsia="zh-CN"/>
        </w:rPr>
        <w:t>/</w:t>
      </w:r>
      <w:r>
        <w:rPr>
          <w:rFonts w:hint="eastAsia"/>
          <w:kern w:val="0"/>
          <w:lang w:val="en-US" w:eastAsia="zh-CN"/>
        </w:rPr>
        <w:t>秒，年均径流总量</w:t>
      </w:r>
      <w:r>
        <w:rPr>
          <w:rFonts w:hint="default"/>
          <w:kern w:val="0"/>
          <w:lang w:val="en-US" w:eastAsia="zh-CN"/>
        </w:rPr>
        <w:t xml:space="preserve">3.39 </w:t>
      </w:r>
      <w:r>
        <w:rPr>
          <w:rFonts w:hint="eastAsia"/>
          <w:kern w:val="0"/>
          <w:lang w:val="en-US" w:eastAsia="zh-CN"/>
        </w:rPr>
        <w:t xml:space="preserve">亿立方米，年排涝量 </w:t>
      </w:r>
      <w:r>
        <w:rPr>
          <w:rFonts w:hint="default"/>
          <w:kern w:val="0"/>
          <w:lang w:val="en-US" w:eastAsia="zh-CN"/>
        </w:rPr>
        <w:t xml:space="preserve">5.4 </w:t>
      </w:r>
      <w:r>
        <w:rPr>
          <w:rFonts w:hint="eastAsia"/>
          <w:kern w:val="0"/>
          <w:lang w:val="en-US" w:eastAsia="zh-CN"/>
        </w:rPr>
        <w:t xml:space="preserve">亿立方米。 </w:t>
      </w:r>
    </w:p>
    <w:p>
      <w:pPr>
        <w:pStyle w:val="1659"/>
        <w:rPr>
          <w:kern w:val="0"/>
        </w:rPr>
      </w:pPr>
      <w:r>
        <w:rPr>
          <w:rFonts w:hint="eastAsia"/>
          <w:kern w:val="0"/>
          <w:lang w:val="en-US" w:eastAsia="zh-CN"/>
        </w:rPr>
        <w:t xml:space="preserve">纳省河：位于马岭镇，发源于兴仁市鲁础营乡与兴义市东北交界的么唐，又称纳省大沟，主河道长 </w:t>
      </w:r>
      <w:r>
        <w:rPr>
          <w:rFonts w:hint="default"/>
          <w:kern w:val="0"/>
          <w:lang w:val="en-US" w:eastAsia="zh-CN"/>
        </w:rPr>
        <w:t xml:space="preserve">32.5 </w:t>
      </w:r>
      <w:r>
        <w:rPr>
          <w:rFonts w:hint="eastAsia"/>
          <w:kern w:val="0"/>
          <w:lang w:val="en-US" w:eastAsia="zh-CN"/>
        </w:rPr>
        <w:t xml:space="preserve">公里。 </w:t>
      </w:r>
    </w:p>
    <w:p>
      <w:pPr>
        <w:pStyle w:val="1659"/>
        <w:rPr>
          <w:kern w:val="0"/>
        </w:rPr>
      </w:pPr>
      <w:r>
        <w:rPr>
          <w:rFonts w:hint="eastAsia"/>
          <w:kern w:val="0"/>
          <w:lang w:val="en-US" w:eastAsia="zh-CN"/>
        </w:rPr>
        <w:t>狮子山河：属南盘江水系，发源于兴义市郑屯镇之老王寨、下龙井一带。河长</w:t>
      </w:r>
      <w:r>
        <w:rPr>
          <w:rFonts w:hint="default"/>
          <w:kern w:val="0"/>
          <w:lang w:val="en-US" w:eastAsia="zh-CN"/>
        </w:rPr>
        <w:t xml:space="preserve">46.4 </w:t>
      </w:r>
      <w:r>
        <w:rPr>
          <w:rFonts w:hint="eastAsia"/>
          <w:kern w:val="0"/>
          <w:lang w:val="en-US" w:eastAsia="zh-CN"/>
        </w:rPr>
        <w:t xml:space="preserve">平方公里，年均流量 </w:t>
      </w:r>
      <w:r>
        <w:rPr>
          <w:rFonts w:hint="default"/>
          <w:kern w:val="0"/>
          <w:lang w:val="en-US" w:eastAsia="zh-CN"/>
        </w:rPr>
        <w:t xml:space="preserve">343 </w:t>
      </w:r>
      <w:r>
        <w:rPr>
          <w:rFonts w:hint="eastAsia"/>
          <w:kern w:val="0"/>
          <w:lang w:val="en-US" w:eastAsia="zh-CN"/>
        </w:rPr>
        <w:t xml:space="preserve">万立方米。 </w:t>
      </w:r>
    </w:p>
    <w:p>
      <w:pPr>
        <w:pStyle w:val="1659"/>
        <w:rPr>
          <w:kern w:val="0"/>
        </w:rPr>
      </w:pPr>
      <w:r>
        <w:rPr>
          <w:rFonts w:hint="eastAsia"/>
          <w:kern w:val="0"/>
          <w:lang w:val="en-US" w:eastAsia="zh-CN"/>
        </w:rPr>
        <w:t xml:space="preserve">顶效河：位于顶效镇，发源于郑屯镇前丰，由东向西流经顶效镇后于峡谷大桥附近汇入马岭河，主河道 </w:t>
      </w:r>
      <w:r>
        <w:rPr>
          <w:rFonts w:hint="default"/>
          <w:kern w:val="0"/>
          <w:lang w:val="en-US" w:eastAsia="zh-CN"/>
        </w:rPr>
        <w:t xml:space="preserve">14 </w:t>
      </w:r>
      <w:r>
        <w:rPr>
          <w:rFonts w:hint="eastAsia"/>
          <w:kern w:val="0"/>
          <w:lang w:val="en-US" w:eastAsia="zh-CN"/>
        </w:rPr>
        <w:t>公里。顶效河分成三股注入马岭河，是峡谷以及规划景点</w:t>
      </w:r>
      <w:r>
        <w:rPr>
          <w:rFonts w:hint="default"/>
          <w:kern w:val="0"/>
          <w:lang w:val="en-US" w:eastAsia="zh-CN"/>
        </w:rPr>
        <w:t>“</w:t>
      </w:r>
      <w:r>
        <w:rPr>
          <w:rFonts w:hint="eastAsia"/>
          <w:kern w:val="0"/>
          <w:lang w:val="en-US" w:eastAsia="zh-CN"/>
        </w:rPr>
        <w:t>宏瀑岸</w:t>
      </w:r>
      <w:r>
        <w:rPr>
          <w:rFonts w:hint="default"/>
          <w:kern w:val="0"/>
          <w:lang w:val="en-US" w:eastAsia="zh-CN"/>
        </w:rPr>
        <w:t>”</w:t>
      </w:r>
      <w:r>
        <w:rPr>
          <w:rFonts w:hint="eastAsia"/>
          <w:kern w:val="0"/>
          <w:lang w:val="en-US" w:eastAsia="zh-CN"/>
        </w:rPr>
        <w:t>中</w:t>
      </w:r>
      <w:r>
        <w:rPr>
          <w:rFonts w:hint="default"/>
          <w:kern w:val="0"/>
          <w:lang w:val="en-US" w:eastAsia="zh-CN"/>
        </w:rPr>
        <w:t>“</w:t>
      </w:r>
      <w:r>
        <w:rPr>
          <w:rFonts w:hint="eastAsia"/>
          <w:kern w:val="0"/>
          <w:lang w:val="en-US" w:eastAsia="zh-CN"/>
        </w:rPr>
        <w:t>万马奔腾</w:t>
      </w:r>
      <w:r>
        <w:rPr>
          <w:rFonts w:hint="default"/>
          <w:kern w:val="0"/>
          <w:lang w:val="en-US" w:eastAsia="zh-CN"/>
        </w:rPr>
        <w:t>”</w:t>
      </w:r>
      <w:r>
        <w:rPr>
          <w:rFonts w:hint="eastAsia"/>
          <w:kern w:val="0"/>
          <w:lang w:val="en-US" w:eastAsia="zh-CN"/>
        </w:rPr>
        <w:t xml:space="preserve">瀑布群的主要水源。 </w:t>
      </w:r>
    </w:p>
    <w:p>
      <w:pPr>
        <w:pStyle w:val="1659"/>
        <w:rPr>
          <w:kern w:val="0"/>
        </w:rPr>
      </w:pPr>
      <w:r>
        <w:rPr>
          <w:rFonts w:hint="eastAsia"/>
          <w:kern w:val="0"/>
          <w:lang w:val="en-US" w:eastAsia="zh-CN"/>
        </w:rPr>
        <w:t xml:space="preserve">樟屯河：流自阿红流经下坝、万屯、贡新等村后，与者山河后汇入马岭河，流量为 </w:t>
      </w:r>
      <w:r>
        <w:rPr>
          <w:rFonts w:hint="default"/>
          <w:kern w:val="0"/>
          <w:lang w:val="en-US" w:eastAsia="zh-CN"/>
        </w:rPr>
        <w:t xml:space="preserve">0.25 </w:t>
      </w:r>
      <w:r>
        <w:rPr>
          <w:rFonts w:hint="eastAsia"/>
          <w:kern w:val="0"/>
          <w:lang w:val="en-US" w:eastAsia="zh-CN"/>
        </w:rPr>
        <w:t>立方米</w:t>
      </w:r>
      <w:r>
        <w:rPr>
          <w:rFonts w:hint="default"/>
          <w:kern w:val="0"/>
          <w:lang w:val="en-US" w:eastAsia="zh-CN"/>
        </w:rPr>
        <w:t>/</w:t>
      </w:r>
      <w:r>
        <w:rPr>
          <w:rFonts w:hint="eastAsia"/>
          <w:kern w:val="0"/>
          <w:lang w:val="en-US" w:eastAsia="zh-CN"/>
        </w:rPr>
        <w:t>秒</w:t>
      </w:r>
      <w:r>
        <w:rPr>
          <w:rFonts w:hint="default"/>
          <w:kern w:val="0"/>
          <w:lang w:val="en-US" w:eastAsia="zh-CN"/>
        </w:rPr>
        <w:t xml:space="preserve">—6 </w:t>
      </w:r>
      <w:r>
        <w:rPr>
          <w:rFonts w:hint="eastAsia"/>
          <w:kern w:val="0"/>
          <w:lang w:val="en-US" w:eastAsia="zh-CN"/>
        </w:rPr>
        <w:t>立方米</w:t>
      </w:r>
      <w:r>
        <w:rPr>
          <w:rFonts w:hint="default"/>
          <w:kern w:val="0"/>
          <w:lang w:val="en-US" w:eastAsia="zh-CN"/>
        </w:rPr>
        <w:t>/</w:t>
      </w:r>
      <w:r>
        <w:rPr>
          <w:rFonts w:hint="eastAsia"/>
          <w:kern w:val="0"/>
          <w:lang w:val="en-US" w:eastAsia="zh-CN"/>
        </w:rPr>
        <w:t xml:space="preserve">秒。 </w:t>
      </w:r>
    </w:p>
    <w:p>
      <w:pPr>
        <w:pStyle w:val="1659"/>
        <w:rPr>
          <w:rFonts w:hint="eastAsia"/>
          <w:kern w:val="0"/>
          <w:lang w:val="en-US" w:eastAsia="zh-CN"/>
        </w:rPr>
      </w:pPr>
      <w:r>
        <w:rPr>
          <w:rFonts w:hint="eastAsia"/>
          <w:kern w:val="0"/>
          <w:lang w:val="en-US" w:eastAsia="zh-CN"/>
        </w:rPr>
        <w:t xml:space="preserve">者山河：丰水期可供水 </w:t>
      </w:r>
      <w:r>
        <w:rPr>
          <w:rFonts w:hint="default"/>
          <w:kern w:val="0"/>
          <w:lang w:val="en-US" w:eastAsia="zh-CN"/>
        </w:rPr>
        <w:t xml:space="preserve">2690 </w:t>
      </w:r>
      <w:r>
        <w:rPr>
          <w:rFonts w:hint="eastAsia"/>
          <w:kern w:val="0"/>
          <w:lang w:val="en-US" w:eastAsia="zh-CN"/>
        </w:rPr>
        <w:t xml:space="preserve">万立方米，枯水期可供水 </w:t>
      </w:r>
      <w:r>
        <w:rPr>
          <w:rFonts w:hint="default"/>
          <w:kern w:val="0"/>
          <w:lang w:val="en-US" w:eastAsia="zh-CN"/>
        </w:rPr>
        <w:t xml:space="preserve">300 </w:t>
      </w:r>
      <w:r>
        <w:rPr>
          <w:rFonts w:hint="eastAsia"/>
          <w:kern w:val="0"/>
          <w:lang w:val="en-US" w:eastAsia="zh-CN"/>
        </w:rPr>
        <w:t>万立方米，全年可供水</w:t>
      </w:r>
      <w:r>
        <w:rPr>
          <w:rFonts w:hint="default"/>
          <w:kern w:val="0"/>
          <w:lang w:val="en-US" w:eastAsia="zh-CN"/>
        </w:rPr>
        <w:t xml:space="preserve">29900 </w:t>
      </w:r>
      <w:r>
        <w:rPr>
          <w:rFonts w:hint="eastAsia"/>
          <w:kern w:val="0"/>
          <w:lang w:val="en-US" w:eastAsia="zh-CN"/>
        </w:rPr>
        <w:t>万立方米。</w:t>
      </w:r>
    </w:p>
    <w:p>
      <w:pPr>
        <w:pStyle w:val="1659"/>
        <w:rPr>
          <w:rFonts w:hint="eastAsia"/>
          <w:kern w:val="0"/>
          <w:lang w:val="en-US" w:eastAsia="zh-CN"/>
        </w:rPr>
      </w:pPr>
      <w:r>
        <w:rPr>
          <w:rFonts w:hint="eastAsia"/>
          <w:kern w:val="0"/>
          <w:lang w:val="en-US" w:eastAsia="zh-CN"/>
        </w:rPr>
        <w:t>（2）地下水</w:t>
      </w:r>
    </w:p>
    <w:p>
      <w:pPr>
        <w:pStyle w:val="1659"/>
        <w:rPr>
          <w:rFonts w:hint="eastAsia"/>
          <w:kern w:val="0"/>
          <w:lang w:val="en-US" w:eastAsia="zh-CN"/>
        </w:rPr>
      </w:pPr>
      <w:r>
        <w:rPr>
          <w:rFonts w:hint="eastAsia"/>
          <w:kern w:val="0"/>
          <w:lang w:val="en-US" w:eastAsia="zh-CN"/>
        </w:rPr>
        <w:t>义龙新区地下水资源丰富，可开发利用的地下水为 3.2×10</w:t>
      </w:r>
      <w:r>
        <w:rPr>
          <w:rFonts w:hint="eastAsia"/>
          <w:kern w:val="0"/>
          <w:vertAlign w:val="superscript"/>
          <w:lang w:val="en-US" w:eastAsia="zh-CN"/>
        </w:rPr>
        <w:t>8</w:t>
      </w:r>
      <w:r>
        <w:rPr>
          <w:rFonts w:hint="eastAsia"/>
          <w:kern w:val="0"/>
          <w:lang w:val="en-US" w:eastAsia="zh-CN"/>
        </w:rPr>
        <w:t>m</w:t>
      </w:r>
      <w:r>
        <w:rPr>
          <w:rFonts w:hint="eastAsia"/>
          <w:kern w:val="0"/>
          <w:vertAlign w:val="superscript"/>
          <w:lang w:val="en-US" w:eastAsia="zh-CN"/>
        </w:rPr>
        <w:t>3</w:t>
      </w:r>
      <w:r>
        <w:rPr>
          <w:rFonts w:hint="eastAsia"/>
          <w:kern w:val="0"/>
          <w:lang w:val="en-US" w:eastAsia="zh-CN"/>
        </w:rPr>
        <w:t>，泉水流量 1L/s以上的 312 处，20L/s 以上的 32 处，100L/s 以上的 13 处。地下水分布受岩性、地质构造及地貌条件制约，在河流上游及其分水岭一带的地下水埋藏较深，水量相对较小；在坝子台地上，地下水面积大，距地面一般仅 3～10m，并以水平方向运动，有利于开发利用；在岩溶峰丛林洼地一带地下水埋藏在 30m 以上，且以垂直运动为主，以暗河形式排泄，难以开发利用。</w:t>
      </w:r>
    </w:p>
    <w:p>
      <w:pPr>
        <w:pStyle w:val="7"/>
      </w:pPr>
      <w:bookmarkStart w:id="198" w:name="_Toc707"/>
      <w:r>
        <w:rPr>
          <w:rFonts w:hint="eastAsia"/>
          <w:lang w:eastAsia="zh-CN"/>
        </w:rPr>
        <w:t>矿产资源</w:t>
      </w:r>
      <w:bookmarkEnd w:id="198"/>
    </w:p>
    <w:p>
      <w:pPr>
        <w:pStyle w:val="1659"/>
        <w:rPr>
          <w:rFonts w:hint="eastAsia"/>
          <w:kern w:val="0"/>
          <w:lang w:val="en-US" w:eastAsia="zh-CN"/>
        </w:rPr>
      </w:pPr>
      <w:r>
        <w:rPr>
          <w:rFonts w:hint="eastAsia"/>
          <w:kern w:val="0"/>
          <w:lang w:val="en-US" w:eastAsia="zh-CN"/>
        </w:rPr>
        <w:t xml:space="preserve">义龙新区矿产资源储量丰富、分布较广，主要有金、铁、煤、锑、钼、汞、砷、石英石、白云石等 10 余种。 </w:t>
      </w:r>
    </w:p>
    <w:p>
      <w:pPr>
        <w:pStyle w:val="1659"/>
        <w:rPr>
          <w:rFonts w:hint="eastAsia"/>
          <w:kern w:val="0"/>
          <w:lang w:val="en-US" w:eastAsia="zh-CN"/>
        </w:rPr>
      </w:pPr>
      <w:r>
        <w:rPr>
          <w:rFonts w:hint="eastAsia"/>
          <w:kern w:val="0"/>
          <w:lang w:val="en-US" w:eastAsia="zh-CN"/>
        </w:rPr>
        <w:t xml:space="preserve">煤矿：煤矿地层除黄泥河形成石碳系外，其余大部分形成于三叠系。现今深埋在 1000 米以内的煤矿，主要分布于雄武至白碗窑、七舍八环地至白碗窑龙井、 坪东干沟至威舍小水井、清水河车榔、鲁屯白马山至马岭中寨 5 个地段。 </w:t>
      </w:r>
    </w:p>
    <w:p>
      <w:pPr>
        <w:pStyle w:val="1659"/>
        <w:rPr>
          <w:rFonts w:hint="eastAsia"/>
          <w:kern w:val="0"/>
          <w:lang w:val="en-US" w:eastAsia="zh-CN"/>
        </w:rPr>
      </w:pPr>
      <w:r>
        <w:rPr>
          <w:rFonts w:hint="eastAsia"/>
          <w:kern w:val="0"/>
          <w:lang w:val="en-US" w:eastAsia="zh-CN"/>
        </w:rPr>
        <w:t xml:space="preserve">金属矿：已初步探明金属矿产主要有金矿、钼矿、铁矿、汞矿等，另有矿化显示的矿种有：钴矿、锰矿、锑矿、砂岩铜矿、铅矿、锌矿等，需进一步勘查。 </w:t>
      </w:r>
    </w:p>
    <w:p>
      <w:pPr>
        <w:pStyle w:val="1659"/>
        <w:rPr>
          <w:rFonts w:hint="eastAsia"/>
          <w:kern w:val="0"/>
          <w:lang w:val="en-US" w:eastAsia="zh-CN"/>
        </w:rPr>
      </w:pPr>
      <w:r>
        <w:rPr>
          <w:rFonts w:hint="eastAsia"/>
          <w:kern w:val="0"/>
          <w:lang w:val="en-US" w:eastAsia="zh-CN"/>
        </w:rPr>
        <w:t xml:space="preserve">非金属矿：主要有水泥用灰岩、砂岩、粘土和砖瓦用粘土、饰面用灰岩、陶瓷用粘土、砖瓦用页岩、建筑用砂石等。另有水晶、萤石矿产，均属矿化显示， 需进一步核实。 </w:t>
      </w:r>
    </w:p>
    <w:p>
      <w:pPr>
        <w:pStyle w:val="7"/>
      </w:pPr>
      <w:bookmarkStart w:id="199" w:name="_Toc19042"/>
      <w:r>
        <w:rPr>
          <w:rFonts w:hint="eastAsia"/>
          <w:lang w:eastAsia="zh-CN"/>
        </w:rPr>
        <w:t>旅游资源</w:t>
      </w:r>
      <w:bookmarkEnd w:id="199"/>
    </w:p>
    <w:p>
      <w:pPr>
        <w:pStyle w:val="1659"/>
        <w:rPr>
          <w:rFonts w:hint="eastAsia"/>
          <w:kern w:val="0"/>
          <w:lang w:val="en-US" w:eastAsia="zh-CN"/>
        </w:rPr>
      </w:pPr>
      <w:r>
        <w:rPr>
          <w:rFonts w:hint="eastAsia"/>
          <w:kern w:val="0"/>
          <w:lang w:val="en-US" w:eastAsia="zh-CN"/>
        </w:rPr>
        <w:t xml:space="preserve">目前黔西南州现有国家重点风景名胜区 1 处（马岭河峡谷——万峰林），国家地质公园 1 处，全国农业旅游示范点 1 处（下五屯），AA 级工业旅游区 1处（贵州醇酒厂奇香园），省重点风景名胜区 2 处（泥凼石林、鲁布格深谷湖），其余大小自然、人文景点 80 余处。兴义市旅游资源个性特征十分明显，具有峡谷风光、高原平湖、峰林奇景、田园风光、历史文化、民族风情、名人旧居、建筑风貌、风味小吃、地方特产等特征。兴义市旅游资源具有自然条件得天独厚、自然景观雄奇俊秀、人文景观异彩纷呈、民族风情浓郁奇异、自然遗产古老深远的优势，且还具有区位优越、气候宜人，资源丰富、种类齐全，风格独特、组合良好，旅游交通、接待条件日益完善的良好开发条件，开发价值极高。 </w:t>
      </w:r>
    </w:p>
    <w:p>
      <w:pPr>
        <w:pStyle w:val="1659"/>
        <w:rPr>
          <w:rFonts w:hint="eastAsia"/>
          <w:kern w:val="0"/>
          <w:lang w:val="en-US" w:eastAsia="zh-CN"/>
        </w:rPr>
      </w:pPr>
      <w:r>
        <w:rPr>
          <w:rFonts w:hint="eastAsia"/>
          <w:kern w:val="0"/>
          <w:lang w:val="en-US" w:eastAsia="zh-CN"/>
        </w:rPr>
        <w:t>项目用地范围内无风景名胜、文物古迹、自然保护区，也不属于水源保护区。</w:t>
      </w:r>
    </w:p>
    <w:p>
      <w:pPr>
        <w:pStyle w:val="5"/>
        <w:spacing w:before="156" w:after="156"/>
        <w:rPr>
          <w:b/>
          <w:bCs w:val="0"/>
        </w:rPr>
      </w:pPr>
      <w:bookmarkStart w:id="200" w:name="_Toc23875"/>
      <w:r>
        <w:rPr>
          <w:rFonts w:hint="eastAsia"/>
          <w:b/>
          <w:bCs w:val="0"/>
          <w:lang w:eastAsia="zh-CN"/>
        </w:rPr>
        <w:t>环境质量现状调查与评价</w:t>
      </w:r>
      <w:bookmarkEnd w:id="200"/>
    </w:p>
    <w:p>
      <w:pPr>
        <w:pStyle w:val="1192"/>
        <w:ind w:firstLine="480"/>
      </w:pPr>
      <w:r>
        <w:rPr>
          <w:rFonts w:hint="eastAsia"/>
          <w:lang w:eastAsia="zh-CN"/>
        </w:rPr>
        <w:t>受贵州兴牛肉食委托，黔西南州华科检测</w:t>
      </w:r>
      <w:r>
        <w:rPr>
          <w:rFonts w:hint="eastAsia"/>
        </w:rPr>
        <w:t>技术有限公司于</w:t>
      </w:r>
      <w:r>
        <w:rPr>
          <w:rFonts w:hint="eastAsia"/>
          <w:lang w:val="en-US" w:eastAsia="zh-CN"/>
        </w:rPr>
        <w:t>2020年7月7日</w:t>
      </w:r>
      <w:r>
        <w:rPr>
          <w:rFonts w:hint="eastAsia"/>
        </w:rPr>
        <w:t>日</w:t>
      </w:r>
      <w:r>
        <w:rPr>
          <w:rFonts w:hint="eastAsia"/>
          <w:lang w:val="en-US" w:eastAsia="zh-CN"/>
        </w:rPr>
        <w:t>-2020年7月13日</w:t>
      </w:r>
      <w:r>
        <w:rPr>
          <w:rFonts w:hint="eastAsia"/>
        </w:rPr>
        <w:t>对《</w:t>
      </w:r>
      <w:r>
        <w:rPr>
          <w:rFonts w:hint="eastAsia"/>
          <w:lang w:eastAsia="zh-CN"/>
        </w:rPr>
        <w:t>黔西南州义龙新区“中国万屯”肉牛屠宰深加工项目</w:t>
      </w:r>
      <w:r>
        <w:rPr>
          <w:rFonts w:hint="eastAsia"/>
        </w:rPr>
        <w:t>》进行现场环境监测，主要监测环境空气、声环境、土壤、地下水。</w:t>
      </w:r>
    </w:p>
    <w:p>
      <w:pPr>
        <w:pStyle w:val="1192"/>
        <w:ind w:firstLine="480"/>
      </w:pPr>
      <w:r>
        <w:t>本次</w:t>
      </w:r>
      <w:r>
        <w:rPr>
          <w:rFonts w:hint="eastAsia"/>
          <w:lang w:eastAsia="zh-CN"/>
        </w:rPr>
        <w:t>环境质量现状检测主要对项目所在区域</w:t>
      </w:r>
      <w:r>
        <w:t>的</w:t>
      </w:r>
      <w:r>
        <w:rPr>
          <w:rFonts w:hint="eastAsia"/>
        </w:rPr>
        <w:t>环境空气、</w:t>
      </w:r>
      <w:r>
        <w:rPr>
          <w:rFonts w:hint="eastAsia"/>
          <w:lang w:eastAsia="zh-CN"/>
        </w:rPr>
        <w:t>地表水、地下水、噪声进行监测，其具体监测方案详见表</w:t>
      </w:r>
      <w:r>
        <w:rPr>
          <w:rFonts w:hint="eastAsia"/>
          <w:lang w:val="en-US" w:eastAsia="zh-CN"/>
        </w:rPr>
        <w:t>4.2-1</w:t>
      </w:r>
      <w:r>
        <w:t>。</w:t>
      </w:r>
    </w:p>
    <w:p>
      <w:pPr>
        <w:pStyle w:val="23"/>
        <w:keepNext/>
        <w:spacing w:before="120" w:beforeLines="50" w:after="120" w:afterLines="50" w:line="360" w:lineRule="auto"/>
        <w:ind w:firstLine="420"/>
        <w:jc w:val="center"/>
        <w:rPr>
          <w:rFonts w:hint="eastAsia" w:ascii="Times New Roman" w:hAnsi="Times New Roman" w:eastAsia="宋体" w:cs="Times New Roman"/>
          <w:snapToGrid/>
          <w:kern w:val="2"/>
          <w:sz w:val="21"/>
          <w:szCs w:val="21"/>
          <w:lang w:eastAsia="zh-CN"/>
        </w:rPr>
      </w:pPr>
      <w:r>
        <w:rPr>
          <w:rFonts w:ascii="Times New Roman" w:hAnsi="Times New Roman" w:eastAsia="宋体" w:cs="Times New Roman"/>
          <w:snapToGrid/>
          <w:kern w:val="2"/>
          <w:sz w:val="21"/>
          <w:szCs w:val="21"/>
        </w:rPr>
        <w:t>表</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SEQ 表 \* ARABIC \s 2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1</w:t>
      </w:r>
      <w:r>
        <w:rPr>
          <w:rFonts w:ascii="Times New Roman" w:hAnsi="Times New Roman" w:eastAsia="宋体" w:cs="Times New Roman"/>
          <w:snapToGrid/>
          <w:kern w:val="2"/>
          <w:sz w:val="21"/>
          <w:szCs w:val="21"/>
        </w:rPr>
        <w:fldChar w:fldCharType="end"/>
      </w:r>
      <w:r>
        <w:rPr>
          <w:rFonts w:hint="eastAsia" w:ascii="Times New Roman" w:hAnsi="Times New Roman" w:eastAsia="宋体" w:cs="Times New Roman"/>
          <w:snapToGrid/>
          <w:kern w:val="2"/>
          <w:sz w:val="21"/>
          <w:szCs w:val="21"/>
          <w:lang w:val="en-US" w:eastAsia="zh-CN"/>
        </w:rPr>
        <w:t xml:space="preserve">  </w:t>
      </w:r>
      <w:r>
        <w:rPr>
          <w:rFonts w:hint="eastAsia" w:ascii="Times New Roman" w:hAnsi="Times New Roman" w:eastAsia="宋体" w:cs="Times New Roman"/>
          <w:snapToGrid/>
          <w:kern w:val="2"/>
          <w:sz w:val="21"/>
          <w:szCs w:val="21"/>
          <w:lang w:eastAsia="zh-CN"/>
        </w:rPr>
        <w:t>环境质量现状监测方案</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840"/>
        <w:gridCol w:w="2640"/>
        <w:gridCol w:w="2805"/>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样品类型</w:t>
            </w:r>
          </w:p>
        </w:tc>
        <w:tc>
          <w:tcPr>
            <w:tcW w:w="840" w:type="dxa"/>
            <w:vAlign w:val="center"/>
          </w:tcPr>
          <w:p>
            <w:pPr>
              <w:pStyle w:val="1192"/>
              <w:ind w:left="0" w:leftChars="0" w:firstLine="0" w:firstLineChars="0"/>
              <w:jc w:val="both"/>
              <w:rPr>
                <w:rFonts w:hint="eastAsia"/>
                <w:sz w:val="21"/>
                <w:szCs w:val="21"/>
                <w:vertAlign w:val="baseline"/>
                <w:lang w:eastAsia="zh-CN"/>
              </w:rPr>
            </w:pPr>
            <w:r>
              <w:rPr>
                <w:rFonts w:hint="eastAsia"/>
                <w:sz w:val="21"/>
                <w:szCs w:val="21"/>
                <w:vertAlign w:val="baseline"/>
                <w:lang w:eastAsia="zh-CN"/>
              </w:rPr>
              <w:t>编号</w:t>
            </w:r>
          </w:p>
        </w:tc>
        <w:tc>
          <w:tcPr>
            <w:tcW w:w="2640" w:type="dxa"/>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监测点位</w:t>
            </w:r>
          </w:p>
        </w:tc>
        <w:tc>
          <w:tcPr>
            <w:tcW w:w="2805" w:type="dxa"/>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监测项目</w:t>
            </w:r>
          </w:p>
        </w:tc>
        <w:tc>
          <w:tcPr>
            <w:tcW w:w="1093" w:type="dxa"/>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Merge w:val="restart"/>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地表水</w:t>
            </w:r>
          </w:p>
        </w:tc>
        <w:tc>
          <w:tcPr>
            <w:tcW w:w="840" w:type="dxa"/>
            <w:vAlign w:val="center"/>
          </w:tcPr>
          <w:p>
            <w:pPr>
              <w:pStyle w:val="1192"/>
              <w:ind w:left="0" w:leftChars="0" w:firstLine="0" w:firstLineChars="0"/>
              <w:jc w:val="both"/>
              <w:rPr>
                <w:sz w:val="21"/>
                <w:szCs w:val="21"/>
                <w:vertAlign w:val="baseline"/>
              </w:rPr>
            </w:pPr>
            <w:r>
              <w:rPr>
                <w:rFonts w:hint="eastAsia"/>
                <w:sz w:val="21"/>
                <w:szCs w:val="21"/>
                <w:vertAlign w:val="baseline"/>
                <w:lang w:val="en-US" w:eastAsia="zh-CN"/>
              </w:rPr>
              <w:t>W1</w:t>
            </w:r>
          </w:p>
        </w:tc>
        <w:tc>
          <w:tcPr>
            <w:tcW w:w="26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eastAsia="zh-CN"/>
              </w:rPr>
              <w:t>纳省河排污口上游</w:t>
            </w:r>
            <w:r>
              <w:rPr>
                <w:rFonts w:hint="eastAsia"/>
                <w:sz w:val="21"/>
                <w:szCs w:val="21"/>
                <w:vertAlign w:val="baseline"/>
                <w:lang w:val="en-US" w:eastAsia="zh-CN"/>
              </w:rPr>
              <w:t>500m</w:t>
            </w:r>
          </w:p>
        </w:tc>
        <w:tc>
          <w:tcPr>
            <w:tcW w:w="2805"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val="en-US" w:eastAsia="zh-CN"/>
              </w:rPr>
              <w:t>PH、悬浮物、总氮、化学需氧量、五日生化需氧量、氨氮、石油类、总磷、溶解氧、阴离子表面活性剂、粪大肠菌群，水温、流速、流量</w:t>
            </w:r>
          </w:p>
        </w:tc>
        <w:tc>
          <w:tcPr>
            <w:tcW w:w="1093"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eastAsia="zh-CN"/>
              </w:rPr>
              <w:t>连续检测</w:t>
            </w:r>
            <w:r>
              <w:rPr>
                <w:rFonts w:hint="eastAsia"/>
                <w:sz w:val="21"/>
                <w:szCs w:val="21"/>
                <w:vertAlign w:val="baseline"/>
                <w:lang w:val="en-US" w:eastAsia="zh-CN"/>
              </w:rPr>
              <w:t>3天，每天1次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W2</w:t>
            </w:r>
          </w:p>
        </w:tc>
        <w:tc>
          <w:tcPr>
            <w:tcW w:w="26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eastAsia="zh-CN"/>
              </w:rPr>
              <w:t>纳省河排污口下游</w:t>
            </w:r>
            <w:r>
              <w:rPr>
                <w:rFonts w:hint="eastAsia"/>
                <w:sz w:val="21"/>
                <w:szCs w:val="21"/>
                <w:vertAlign w:val="baseline"/>
                <w:lang w:val="en-US" w:eastAsia="zh-CN"/>
              </w:rPr>
              <w:t>1500m</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W3</w:t>
            </w:r>
          </w:p>
        </w:tc>
        <w:tc>
          <w:tcPr>
            <w:tcW w:w="26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eastAsia="zh-CN"/>
              </w:rPr>
              <w:t>马槽田河污水处理厂排污口上游</w:t>
            </w:r>
            <w:r>
              <w:rPr>
                <w:rFonts w:hint="eastAsia"/>
                <w:sz w:val="21"/>
                <w:szCs w:val="21"/>
                <w:vertAlign w:val="baseline"/>
                <w:lang w:val="en-US" w:eastAsia="zh-CN"/>
              </w:rPr>
              <w:t>500m</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W4</w:t>
            </w:r>
          </w:p>
        </w:tc>
        <w:tc>
          <w:tcPr>
            <w:tcW w:w="2640" w:type="dxa"/>
            <w:vAlign w:val="center"/>
          </w:tcPr>
          <w:p>
            <w:pPr>
              <w:pStyle w:val="1192"/>
              <w:ind w:left="0" w:leftChars="0" w:firstLine="0" w:firstLineChars="0"/>
              <w:jc w:val="both"/>
              <w:rPr>
                <w:rFonts w:hint="eastAsia"/>
                <w:sz w:val="21"/>
                <w:szCs w:val="21"/>
                <w:vertAlign w:val="baseline"/>
                <w:lang w:eastAsia="zh-CN"/>
              </w:rPr>
            </w:pPr>
            <w:r>
              <w:rPr>
                <w:rFonts w:hint="eastAsia"/>
                <w:sz w:val="21"/>
                <w:szCs w:val="21"/>
                <w:vertAlign w:val="baseline"/>
                <w:lang w:eastAsia="zh-CN"/>
              </w:rPr>
              <w:t>马槽田河污水处理厂排污口下游</w:t>
            </w:r>
            <w:r>
              <w:rPr>
                <w:rFonts w:hint="eastAsia"/>
                <w:sz w:val="21"/>
                <w:szCs w:val="21"/>
                <w:vertAlign w:val="baseline"/>
                <w:lang w:val="en-US" w:eastAsia="zh-CN"/>
              </w:rPr>
              <w:t>1500m</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142" w:type="dxa"/>
            <w:vMerge w:val="restart"/>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地下水</w:t>
            </w: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Q1</w:t>
            </w:r>
          </w:p>
        </w:tc>
        <w:tc>
          <w:tcPr>
            <w:tcW w:w="26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项目东侧（张屯）</w:t>
            </w:r>
          </w:p>
        </w:tc>
        <w:tc>
          <w:tcPr>
            <w:tcW w:w="2805"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val="en-US" w:eastAsia="zh-CN"/>
              </w:rPr>
              <w:t>PH、氨氮、硝酸盐氮、亚硝酸盐氮、挥发酚、氰化物、六价铬、总硬度、溶解性总固体、高锰酸盐指数、氯化物、氟化物、硫酸盐、铅、镉、汞、砷、锰、铁、总大肠菌群、石油类</w:t>
            </w:r>
          </w:p>
        </w:tc>
        <w:tc>
          <w:tcPr>
            <w:tcW w:w="1093"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eastAsia="zh-CN"/>
              </w:rPr>
              <w:t>连续检测</w:t>
            </w:r>
            <w:r>
              <w:rPr>
                <w:rFonts w:hint="eastAsia"/>
                <w:sz w:val="21"/>
                <w:szCs w:val="21"/>
                <w:vertAlign w:val="baseline"/>
                <w:lang w:val="en-US" w:eastAsia="zh-CN"/>
              </w:rPr>
              <w:t>2天，每天1次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Q2</w:t>
            </w:r>
          </w:p>
        </w:tc>
        <w:tc>
          <w:tcPr>
            <w:tcW w:w="2640" w:type="dxa"/>
            <w:vAlign w:val="center"/>
          </w:tcPr>
          <w:p>
            <w:pPr>
              <w:pStyle w:val="1192"/>
              <w:ind w:left="0" w:leftChars="0" w:firstLine="0" w:firstLineChars="0"/>
              <w:jc w:val="both"/>
              <w:rPr>
                <w:rFonts w:hint="eastAsia"/>
                <w:sz w:val="21"/>
                <w:szCs w:val="21"/>
                <w:vertAlign w:val="baseline"/>
                <w:lang w:eastAsia="zh-CN"/>
              </w:rPr>
            </w:pPr>
            <w:r>
              <w:rPr>
                <w:rFonts w:hint="eastAsia"/>
                <w:sz w:val="21"/>
                <w:szCs w:val="21"/>
                <w:vertAlign w:val="baseline"/>
                <w:lang w:eastAsia="zh-CN"/>
              </w:rPr>
              <w:t>项目南侧（破山组）</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Q3</w:t>
            </w:r>
          </w:p>
        </w:tc>
        <w:tc>
          <w:tcPr>
            <w:tcW w:w="2640" w:type="dxa"/>
            <w:vAlign w:val="center"/>
          </w:tcPr>
          <w:p>
            <w:pPr>
              <w:pStyle w:val="1192"/>
              <w:ind w:left="0" w:leftChars="0" w:firstLine="0" w:firstLineChars="0"/>
              <w:jc w:val="both"/>
              <w:rPr>
                <w:rFonts w:hint="eastAsia"/>
                <w:sz w:val="21"/>
                <w:szCs w:val="21"/>
                <w:vertAlign w:val="baseline"/>
                <w:lang w:eastAsia="zh-CN"/>
              </w:rPr>
            </w:pPr>
            <w:r>
              <w:rPr>
                <w:rFonts w:hint="eastAsia"/>
                <w:sz w:val="21"/>
                <w:szCs w:val="21"/>
                <w:vertAlign w:val="baseline"/>
                <w:lang w:eastAsia="zh-CN"/>
              </w:rPr>
              <w:t>项目西侧（下巴组龙潭湾）</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142" w:type="dxa"/>
            <w:vMerge w:val="restart"/>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噪声</w:t>
            </w: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N1</w:t>
            </w:r>
          </w:p>
        </w:tc>
        <w:tc>
          <w:tcPr>
            <w:tcW w:w="26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项目东侧厂界1m处</w:t>
            </w:r>
          </w:p>
        </w:tc>
        <w:tc>
          <w:tcPr>
            <w:tcW w:w="2805"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val="en-US" w:eastAsia="zh-CN"/>
              </w:rPr>
              <w:t>环境噪声</w:t>
            </w:r>
          </w:p>
        </w:tc>
        <w:tc>
          <w:tcPr>
            <w:tcW w:w="1093"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eastAsia="zh-CN"/>
              </w:rPr>
              <w:t>连续检测</w:t>
            </w:r>
            <w:r>
              <w:rPr>
                <w:rFonts w:hint="eastAsia"/>
                <w:sz w:val="21"/>
                <w:szCs w:val="21"/>
                <w:vertAlign w:val="baseline"/>
                <w:lang w:val="en-US" w:eastAsia="zh-CN"/>
              </w:rPr>
              <w:t>2天，每天昼夜各2次，每次不少于10分钟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N2</w:t>
            </w:r>
          </w:p>
        </w:tc>
        <w:tc>
          <w:tcPr>
            <w:tcW w:w="2640" w:type="dxa"/>
            <w:vAlign w:val="center"/>
          </w:tcPr>
          <w:p>
            <w:pPr>
              <w:pStyle w:val="1192"/>
              <w:ind w:left="0" w:leftChars="0" w:firstLine="0" w:firstLineChars="0"/>
              <w:jc w:val="both"/>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项目南侧厂界1m处</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N3</w:t>
            </w:r>
          </w:p>
        </w:tc>
        <w:tc>
          <w:tcPr>
            <w:tcW w:w="2640" w:type="dxa"/>
            <w:vAlign w:val="center"/>
          </w:tcPr>
          <w:p>
            <w:pPr>
              <w:pStyle w:val="1192"/>
              <w:ind w:left="0" w:leftChars="0" w:firstLine="0" w:firstLineChars="0"/>
              <w:jc w:val="both"/>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项目西侧厂界1m处</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N4</w:t>
            </w:r>
          </w:p>
        </w:tc>
        <w:tc>
          <w:tcPr>
            <w:tcW w:w="2640" w:type="dxa"/>
            <w:vAlign w:val="center"/>
          </w:tcPr>
          <w:p>
            <w:pPr>
              <w:pStyle w:val="1192"/>
              <w:ind w:left="0" w:leftChars="0" w:firstLine="0" w:firstLineChars="0"/>
              <w:jc w:val="both"/>
              <w:rPr>
                <w:rFonts w:hint="eastAsia"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项目北侧厂界1m处</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142" w:type="dxa"/>
            <w:vMerge w:val="restart"/>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环境空气</w:t>
            </w: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G1</w:t>
            </w:r>
          </w:p>
        </w:tc>
        <w:tc>
          <w:tcPr>
            <w:tcW w:w="2640" w:type="dxa"/>
            <w:vAlign w:val="center"/>
          </w:tcPr>
          <w:p>
            <w:pPr>
              <w:pStyle w:val="1192"/>
              <w:ind w:left="0" w:leftChars="0" w:firstLine="0" w:firstLineChars="0"/>
              <w:jc w:val="both"/>
              <w:rPr>
                <w:rFonts w:hint="eastAsia"/>
                <w:sz w:val="21"/>
                <w:szCs w:val="21"/>
                <w:vertAlign w:val="baseline"/>
                <w:lang w:eastAsia="zh-CN"/>
              </w:rPr>
            </w:pPr>
            <w:r>
              <w:rPr>
                <w:rFonts w:hint="eastAsia"/>
                <w:sz w:val="21"/>
                <w:szCs w:val="21"/>
                <w:vertAlign w:val="baseline"/>
                <w:lang w:eastAsia="zh-CN"/>
              </w:rPr>
              <w:t>项目场址中心</w:t>
            </w:r>
          </w:p>
        </w:tc>
        <w:tc>
          <w:tcPr>
            <w:tcW w:w="2805" w:type="dxa"/>
            <w:vMerge w:val="restart"/>
            <w:vAlign w:val="center"/>
          </w:tcPr>
          <w:p>
            <w:pPr>
              <w:pStyle w:val="1192"/>
              <w:ind w:left="0" w:leftChars="0" w:firstLine="0" w:firstLineChars="0"/>
              <w:jc w:val="both"/>
              <w:rPr>
                <w:rFonts w:hint="eastAsia" w:eastAsia="宋体"/>
                <w:sz w:val="21"/>
                <w:szCs w:val="21"/>
                <w:vertAlign w:val="baseline"/>
                <w:lang w:eastAsia="zh-CN"/>
              </w:rPr>
            </w:pPr>
            <w:r>
              <w:rPr>
                <w:rFonts w:hint="eastAsia"/>
                <w:sz w:val="21"/>
                <w:szCs w:val="21"/>
                <w:vertAlign w:val="baseline"/>
                <w:lang w:eastAsia="zh-CN"/>
              </w:rPr>
              <w:t>氨、硫化氢、臭气浓度，气压、气温、风速、风向</w:t>
            </w:r>
          </w:p>
        </w:tc>
        <w:tc>
          <w:tcPr>
            <w:tcW w:w="1093" w:type="dxa"/>
            <w:vMerge w:val="restart"/>
            <w:vAlign w:val="center"/>
          </w:tcPr>
          <w:p>
            <w:pPr>
              <w:pStyle w:val="1192"/>
              <w:ind w:left="0" w:leftChars="0" w:firstLine="0" w:firstLineChars="0"/>
              <w:jc w:val="both"/>
              <w:rPr>
                <w:rFonts w:hint="default" w:eastAsia="宋体"/>
                <w:sz w:val="21"/>
                <w:szCs w:val="21"/>
                <w:vertAlign w:val="baseline"/>
                <w:lang w:val="en-US" w:eastAsia="zh-CN"/>
              </w:rPr>
            </w:pPr>
            <w:r>
              <w:rPr>
                <w:rFonts w:hint="eastAsia"/>
                <w:sz w:val="21"/>
                <w:szCs w:val="21"/>
                <w:vertAlign w:val="baseline"/>
                <w:lang w:eastAsia="zh-CN"/>
              </w:rPr>
              <w:t>连续检测</w:t>
            </w:r>
            <w:r>
              <w:rPr>
                <w:rFonts w:hint="eastAsia"/>
                <w:sz w:val="21"/>
                <w:szCs w:val="21"/>
                <w:vertAlign w:val="baseline"/>
                <w:lang w:val="en-US" w:eastAsia="zh-CN"/>
              </w:rPr>
              <w:t>7天，每天采样4次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2" w:type="dxa"/>
            <w:vMerge w:val="continue"/>
            <w:vAlign w:val="center"/>
          </w:tcPr>
          <w:p>
            <w:pPr>
              <w:pStyle w:val="1192"/>
              <w:ind w:left="0" w:leftChars="0" w:firstLine="0" w:firstLineChars="0"/>
              <w:jc w:val="both"/>
              <w:rPr>
                <w:sz w:val="21"/>
                <w:szCs w:val="21"/>
                <w:vertAlign w:val="baseline"/>
              </w:rPr>
            </w:pPr>
          </w:p>
        </w:tc>
        <w:tc>
          <w:tcPr>
            <w:tcW w:w="8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val="en-US" w:eastAsia="zh-CN"/>
              </w:rPr>
              <w:t>G2</w:t>
            </w:r>
          </w:p>
        </w:tc>
        <w:tc>
          <w:tcPr>
            <w:tcW w:w="2640" w:type="dxa"/>
            <w:vAlign w:val="center"/>
          </w:tcPr>
          <w:p>
            <w:pPr>
              <w:pStyle w:val="1192"/>
              <w:ind w:left="0" w:leftChars="0" w:firstLine="0" w:firstLineChars="0"/>
              <w:jc w:val="both"/>
              <w:rPr>
                <w:rFonts w:hint="default"/>
                <w:sz w:val="21"/>
                <w:szCs w:val="21"/>
                <w:vertAlign w:val="baseline"/>
                <w:lang w:val="en-US" w:eastAsia="zh-CN"/>
              </w:rPr>
            </w:pPr>
            <w:r>
              <w:rPr>
                <w:rFonts w:hint="eastAsia"/>
                <w:sz w:val="21"/>
                <w:szCs w:val="21"/>
                <w:vertAlign w:val="baseline"/>
                <w:lang w:eastAsia="zh-CN"/>
              </w:rPr>
              <w:t>项目北侧</w:t>
            </w:r>
            <w:r>
              <w:rPr>
                <w:rFonts w:hint="eastAsia"/>
                <w:sz w:val="21"/>
                <w:szCs w:val="21"/>
                <w:vertAlign w:val="baseline"/>
                <w:lang w:val="en-US" w:eastAsia="zh-CN"/>
              </w:rPr>
              <w:t>850m下坝村烂滩</w:t>
            </w:r>
          </w:p>
        </w:tc>
        <w:tc>
          <w:tcPr>
            <w:tcW w:w="2805" w:type="dxa"/>
            <w:vMerge w:val="continue"/>
            <w:vAlign w:val="center"/>
          </w:tcPr>
          <w:p>
            <w:pPr>
              <w:pStyle w:val="1192"/>
              <w:ind w:left="0" w:leftChars="0" w:firstLine="0" w:firstLineChars="0"/>
              <w:jc w:val="both"/>
              <w:rPr>
                <w:sz w:val="21"/>
                <w:szCs w:val="21"/>
                <w:vertAlign w:val="baseline"/>
              </w:rPr>
            </w:pPr>
          </w:p>
        </w:tc>
        <w:tc>
          <w:tcPr>
            <w:tcW w:w="1093" w:type="dxa"/>
            <w:vMerge w:val="continue"/>
            <w:vAlign w:val="center"/>
          </w:tcPr>
          <w:p>
            <w:pPr>
              <w:pStyle w:val="1192"/>
              <w:ind w:left="0" w:leftChars="0" w:firstLine="0" w:firstLineChars="0"/>
              <w:jc w:val="both"/>
              <w:rPr>
                <w:sz w:val="21"/>
                <w:szCs w:val="21"/>
                <w:vertAlign w:val="baseline"/>
              </w:rPr>
            </w:pPr>
          </w:p>
        </w:tc>
      </w:tr>
    </w:tbl>
    <w:p>
      <w:pPr>
        <w:pStyle w:val="1192"/>
        <w:ind w:firstLine="480"/>
      </w:pPr>
    </w:p>
    <w:p>
      <w:pPr>
        <w:pStyle w:val="1192"/>
        <w:ind w:firstLine="480"/>
      </w:pPr>
    </w:p>
    <w:p>
      <w:pPr>
        <w:pStyle w:val="1192"/>
        <w:ind w:firstLine="480"/>
      </w:pPr>
    </w:p>
    <w:p>
      <w:pPr>
        <w:pStyle w:val="1192"/>
        <w:ind w:firstLine="480"/>
      </w:pPr>
    </w:p>
    <w:p>
      <w:pPr>
        <w:pStyle w:val="1192"/>
        <w:ind w:firstLine="480"/>
      </w:pPr>
    </w:p>
    <w:p>
      <w:pPr>
        <w:pStyle w:val="1192"/>
        <w:ind w:firstLine="480"/>
      </w:pPr>
    </w:p>
    <w:p>
      <w:pPr>
        <w:pStyle w:val="1192"/>
        <w:ind w:firstLine="480"/>
      </w:pPr>
    </w:p>
    <w:p>
      <w:pPr>
        <w:pStyle w:val="6"/>
        <w:rPr>
          <w:sz w:val="28"/>
          <w:szCs w:val="28"/>
        </w:rPr>
      </w:pPr>
      <w:bookmarkStart w:id="201" w:name="_Toc31766"/>
      <w:r>
        <w:rPr>
          <w:rFonts w:hint="eastAsia"/>
          <w:sz w:val="28"/>
          <w:szCs w:val="28"/>
          <w:lang w:eastAsia="zh-CN"/>
        </w:rPr>
        <w:t>环境空气质量现状监测与评价</w:t>
      </w:r>
      <w:bookmarkEnd w:id="201"/>
    </w:p>
    <w:p>
      <w:pPr>
        <w:pStyle w:val="1192"/>
        <w:ind w:firstLine="480"/>
        <w:rPr>
          <w:rFonts w:hint="eastAsia" w:eastAsia="宋体"/>
          <w:lang w:eastAsia="zh-CN"/>
        </w:rPr>
      </w:pPr>
      <w:r>
        <w:t>1、</w:t>
      </w:r>
      <w:r>
        <w:rPr>
          <w:rFonts w:hint="eastAsia"/>
          <w:lang w:eastAsia="zh-CN"/>
        </w:rPr>
        <w:t>现状监测结果</w:t>
      </w:r>
    </w:p>
    <w:p>
      <w:pPr>
        <w:pStyle w:val="1192"/>
        <w:ind w:firstLine="480"/>
      </w:pPr>
      <w:r>
        <w:t>该次监测共布设了</w:t>
      </w:r>
      <w:r>
        <w:rPr>
          <w:rFonts w:hint="eastAsia"/>
          <w:lang w:val="en-US" w:eastAsia="zh-CN"/>
        </w:rPr>
        <w:t>2</w:t>
      </w:r>
      <w:r>
        <w:t>个环境空气监测点位</w:t>
      </w:r>
      <w:r>
        <w:rPr>
          <w:rFonts w:hint="eastAsia"/>
          <w:lang w:eastAsia="zh-CN"/>
        </w:rPr>
        <w:t>，其监测结果如下表所示</w:t>
      </w:r>
      <w:r>
        <w:t>。</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表</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hint="eastAsia" w:ascii="Times New Roman" w:hAnsi="Times New Roman" w:eastAsia="宋体" w:cs="Times New Roman"/>
          <w:snapToGrid/>
          <w:kern w:val="2"/>
          <w:sz w:val="21"/>
          <w:szCs w:val="21"/>
          <w:lang w:val="en-US" w:eastAsia="zh-CN"/>
        </w:rPr>
        <w:t xml:space="preserve">2 </w:t>
      </w:r>
      <w:r>
        <w:rPr>
          <w:rFonts w:ascii="Times New Roman" w:hAnsi="Times New Roman" w:eastAsia="宋体" w:cs="Times New Roman"/>
          <w:snapToGrid/>
          <w:kern w:val="2"/>
          <w:sz w:val="21"/>
          <w:szCs w:val="21"/>
        </w:rPr>
        <w:t>环境空气监测</w:t>
      </w:r>
      <w:r>
        <w:rPr>
          <w:rFonts w:hint="eastAsia" w:ascii="Times New Roman" w:hAnsi="Times New Roman" w:eastAsia="宋体" w:cs="Times New Roman"/>
          <w:snapToGrid/>
          <w:kern w:val="2"/>
          <w:sz w:val="21"/>
          <w:szCs w:val="21"/>
          <w:lang w:eastAsia="zh-CN"/>
        </w:rPr>
        <w:t>结果</w:t>
      </w:r>
      <w:r>
        <w:rPr>
          <w:rFonts w:ascii="Times New Roman" w:hAnsi="Times New Roman" w:eastAsia="宋体" w:cs="Times New Roman"/>
          <w:snapToGrid/>
          <w:kern w:val="2"/>
          <w:sz w:val="21"/>
          <w:szCs w:val="21"/>
        </w:rPr>
        <w:t>一览表</w:t>
      </w:r>
    </w:p>
    <w:tbl>
      <w:tblPr>
        <w:tblStyle w:val="88"/>
        <w:tblW w:w="5022"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0" w:type="dxa"/>
          <w:bottom w:w="0" w:type="dxa"/>
          <w:right w:w="0" w:type="dxa"/>
        </w:tblCellMar>
      </w:tblPr>
      <w:tblGrid>
        <w:gridCol w:w="965"/>
        <w:gridCol w:w="965"/>
        <w:gridCol w:w="1610"/>
        <w:gridCol w:w="1288"/>
        <w:gridCol w:w="1288"/>
        <w:gridCol w:w="1288"/>
        <w:gridCol w:w="96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tblHeader/>
          <w:jc w:val="center"/>
        </w:trPr>
        <w:tc>
          <w:tcPr>
            <w:tcW w:w="576" w:type="pct"/>
            <w:tcBorders>
              <w:tl2br w:val="nil"/>
              <w:tr2bl w:val="nil"/>
            </w:tcBorders>
            <w:noWrap w:val="0"/>
            <w:vAlign w:val="center"/>
          </w:tcPr>
          <w:p>
            <w:pPr>
              <w:jc w:val="center"/>
              <w:rPr>
                <w:rFonts w:hint="eastAsia" w:ascii="Times New Roman"/>
                <w:b w:val="0"/>
                <w:bCs/>
                <w:color w:val="000000"/>
                <w:szCs w:val="21"/>
              </w:rPr>
            </w:pPr>
            <w:r>
              <w:rPr>
                <w:rFonts w:ascii="Times New Roman"/>
                <w:b w:val="0"/>
                <w:bCs/>
                <w:color w:val="000000"/>
                <w:szCs w:val="21"/>
              </w:rPr>
              <w:t>监测</w:t>
            </w:r>
          </w:p>
          <w:p>
            <w:pPr>
              <w:jc w:val="center"/>
              <w:rPr>
                <w:rFonts w:ascii="Times New Roman" w:hAnsi="Times New Roman"/>
                <w:b w:val="0"/>
                <w:bCs/>
                <w:color w:val="000000"/>
                <w:szCs w:val="21"/>
              </w:rPr>
            </w:pPr>
            <w:r>
              <w:rPr>
                <w:rFonts w:ascii="Times New Roman"/>
                <w:b w:val="0"/>
                <w:bCs/>
                <w:color w:val="000000"/>
                <w:szCs w:val="21"/>
              </w:rPr>
              <w:t>点</w:t>
            </w:r>
            <w:r>
              <w:rPr>
                <w:rFonts w:hint="eastAsia" w:ascii="Times New Roman"/>
                <w:b w:val="0"/>
                <w:bCs/>
                <w:color w:val="000000"/>
                <w:szCs w:val="21"/>
              </w:rPr>
              <w:t>位</w:t>
            </w:r>
          </w:p>
        </w:tc>
        <w:tc>
          <w:tcPr>
            <w:tcW w:w="576" w:type="pct"/>
            <w:tcBorders>
              <w:tl2br w:val="nil"/>
              <w:tr2bl w:val="nil"/>
            </w:tcBorders>
            <w:noWrap w:val="0"/>
            <w:vAlign w:val="center"/>
          </w:tcPr>
          <w:p>
            <w:pPr>
              <w:jc w:val="center"/>
              <w:rPr>
                <w:rFonts w:ascii="Times New Roman" w:hAnsi="Times New Roman"/>
                <w:b w:val="0"/>
                <w:bCs/>
                <w:color w:val="000000"/>
                <w:szCs w:val="21"/>
              </w:rPr>
            </w:pPr>
            <w:r>
              <w:rPr>
                <w:rFonts w:ascii="Times New Roman"/>
                <w:b w:val="0"/>
                <w:bCs/>
                <w:color w:val="000000"/>
                <w:szCs w:val="21"/>
              </w:rPr>
              <w:t>监测</w:t>
            </w:r>
          </w:p>
          <w:p>
            <w:pPr>
              <w:jc w:val="center"/>
              <w:rPr>
                <w:rFonts w:ascii="Times New Roman" w:hAnsi="Times New Roman"/>
                <w:b w:val="0"/>
                <w:bCs/>
                <w:color w:val="000000"/>
                <w:szCs w:val="21"/>
              </w:rPr>
            </w:pPr>
            <w:r>
              <w:rPr>
                <w:rFonts w:ascii="Times New Roman"/>
                <w:b w:val="0"/>
                <w:bCs/>
                <w:color w:val="000000"/>
                <w:szCs w:val="21"/>
              </w:rPr>
              <w:t>因子</w:t>
            </w:r>
          </w:p>
        </w:tc>
        <w:tc>
          <w:tcPr>
            <w:tcW w:w="961" w:type="pct"/>
            <w:tcBorders>
              <w:tl2br w:val="nil"/>
              <w:tr2bl w:val="nil"/>
            </w:tcBorders>
            <w:noWrap w:val="0"/>
            <w:vAlign w:val="center"/>
          </w:tcPr>
          <w:p>
            <w:pPr>
              <w:jc w:val="center"/>
              <w:rPr>
                <w:rFonts w:hint="eastAsia" w:ascii="Times New Roman"/>
                <w:b w:val="0"/>
                <w:bCs/>
                <w:color w:val="000000"/>
                <w:szCs w:val="21"/>
              </w:rPr>
            </w:pPr>
            <w:r>
              <w:rPr>
                <w:rFonts w:ascii="Times New Roman"/>
                <w:b w:val="0"/>
                <w:bCs/>
                <w:color w:val="000000"/>
                <w:szCs w:val="21"/>
              </w:rPr>
              <w:t>浓度范围</w:t>
            </w:r>
          </w:p>
          <w:p>
            <w:pPr>
              <w:jc w:val="center"/>
              <w:rPr>
                <w:rFonts w:ascii="Times New Roman" w:hAnsi="Times New Roman"/>
                <w:b w:val="0"/>
                <w:bCs/>
                <w:color w:val="000000"/>
                <w:szCs w:val="21"/>
              </w:rPr>
            </w:pPr>
            <w:r>
              <w:rPr>
                <w:rFonts w:ascii="Times New Roman"/>
                <w:b w:val="0"/>
                <w:bCs/>
                <w:color w:val="000000"/>
              </w:rPr>
              <w:t>（</w:t>
            </w:r>
            <w:r>
              <w:rPr>
                <w:rFonts w:ascii="Times New Roman" w:hAnsi="Times New Roman"/>
                <w:b w:val="0"/>
                <w:bCs/>
                <w:color w:val="000000"/>
              </w:rPr>
              <w:t>mg/m</w:t>
            </w:r>
            <w:r>
              <w:rPr>
                <w:rFonts w:ascii="Times New Roman" w:hAnsi="Times New Roman"/>
                <w:b w:val="0"/>
                <w:bCs/>
                <w:color w:val="000000"/>
                <w:vertAlign w:val="superscript"/>
              </w:rPr>
              <w:t>3</w:t>
            </w:r>
            <w:r>
              <w:rPr>
                <w:rFonts w:ascii="Times New Roman"/>
                <w:b w:val="0"/>
                <w:bCs/>
                <w:color w:val="000000"/>
              </w:rPr>
              <w:t>）</w:t>
            </w:r>
          </w:p>
        </w:tc>
        <w:tc>
          <w:tcPr>
            <w:tcW w:w="769" w:type="pct"/>
            <w:tcBorders>
              <w:tl2br w:val="nil"/>
              <w:tr2bl w:val="nil"/>
            </w:tcBorders>
            <w:noWrap w:val="0"/>
            <w:vAlign w:val="center"/>
          </w:tcPr>
          <w:p>
            <w:pPr>
              <w:jc w:val="center"/>
              <w:rPr>
                <w:rFonts w:hint="eastAsia" w:ascii="Times New Roman"/>
                <w:b w:val="0"/>
                <w:bCs/>
                <w:color w:val="000000"/>
                <w:szCs w:val="21"/>
              </w:rPr>
            </w:pPr>
            <w:r>
              <w:rPr>
                <w:rFonts w:ascii="Times New Roman"/>
                <w:b w:val="0"/>
                <w:bCs/>
                <w:color w:val="000000"/>
                <w:szCs w:val="21"/>
              </w:rPr>
              <w:t>超标率</w:t>
            </w:r>
          </w:p>
          <w:p>
            <w:pPr>
              <w:jc w:val="center"/>
              <w:rPr>
                <w:rFonts w:ascii="Times New Roman" w:hAnsi="Times New Roman"/>
                <w:b w:val="0"/>
                <w:bCs/>
                <w:color w:val="000000"/>
                <w:szCs w:val="21"/>
              </w:rPr>
            </w:pPr>
            <w:r>
              <w:rPr>
                <w:rFonts w:ascii="Times New Roman"/>
                <w:b w:val="0"/>
                <w:bCs/>
                <w:color w:val="000000"/>
                <w:szCs w:val="21"/>
              </w:rPr>
              <w:t>（</w:t>
            </w:r>
            <w:r>
              <w:rPr>
                <w:rFonts w:ascii="Times New Roman" w:hAnsi="Times New Roman"/>
                <w:b w:val="0"/>
                <w:bCs/>
                <w:color w:val="000000"/>
                <w:szCs w:val="21"/>
              </w:rPr>
              <w:t>%</w:t>
            </w:r>
            <w:r>
              <w:rPr>
                <w:rFonts w:ascii="Times New Roman"/>
                <w:b w:val="0"/>
                <w:bCs/>
                <w:color w:val="000000"/>
                <w:szCs w:val="21"/>
              </w:rPr>
              <w:t>）</w:t>
            </w:r>
          </w:p>
        </w:tc>
        <w:tc>
          <w:tcPr>
            <w:tcW w:w="769" w:type="pct"/>
            <w:tcBorders>
              <w:tl2br w:val="nil"/>
              <w:tr2bl w:val="nil"/>
            </w:tcBorders>
            <w:noWrap w:val="0"/>
            <w:vAlign w:val="center"/>
          </w:tcPr>
          <w:p>
            <w:pPr>
              <w:jc w:val="center"/>
              <w:rPr>
                <w:rFonts w:hint="eastAsia" w:ascii="Times New Roman"/>
                <w:b w:val="0"/>
                <w:bCs/>
                <w:color w:val="000000"/>
                <w:szCs w:val="21"/>
              </w:rPr>
            </w:pPr>
            <w:r>
              <w:rPr>
                <w:rFonts w:ascii="Times New Roman"/>
                <w:b w:val="0"/>
                <w:bCs/>
                <w:color w:val="000000"/>
                <w:szCs w:val="21"/>
              </w:rPr>
              <w:t>最大超标</w:t>
            </w:r>
          </w:p>
          <w:p>
            <w:pPr>
              <w:jc w:val="center"/>
              <w:rPr>
                <w:rFonts w:ascii="Times New Roman" w:hAnsi="Times New Roman"/>
                <w:b w:val="0"/>
                <w:bCs/>
                <w:color w:val="000000"/>
                <w:szCs w:val="21"/>
              </w:rPr>
            </w:pPr>
            <w:r>
              <w:rPr>
                <w:rFonts w:ascii="Times New Roman"/>
                <w:b w:val="0"/>
                <w:bCs/>
                <w:color w:val="000000"/>
                <w:szCs w:val="21"/>
              </w:rPr>
              <w:t>倍数</w:t>
            </w:r>
          </w:p>
        </w:tc>
        <w:tc>
          <w:tcPr>
            <w:tcW w:w="769" w:type="pct"/>
            <w:tcBorders>
              <w:tl2br w:val="nil"/>
              <w:tr2bl w:val="nil"/>
            </w:tcBorders>
            <w:noWrap w:val="0"/>
            <w:vAlign w:val="center"/>
          </w:tcPr>
          <w:p>
            <w:pPr>
              <w:snapToGrid w:val="0"/>
              <w:ind w:left="-105" w:leftChars="-50" w:right="-105" w:rightChars="-50"/>
              <w:jc w:val="center"/>
              <w:rPr>
                <w:rFonts w:hint="eastAsia" w:ascii="Times New Roman"/>
                <w:b w:val="0"/>
                <w:bCs/>
                <w:color w:val="000000"/>
                <w:szCs w:val="21"/>
              </w:rPr>
            </w:pPr>
            <w:r>
              <w:rPr>
                <w:rFonts w:hint="eastAsia" w:ascii="Times New Roman"/>
                <w:b w:val="0"/>
                <w:bCs/>
                <w:color w:val="000000"/>
                <w:szCs w:val="21"/>
              </w:rPr>
              <w:t>评价指数</w:t>
            </w:r>
          </w:p>
          <w:p>
            <w:pPr>
              <w:jc w:val="center"/>
              <w:rPr>
                <w:rFonts w:ascii="Times New Roman" w:hAnsi="Times New Roman"/>
                <w:b w:val="0"/>
                <w:bCs/>
                <w:color w:val="000000"/>
                <w:szCs w:val="21"/>
              </w:rPr>
            </w:pPr>
            <w:r>
              <w:rPr>
                <w:rFonts w:hint="eastAsia" w:ascii="Times New Roman"/>
                <w:b w:val="0"/>
                <w:bCs/>
                <w:color w:val="000000"/>
                <w:szCs w:val="21"/>
              </w:rPr>
              <w:t>P</w:t>
            </w:r>
            <w:r>
              <w:rPr>
                <w:rFonts w:hint="eastAsia" w:ascii="Times New Roman"/>
                <w:b w:val="0"/>
                <w:bCs/>
                <w:color w:val="000000"/>
                <w:szCs w:val="21"/>
                <w:vertAlign w:val="subscript"/>
              </w:rPr>
              <w:t>i</w:t>
            </w:r>
          </w:p>
        </w:tc>
        <w:tc>
          <w:tcPr>
            <w:tcW w:w="576" w:type="pct"/>
            <w:tcBorders>
              <w:tl2br w:val="nil"/>
              <w:tr2bl w:val="nil"/>
            </w:tcBorders>
            <w:noWrap w:val="0"/>
            <w:vAlign w:val="center"/>
          </w:tcPr>
          <w:p>
            <w:pPr>
              <w:jc w:val="center"/>
              <w:rPr>
                <w:rFonts w:hint="eastAsia" w:ascii="Times New Roman"/>
                <w:b w:val="0"/>
                <w:bCs/>
                <w:color w:val="000000"/>
                <w:szCs w:val="21"/>
              </w:rPr>
            </w:pPr>
            <w:r>
              <w:rPr>
                <w:rFonts w:hint="eastAsia" w:ascii="Times New Roman"/>
                <w:b w:val="0"/>
                <w:bCs/>
                <w:color w:val="000000"/>
                <w:szCs w:val="21"/>
              </w:rPr>
              <w:t>评价</w:t>
            </w:r>
          </w:p>
          <w:p>
            <w:pPr>
              <w:jc w:val="center"/>
              <w:rPr>
                <w:rFonts w:ascii="Times New Roman" w:hAnsi="Times New Roman"/>
                <w:b w:val="0"/>
                <w:bCs/>
                <w:color w:val="000000"/>
                <w:szCs w:val="21"/>
              </w:rPr>
            </w:pPr>
            <w:r>
              <w:rPr>
                <w:rFonts w:ascii="Times New Roman"/>
                <w:b w:val="0"/>
                <w:bCs/>
                <w:color w:val="000000"/>
                <w:szCs w:val="21"/>
              </w:rPr>
              <w:t>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6" w:type="pct"/>
            <w:vMerge w:val="restart"/>
            <w:tcBorders>
              <w:tl2br w:val="nil"/>
              <w:tr2bl w:val="nil"/>
            </w:tcBorders>
            <w:noWrap w:val="0"/>
            <w:vAlign w:val="center"/>
          </w:tcPr>
          <w:p>
            <w:pPr>
              <w:jc w:val="center"/>
              <w:rPr>
                <w:rFonts w:ascii="Times New Roman" w:hAnsi="Times New Roman"/>
                <w:b w:val="0"/>
                <w:bCs/>
                <w:color w:val="000000"/>
                <w:kern w:val="0"/>
                <w:szCs w:val="21"/>
              </w:rPr>
            </w:pPr>
            <w:r>
              <w:rPr>
                <w:rFonts w:hint="eastAsia" w:ascii="Times New Roman" w:hAnsi="Times New Roman"/>
                <w:b w:val="0"/>
                <w:bCs/>
                <w:color w:val="000000"/>
                <w:kern w:val="0"/>
                <w:szCs w:val="21"/>
              </w:rPr>
              <w:t>G</w:t>
            </w:r>
            <w:r>
              <w:rPr>
                <w:rFonts w:ascii="Times New Roman" w:hAnsi="Times New Roman"/>
                <w:b w:val="0"/>
                <w:bCs/>
                <w:color w:val="000000"/>
                <w:kern w:val="0"/>
                <w:szCs w:val="21"/>
              </w:rPr>
              <w:t>1</w:t>
            </w:r>
          </w:p>
        </w:tc>
        <w:tc>
          <w:tcPr>
            <w:tcW w:w="576"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NH</w:t>
            </w:r>
            <w:r>
              <w:rPr>
                <w:rFonts w:ascii="Times New Roman" w:hAnsi="Times New Roman"/>
                <w:b w:val="0"/>
                <w:bCs/>
                <w:color w:val="000000"/>
                <w:szCs w:val="21"/>
                <w:vertAlign w:val="subscript"/>
              </w:rPr>
              <w:t>3</w:t>
            </w:r>
          </w:p>
        </w:tc>
        <w:tc>
          <w:tcPr>
            <w:tcW w:w="961"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0.04-0.06</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w:t>
            </w:r>
          </w:p>
        </w:tc>
        <w:tc>
          <w:tcPr>
            <w:tcW w:w="769" w:type="pct"/>
            <w:tcBorders>
              <w:tl2br w:val="nil"/>
              <w:tr2bl w:val="nil"/>
            </w:tcBorders>
            <w:noWrap w:val="0"/>
            <w:vAlign w:val="center"/>
          </w:tcPr>
          <w:p>
            <w:pPr>
              <w:jc w:val="center"/>
              <w:rPr>
                <w:rFonts w:hint="eastAsia" w:eastAsia="宋体"/>
                <w:b w:val="0"/>
                <w:bCs/>
                <w:color w:val="000000"/>
                <w:lang w:val="en-US" w:eastAsia="zh-CN"/>
              </w:rPr>
            </w:pPr>
            <w:r>
              <w:rPr>
                <w:rFonts w:hint="eastAsia"/>
                <w:b w:val="0"/>
                <w:bCs/>
                <w:color w:val="000000"/>
                <w:lang w:val="en-US" w:eastAsia="zh-CN"/>
              </w:rPr>
              <w:t>0</w:t>
            </w:r>
          </w:p>
        </w:tc>
        <w:tc>
          <w:tcPr>
            <w:tcW w:w="769"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0.3</w:t>
            </w:r>
          </w:p>
        </w:tc>
        <w:tc>
          <w:tcPr>
            <w:tcW w:w="576"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noWrap w:val="0"/>
            <w:vAlign w:val="center"/>
          </w:tcPr>
          <w:p>
            <w:pPr>
              <w:jc w:val="center"/>
              <w:rPr>
                <w:rFonts w:ascii="Times New Roman" w:hAnsi="Times New Roman"/>
                <w:b w:val="0"/>
                <w:bCs/>
                <w:color w:val="000000"/>
                <w:kern w:val="0"/>
                <w:szCs w:val="21"/>
              </w:rPr>
            </w:pPr>
          </w:p>
        </w:tc>
        <w:tc>
          <w:tcPr>
            <w:tcW w:w="576" w:type="pct"/>
            <w:tcBorders>
              <w:tl2br w:val="nil"/>
              <w:tr2bl w:val="nil"/>
            </w:tcBorders>
            <w:noWrap w:val="0"/>
            <w:vAlign w:val="center"/>
          </w:tcPr>
          <w:p>
            <w:pPr>
              <w:jc w:val="center"/>
              <w:rPr>
                <w:rFonts w:hint="eastAsia" w:ascii="Times New Roman" w:hAnsi="Times New Roman" w:eastAsia="宋体"/>
                <w:b w:val="0"/>
                <w:bCs/>
                <w:color w:val="000000"/>
                <w:szCs w:val="21"/>
                <w:lang w:eastAsia="zh-CN"/>
              </w:rPr>
            </w:pPr>
            <w:r>
              <w:rPr>
                <w:rFonts w:ascii="Times New Roman" w:hAnsi="Times New Roman"/>
                <w:b w:val="0"/>
                <w:bCs/>
                <w:color w:val="000000"/>
                <w:szCs w:val="21"/>
              </w:rPr>
              <w:t>H</w:t>
            </w:r>
            <w:r>
              <w:rPr>
                <w:rFonts w:hint="eastAsia"/>
                <w:b w:val="0"/>
                <w:bCs/>
                <w:color w:val="000000"/>
                <w:szCs w:val="21"/>
                <w:vertAlign w:val="subscript"/>
                <w:lang w:val="en-US" w:eastAsia="zh-CN"/>
              </w:rPr>
              <w:t>2</w:t>
            </w:r>
            <w:r>
              <w:rPr>
                <w:rFonts w:hint="eastAsia"/>
                <w:b w:val="0"/>
                <w:bCs/>
                <w:color w:val="000000"/>
                <w:szCs w:val="21"/>
                <w:lang w:val="en-US" w:eastAsia="zh-CN"/>
              </w:rPr>
              <w:t>S</w:t>
            </w:r>
          </w:p>
        </w:tc>
        <w:tc>
          <w:tcPr>
            <w:tcW w:w="961"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ND</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w:t>
            </w:r>
          </w:p>
        </w:tc>
        <w:tc>
          <w:tcPr>
            <w:tcW w:w="769" w:type="pct"/>
            <w:tcBorders>
              <w:tl2br w:val="nil"/>
              <w:tr2bl w:val="nil"/>
            </w:tcBorders>
            <w:noWrap w:val="0"/>
            <w:vAlign w:val="center"/>
          </w:tcPr>
          <w:p>
            <w:pPr>
              <w:jc w:val="center"/>
              <w:rPr>
                <w:rFonts w:hint="eastAsia" w:eastAsia="宋体"/>
                <w:b w:val="0"/>
                <w:bCs/>
                <w:color w:val="000000"/>
                <w:lang w:val="en-US" w:eastAsia="zh-CN"/>
              </w:rPr>
            </w:pPr>
            <w:r>
              <w:rPr>
                <w:rFonts w:hint="eastAsia"/>
                <w:b w:val="0"/>
                <w:bCs/>
                <w:color w:val="000000"/>
                <w:lang w:val="en-US" w:eastAsia="zh-CN"/>
              </w:rPr>
              <w:t>/</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w:t>
            </w:r>
          </w:p>
        </w:tc>
        <w:tc>
          <w:tcPr>
            <w:tcW w:w="576"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noWrap w:val="0"/>
            <w:vAlign w:val="center"/>
          </w:tcPr>
          <w:p>
            <w:pPr>
              <w:jc w:val="center"/>
              <w:rPr>
                <w:rFonts w:ascii="Times New Roman" w:hAnsi="Times New Roman"/>
                <w:b w:val="0"/>
                <w:bCs/>
                <w:color w:val="000000"/>
                <w:kern w:val="0"/>
                <w:szCs w:val="21"/>
              </w:rPr>
            </w:pPr>
          </w:p>
        </w:tc>
        <w:tc>
          <w:tcPr>
            <w:tcW w:w="576" w:type="pct"/>
            <w:tcBorders>
              <w:tl2br w:val="nil"/>
              <w:tr2bl w:val="nil"/>
            </w:tcBorders>
            <w:noWrap w:val="0"/>
            <w:vAlign w:val="center"/>
          </w:tcPr>
          <w:p>
            <w:pPr>
              <w:jc w:val="center"/>
              <w:rPr>
                <w:rFonts w:hint="eastAsia" w:ascii="Times New Roman" w:hAnsi="Times New Roman" w:eastAsia="宋体"/>
                <w:b w:val="0"/>
                <w:bCs/>
                <w:color w:val="000000"/>
                <w:szCs w:val="21"/>
                <w:lang w:eastAsia="zh-CN"/>
              </w:rPr>
            </w:pPr>
            <w:r>
              <w:rPr>
                <w:rFonts w:hint="eastAsia" w:ascii="Times New Roman" w:hAnsi="Times New Roman"/>
                <w:b w:val="0"/>
                <w:bCs/>
                <w:color w:val="000000"/>
                <w:szCs w:val="21"/>
                <w:lang w:eastAsia="zh-CN"/>
              </w:rPr>
              <w:t>臭气浓度</w:t>
            </w:r>
          </w:p>
        </w:tc>
        <w:tc>
          <w:tcPr>
            <w:tcW w:w="961"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eastAsia="zh-CN"/>
              </w:rPr>
              <w:t>＜</w:t>
            </w:r>
            <w:r>
              <w:rPr>
                <w:rFonts w:hint="eastAsia" w:ascii="Times New Roman" w:hAnsi="Times New Roman"/>
                <w:b w:val="0"/>
                <w:bCs/>
                <w:color w:val="000000"/>
                <w:szCs w:val="21"/>
                <w:lang w:val="en-US" w:eastAsia="zh-CN"/>
              </w:rPr>
              <w:t>10</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w:t>
            </w:r>
          </w:p>
        </w:tc>
        <w:tc>
          <w:tcPr>
            <w:tcW w:w="769" w:type="pct"/>
            <w:tcBorders>
              <w:tl2br w:val="nil"/>
              <w:tr2bl w:val="nil"/>
            </w:tcBorders>
            <w:noWrap w:val="0"/>
            <w:vAlign w:val="center"/>
          </w:tcPr>
          <w:p>
            <w:pPr>
              <w:jc w:val="center"/>
              <w:rPr>
                <w:rFonts w:hint="eastAsia" w:eastAsia="宋体"/>
                <w:b w:val="0"/>
                <w:bCs/>
                <w:color w:val="000000"/>
                <w:lang w:val="en-US" w:eastAsia="zh-CN"/>
              </w:rPr>
            </w:pPr>
            <w:r>
              <w:rPr>
                <w:rFonts w:hint="eastAsia"/>
                <w:b w:val="0"/>
                <w:bCs/>
                <w:color w:val="000000"/>
                <w:lang w:val="en-US" w:eastAsia="zh-CN"/>
              </w:rPr>
              <w:t>/</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w:t>
            </w:r>
          </w:p>
        </w:tc>
        <w:tc>
          <w:tcPr>
            <w:tcW w:w="576" w:type="pct"/>
            <w:tcBorders>
              <w:tl2br w:val="nil"/>
              <w:tr2bl w:val="nil"/>
            </w:tcBorders>
            <w:noWrap w:val="0"/>
            <w:vAlign w:val="center"/>
          </w:tcPr>
          <w:p>
            <w:pPr>
              <w:jc w:val="center"/>
              <w:rPr>
                <w:rFonts w:hint="eastAsia"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6" w:type="pct"/>
            <w:vMerge w:val="restart"/>
            <w:tcBorders>
              <w:tl2br w:val="nil"/>
              <w:tr2bl w:val="nil"/>
            </w:tcBorders>
            <w:noWrap w:val="0"/>
            <w:vAlign w:val="center"/>
          </w:tcPr>
          <w:p>
            <w:pPr>
              <w:jc w:val="center"/>
              <w:rPr>
                <w:rFonts w:ascii="Times New Roman" w:hAnsi="Times New Roman"/>
                <w:b w:val="0"/>
                <w:bCs/>
                <w:color w:val="000000"/>
                <w:szCs w:val="21"/>
              </w:rPr>
            </w:pPr>
            <w:r>
              <w:rPr>
                <w:rFonts w:hint="eastAsia" w:ascii="Times New Roman" w:hAnsi="Times New Roman"/>
                <w:b w:val="0"/>
                <w:bCs/>
                <w:color w:val="000000"/>
                <w:kern w:val="0"/>
                <w:szCs w:val="21"/>
              </w:rPr>
              <w:t>G2</w:t>
            </w:r>
          </w:p>
        </w:tc>
        <w:tc>
          <w:tcPr>
            <w:tcW w:w="576"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NH</w:t>
            </w:r>
            <w:r>
              <w:rPr>
                <w:rFonts w:ascii="Times New Roman" w:hAnsi="Times New Roman"/>
                <w:b w:val="0"/>
                <w:bCs/>
                <w:color w:val="000000"/>
                <w:szCs w:val="21"/>
                <w:vertAlign w:val="subscript"/>
              </w:rPr>
              <w:t>3</w:t>
            </w:r>
          </w:p>
        </w:tc>
        <w:tc>
          <w:tcPr>
            <w:tcW w:w="961" w:type="pct"/>
            <w:tcBorders>
              <w:tl2br w:val="nil"/>
              <w:tr2bl w:val="nil"/>
            </w:tcBorders>
            <w:noWrap w:val="0"/>
            <w:vAlign w:val="center"/>
          </w:tcPr>
          <w:p>
            <w:pPr>
              <w:jc w:val="center"/>
              <w:rPr>
                <w:rFonts w:hint="eastAsia" w:ascii="Times New Roman" w:hAnsi="Times New Roman" w:eastAsia="宋体"/>
                <w:b w:val="0"/>
                <w:bCs/>
                <w:color w:val="000000"/>
                <w:szCs w:val="21"/>
                <w:lang w:eastAsia="zh-CN"/>
              </w:rPr>
            </w:pPr>
            <w:r>
              <w:rPr>
                <w:rFonts w:hint="eastAsia" w:ascii="Times New Roman" w:hAnsi="Times New Roman"/>
                <w:b w:val="0"/>
                <w:bCs/>
                <w:color w:val="000000"/>
                <w:szCs w:val="21"/>
              </w:rPr>
              <w:t>0.0</w:t>
            </w:r>
            <w:r>
              <w:rPr>
                <w:rFonts w:hint="eastAsia" w:ascii="Times New Roman" w:hAnsi="Times New Roman"/>
                <w:b w:val="0"/>
                <w:bCs/>
                <w:color w:val="000000"/>
                <w:szCs w:val="21"/>
                <w:lang w:val="en-US" w:eastAsia="zh-CN"/>
              </w:rPr>
              <w:t>2</w:t>
            </w:r>
            <w:r>
              <w:rPr>
                <w:rFonts w:hint="eastAsia" w:ascii="Times New Roman" w:hAnsi="Times New Roman"/>
                <w:b w:val="0"/>
                <w:bCs/>
                <w:color w:val="000000"/>
                <w:szCs w:val="21"/>
              </w:rPr>
              <w:t>~0.0</w:t>
            </w:r>
            <w:r>
              <w:rPr>
                <w:rFonts w:hint="eastAsia" w:ascii="Times New Roman" w:hAnsi="Times New Roman"/>
                <w:b w:val="0"/>
                <w:bCs/>
                <w:color w:val="000000"/>
                <w:szCs w:val="21"/>
                <w:lang w:val="en-US" w:eastAsia="zh-CN"/>
              </w:rPr>
              <w:t>5</w:t>
            </w:r>
          </w:p>
        </w:tc>
        <w:tc>
          <w:tcPr>
            <w:tcW w:w="769"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0</w:t>
            </w:r>
          </w:p>
        </w:tc>
        <w:tc>
          <w:tcPr>
            <w:tcW w:w="769" w:type="pct"/>
            <w:tcBorders>
              <w:tl2br w:val="nil"/>
              <w:tr2bl w:val="nil"/>
            </w:tcBorders>
            <w:noWrap w:val="0"/>
            <w:vAlign w:val="center"/>
          </w:tcPr>
          <w:p>
            <w:pPr>
              <w:jc w:val="center"/>
              <w:rPr>
                <w:b w:val="0"/>
                <w:bCs/>
                <w:color w:val="000000"/>
              </w:rPr>
            </w:pPr>
            <w:r>
              <w:rPr>
                <w:rFonts w:ascii="Times New Roman" w:hAnsi="Times New Roman"/>
                <w:b w:val="0"/>
                <w:bCs/>
                <w:color w:val="000000"/>
                <w:szCs w:val="21"/>
              </w:rPr>
              <w:t>/</w:t>
            </w:r>
          </w:p>
        </w:tc>
        <w:tc>
          <w:tcPr>
            <w:tcW w:w="769"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0.025</w:t>
            </w:r>
          </w:p>
        </w:tc>
        <w:tc>
          <w:tcPr>
            <w:tcW w:w="576"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noWrap w:val="0"/>
            <w:vAlign w:val="center"/>
          </w:tcPr>
          <w:p>
            <w:pPr>
              <w:jc w:val="center"/>
              <w:rPr>
                <w:rFonts w:hint="eastAsia" w:ascii="Times New Roman" w:hAnsi="Times New Roman"/>
                <w:b w:val="0"/>
                <w:bCs/>
                <w:color w:val="000000"/>
                <w:kern w:val="0"/>
                <w:szCs w:val="21"/>
              </w:rPr>
            </w:pPr>
          </w:p>
        </w:tc>
        <w:tc>
          <w:tcPr>
            <w:tcW w:w="576"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H</w:t>
            </w:r>
            <w:r>
              <w:rPr>
                <w:rFonts w:hint="eastAsia"/>
                <w:b w:val="0"/>
                <w:bCs/>
                <w:color w:val="000000"/>
                <w:szCs w:val="21"/>
                <w:vertAlign w:val="subscript"/>
                <w:lang w:val="en-US" w:eastAsia="zh-CN"/>
              </w:rPr>
              <w:t>2</w:t>
            </w:r>
            <w:r>
              <w:rPr>
                <w:rFonts w:hint="eastAsia"/>
                <w:b w:val="0"/>
                <w:bCs/>
                <w:color w:val="000000"/>
                <w:szCs w:val="21"/>
                <w:lang w:val="en-US" w:eastAsia="zh-CN"/>
              </w:rPr>
              <w:t>S</w:t>
            </w:r>
          </w:p>
        </w:tc>
        <w:tc>
          <w:tcPr>
            <w:tcW w:w="961"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hint="eastAsia" w:ascii="Times New Roman" w:hAnsi="Times New Roman"/>
                <w:b w:val="0"/>
                <w:bCs/>
                <w:color w:val="000000"/>
                <w:szCs w:val="21"/>
                <w:lang w:val="en-US" w:eastAsia="zh-CN"/>
              </w:rPr>
              <w:t>ND</w:t>
            </w:r>
          </w:p>
        </w:tc>
        <w:tc>
          <w:tcPr>
            <w:tcW w:w="769"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0</w:t>
            </w:r>
          </w:p>
        </w:tc>
        <w:tc>
          <w:tcPr>
            <w:tcW w:w="769"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eastAsia="zh-CN"/>
              </w:rPr>
            </w:pPr>
            <w:r>
              <w:rPr>
                <w:rFonts w:hint="eastAsia" w:ascii="Times New Roman" w:hAnsi="Times New Roman"/>
                <w:b w:val="0"/>
                <w:bCs/>
                <w:color w:val="000000"/>
                <w:szCs w:val="21"/>
                <w:lang w:val="en-US" w:eastAsia="zh-CN"/>
              </w:rPr>
              <w:t>/</w:t>
            </w:r>
          </w:p>
        </w:tc>
        <w:tc>
          <w:tcPr>
            <w:tcW w:w="576" w:type="pct"/>
            <w:tcBorders>
              <w:tl2br w:val="nil"/>
              <w:tr2bl w:val="nil"/>
            </w:tcBorders>
            <w:noWrap w:val="0"/>
            <w:vAlign w:val="center"/>
          </w:tcPr>
          <w:p>
            <w:pPr>
              <w:jc w:val="center"/>
              <w:rPr>
                <w:rFonts w:hint="default" w:ascii="Times New Roman" w:hAnsi="Times New Roman" w:eastAsia="宋体"/>
                <w:b w:val="0"/>
                <w:bCs/>
                <w:color w:val="000000"/>
                <w:szCs w:val="21"/>
                <w:lang w:val="en-US" w:eastAsia="zh-CN"/>
              </w:rPr>
            </w:pPr>
            <w:r>
              <w:rPr>
                <w:rFonts w:ascii="Times New Roman" w:hAnsi="Times New Roman"/>
                <w:b w:val="0"/>
                <w:bCs/>
                <w:color w:val="000000"/>
                <w:szCs w:val="21"/>
              </w:rPr>
              <w:t>0.</w:t>
            </w:r>
            <w:r>
              <w:rPr>
                <w:rFonts w:hint="eastAsia" w:ascii="Times New Roman" w:hAnsi="Times New Roman"/>
                <w:b w:val="0"/>
                <w:bCs/>
                <w:color w:val="000000"/>
                <w:szCs w:val="21"/>
                <w:lang w:val="en-US" w:eastAsia="zh-CN"/>
              </w:rPr>
              <w:t>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97" w:hRule="atLeast"/>
          <w:jc w:val="center"/>
        </w:trPr>
        <w:tc>
          <w:tcPr>
            <w:tcW w:w="576" w:type="pct"/>
            <w:vMerge w:val="continue"/>
            <w:tcBorders>
              <w:tl2br w:val="nil"/>
              <w:tr2bl w:val="nil"/>
            </w:tcBorders>
            <w:noWrap w:val="0"/>
            <w:vAlign w:val="center"/>
          </w:tcPr>
          <w:p>
            <w:pPr>
              <w:jc w:val="center"/>
              <w:rPr>
                <w:rFonts w:hint="eastAsia" w:ascii="Times New Roman" w:hAnsi="Times New Roman"/>
                <w:b w:val="0"/>
                <w:bCs/>
                <w:color w:val="000000"/>
                <w:kern w:val="0"/>
                <w:szCs w:val="21"/>
              </w:rPr>
            </w:pPr>
          </w:p>
        </w:tc>
        <w:tc>
          <w:tcPr>
            <w:tcW w:w="576" w:type="pct"/>
            <w:tcBorders>
              <w:tl2br w:val="nil"/>
              <w:tr2bl w:val="nil"/>
            </w:tcBorders>
            <w:noWrap w:val="0"/>
            <w:vAlign w:val="center"/>
          </w:tcPr>
          <w:p>
            <w:pPr>
              <w:jc w:val="center"/>
              <w:rPr>
                <w:rFonts w:ascii="Times New Roman" w:hAnsi="Times New Roman"/>
                <w:b w:val="0"/>
                <w:bCs/>
                <w:color w:val="000000"/>
                <w:szCs w:val="21"/>
              </w:rPr>
            </w:pPr>
            <w:r>
              <w:rPr>
                <w:rFonts w:hint="eastAsia" w:ascii="Times New Roman" w:hAnsi="Times New Roman"/>
                <w:b w:val="0"/>
                <w:bCs/>
                <w:color w:val="000000"/>
                <w:szCs w:val="21"/>
                <w:lang w:eastAsia="zh-CN"/>
              </w:rPr>
              <w:t>臭气浓度</w:t>
            </w:r>
          </w:p>
        </w:tc>
        <w:tc>
          <w:tcPr>
            <w:tcW w:w="961" w:type="pct"/>
            <w:tcBorders>
              <w:tl2br w:val="nil"/>
              <w:tr2bl w:val="nil"/>
            </w:tcBorders>
            <w:noWrap w:val="0"/>
            <w:vAlign w:val="center"/>
          </w:tcPr>
          <w:p>
            <w:pPr>
              <w:jc w:val="center"/>
              <w:rPr>
                <w:rFonts w:ascii="Times New Roman" w:hAnsi="Times New Roman"/>
                <w:b w:val="0"/>
                <w:bCs/>
                <w:color w:val="000000"/>
                <w:szCs w:val="21"/>
              </w:rPr>
            </w:pPr>
            <w:r>
              <w:rPr>
                <w:rFonts w:hint="eastAsia" w:ascii="Times New Roman" w:hAnsi="Times New Roman"/>
                <w:b w:val="0"/>
                <w:bCs/>
                <w:color w:val="000000"/>
                <w:szCs w:val="21"/>
                <w:lang w:eastAsia="zh-CN"/>
              </w:rPr>
              <w:t>＜</w:t>
            </w:r>
            <w:r>
              <w:rPr>
                <w:rFonts w:hint="eastAsia" w:ascii="Times New Roman" w:hAnsi="Times New Roman"/>
                <w:b w:val="0"/>
                <w:bCs/>
                <w:color w:val="000000"/>
                <w:szCs w:val="21"/>
                <w:lang w:val="en-US" w:eastAsia="zh-CN"/>
              </w:rPr>
              <w:t>10</w:t>
            </w:r>
          </w:p>
        </w:tc>
        <w:tc>
          <w:tcPr>
            <w:tcW w:w="769" w:type="pct"/>
            <w:tcBorders>
              <w:tl2br w:val="nil"/>
              <w:tr2bl w:val="nil"/>
            </w:tcBorders>
            <w:noWrap w:val="0"/>
            <w:vAlign w:val="center"/>
          </w:tcPr>
          <w:p>
            <w:pPr>
              <w:jc w:val="center"/>
              <w:rPr>
                <w:rFonts w:hint="eastAsia" w:ascii="Times New Roman" w:hAnsi="Times New Roman" w:eastAsia="宋体"/>
                <w:b w:val="0"/>
                <w:bCs/>
                <w:color w:val="000000"/>
                <w:szCs w:val="21"/>
                <w:lang w:eastAsia="zh-CN"/>
              </w:rPr>
            </w:pPr>
            <w:r>
              <w:rPr>
                <w:rFonts w:hint="eastAsia" w:ascii="Times New Roman" w:hAnsi="Times New Roman"/>
                <w:b w:val="0"/>
                <w:bCs/>
                <w:color w:val="000000"/>
                <w:szCs w:val="21"/>
                <w:lang w:val="en-US" w:eastAsia="zh-CN"/>
              </w:rPr>
              <w:t>/</w:t>
            </w:r>
          </w:p>
        </w:tc>
        <w:tc>
          <w:tcPr>
            <w:tcW w:w="769" w:type="pct"/>
            <w:tcBorders>
              <w:tl2br w:val="nil"/>
              <w:tr2bl w:val="nil"/>
            </w:tcBorders>
            <w:noWrap w:val="0"/>
            <w:vAlign w:val="center"/>
          </w:tcPr>
          <w:p>
            <w:pPr>
              <w:jc w:val="center"/>
              <w:rPr>
                <w:rFonts w:ascii="Times New Roman" w:hAnsi="Times New Roman"/>
                <w:b w:val="0"/>
                <w:bCs/>
                <w:color w:val="000000"/>
                <w:szCs w:val="21"/>
              </w:rPr>
            </w:pPr>
            <w:r>
              <w:rPr>
                <w:rFonts w:ascii="Times New Roman" w:hAnsi="Times New Roman"/>
                <w:b w:val="0"/>
                <w:bCs/>
                <w:color w:val="000000"/>
                <w:szCs w:val="21"/>
              </w:rPr>
              <w:t>/</w:t>
            </w:r>
          </w:p>
        </w:tc>
        <w:tc>
          <w:tcPr>
            <w:tcW w:w="769" w:type="pct"/>
            <w:tcBorders>
              <w:tl2br w:val="nil"/>
              <w:tr2bl w:val="nil"/>
            </w:tcBorders>
            <w:noWrap w:val="0"/>
            <w:vAlign w:val="center"/>
          </w:tcPr>
          <w:p>
            <w:pPr>
              <w:jc w:val="center"/>
              <w:rPr>
                <w:rFonts w:ascii="Times New Roman" w:hAnsi="Times New Roman"/>
                <w:b w:val="0"/>
                <w:bCs/>
                <w:color w:val="000000"/>
                <w:szCs w:val="21"/>
              </w:rPr>
            </w:pPr>
            <w:r>
              <w:rPr>
                <w:rFonts w:hint="eastAsia" w:ascii="Times New Roman" w:hAnsi="Times New Roman"/>
                <w:b w:val="0"/>
                <w:bCs/>
                <w:color w:val="000000"/>
                <w:szCs w:val="21"/>
              </w:rPr>
              <w:t>/</w:t>
            </w:r>
          </w:p>
        </w:tc>
        <w:tc>
          <w:tcPr>
            <w:tcW w:w="576" w:type="pct"/>
            <w:tcBorders>
              <w:tl2br w:val="nil"/>
              <w:tr2bl w:val="nil"/>
            </w:tcBorders>
            <w:noWrap w:val="0"/>
            <w:vAlign w:val="center"/>
          </w:tcPr>
          <w:p>
            <w:pPr>
              <w:jc w:val="center"/>
              <w:rPr>
                <w:rFonts w:hint="eastAsia" w:ascii="Times New Roman" w:hAnsi="Times New Roman" w:eastAsia="宋体"/>
                <w:b w:val="0"/>
                <w:bCs/>
                <w:color w:val="000000"/>
                <w:szCs w:val="21"/>
                <w:lang w:eastAsia="zh-CN"/>
              </w:rPr>
            </w:pPr>
            <w:r>
              <w:rPr>
                <w:rFonts w:hint="eastAsia" w:ascii="Times New Roman" w:hAnsi="Times New Roman"/>
                <w:b w:val="0"/>
                <w:bCs/>
                <w:color w:val="000000"/>
                <w:szCs w:val="21"/>
                <w:lang w:val="en-US" w:eastAsia="zh-CN"/>
              </w:rPr>
              <w:t>/</w:t>
            </w:r>
          </w:p>
        </w:tc>
      </w:tr>
    </w:tbl>
    <w:p>
      <w:pPr>
        <w:rPr>
          <w:rFonts w:ascii="Times New Roman" w:hAnsi="Times New Roman" w:eastAsia="宋体" w:cs="Times New Roman"/>
          <w:snapToGrid/>
          <w:kern w:val="2"/>
          <w:sz w:val="21"/>
          <w:szCs w:val="21"/>
        </w:rPr>
      </w:pPr>
    </w:p>
    <w:p>
      <w:pPr>
        <w:pStyle w:val="16"/>
        <w:rPr>
          <w:sz w:val="24"/>
          <w:szCs w:val="24"/>
        </w:rPr>
      </w:pPr>
      <w:r>
        <w:rPr>
          <w:rFonts w:hint="eastAsia" w:cs="Times New Roman"/>
          <w:snapToGrid/>
          <w:kern w:val="2"/>
          <w:sz w:val="24"/>
          <w:szCs w:val="24"/>
          <w:lang w:val="en-US" w:eastAsia="zh-CN"/>
        </w:rPr>
        <w:t>2、环境空气质量现状评价</w:t>
      </w:r>
    </w:p>
    <w:p>
      <w:pPr>
        <w:pStyle w:val="4073"/>
        <w:ind w:firstLine="480"/>
        <w:jc w:val="both"/>
        <w:rPr>
          <w:rFonts w:hint="eastAsia" w:ascii="Times New Roman" w:cs="Times New Roman"/>
        </w:rPr>
      </w:pPr>
      <w:r>
        <w:rPr>
          <w:rFonts w:hint="eastAsia" w:ascii="Times New Roman" w:cs="Times New Roman"/>
          <w:color w:val="000000"/>
          <w:sz w:val="24"/>
          <w:szCs w:val="24"/>
        </w:rPr>
        <w:t>由表</w:t>
      </w:r>
      <w:r>
        <w:rPr>
          <w:rFonts w:hint="eastAsia" w:ascii="Times New Roman" w:cs="Times New Roman"/>
          <w:color w:val="000000"/>
          <w:sz w:val="24"/>
          <w:szCs w:val="24"/>
          <w:lang w:val="en-US" w:eastAsia="zh-CN"/>
        </w:rPr>
        <w:t>4.2</w:t>
      </w:r>
      <w:r>
        <w:rPr>
          <w:rFonts w:hint="eastAsia" w:ascii="Times New Roman" w:cs="Times New Roman"/>
          <w:color w:val="000000"/>
          <w:sz w:val="24"/>
          <w:szCs w:val="24"/>
        </w:rPr>
        <w:t>-2可知，评价</w:t>
      </w:r>
      <w:r>
        <w:rPr>
          <w:rFonts w:hint="eastAsia" w:ascii="Times New Roman" w:cs="Times New Roman"/>
          <w:color w:val="000000"/>
        </w:rPr>
        <w:t>区域各监测点位</w:t>
      </w:r>
      <w:r>
        <w:rPr>
          <w:rFonts w:ascii="Times New Roman"/>
          <w:color w:val="000000"/>
        </w:rPr>
        <w:t>NH</w:t>
      </w:r>
      <w:r>
        <w:rPr>
          <w:rFonts w:ascii="Times New Roman"/>
          <w:color w:val="000000"/>
          <w:vertAlign w:val="subscript"/>
        </w:rPr>
        <w:t>3</w:t>
      </w:r>
      <w:r>
        <w:rPr>
          <w:rFonts w:hint="eastAsia" w:ascii="Times New Roman" w:cs="Times New Roman"/>
          <w:color w:val="000000"/>
        </w:rPr>
        <w:t>、</w:t>
      </w:r>
      <w:r>
        <w:rPr>
          <w:rFonts w:ascii="Times New Roman" w:hAnsi="Times New Roman"/>
          <w:b w:val="0"/>
          <w:bCs/>
          <w:color w:val="000000"/>
          <w:szCs w:val="21"/>
        </w:rPr>
        <w:t>H</w:t>
      </w:r>
      <w:r>
        <w:rPr>
          <w:rFonts w:hint="eastAsia"/>
          <w:b w:val="0"/>
          <w:bCs/>
          <w:color w:val="000000"/>
          <w:szCs w:val="21"/>
          <w:vertAlign w:val="subscript"/>
          <w:lang w:val="en-US" w:eastAsia="zh-CN"/>
        </w:rPr>
        <w:t>2</w:t>
      </w:r>
      <w:r>
        <w:rPr>
          <w:rFonts w:hint="eastAsia"/>
          <w:b w:val="0"/>
          <w:bCs/>
          <w:color w:val="000000"/>
          <w:szCs w:val="21"/>
          <w:lang w:val="en-US" w:eastAsia="zh-CN"/>
        </w:rPr>
        <w:t>S</w:t>
      </w:r>
      <w:r>
        <w:rPr>
          <w:rFonts w:hint="eastAsia" w:ascii="Times New Roman" w:cs="Times New Roman"/>
          <w:color w:val="000000"/>
        </w:rPr>
        <w:t>浓度均满足《</w:t>
      </w:r>
      <w:r>
        <w:rPr>
          <w:rFonts w:hint="eastAsia" w:ascii="Times New Roman" w:cs="Times New Roman"/>
          <w:color w:val="000000"/>
          <w:lang w:eastAsia="zh-CN"/>
        </w:rPr>
        <w:t>环境影响评价技术导则</w:t>
      </w:r>
      <w:r>
        <w:rPr>
          <w:rFonts w:hint="eastAsia" w:ascii="Times New Roman" w:cs="Times New Roman"/>
          <w:color w:val="000000"/>
          <w:lang w:val="en-US" w:eastAsia="zh-CN"/>
        </w:rPr>
        <w:t xml:space="preserve">  大气环境</w:t>
      </w:r>
      <w:r>
        <w:rPr>
          <w:rFonts w:hint="eastAsia" w:ascii="Times New Roman" w:cs="Times New Roman"/>
          <w:color w:val="000000"/>
        </w:rPr>
        <w:t>》（</w:t>
      </w:r>
      <w:r>
        <w:rPr>
          <w:rFonts w:hint="eastAsia" w:ascii="Times New Roman" w:cs="Times New Roman"/>
          <w:color w:val="000000"/>
          <w:lang w:val="en-US" w:eastAsia="zh-CN"/>
        </w:rPr>
        <w:t>HJ2.2-2018</w:t>
      </w:r>
      <w:r>
        <w:rPr>
          <w:rFonts w:hint="eastAsia" w:ascii="Times New Roman" w:cs="Times New Roman"/>
          <w:color w:val="000000"/>
        </w:rPr>
        <w:t>）</w:t>
      </w:r>
      <w:r>
        <w:rPr>
          <w:rFonts w:hint="eastAsia" w:ascii="Times New Roman" w:cs="Times New Roman"/>
          <w:color w:val="000000"/>
          <w:lang w:eastAsia="zh-CN"/>
        </w:rPr>
        <w:t>附录</w:t>
      </w:r>
      <w:r>
        <w:rPr>
          <w:rFonts w:hint="eastAsia" w:ascii="Times New Roman" w:cs="Times New Roman"/>
          <w:color w:val="000000"/>
          <w:lang w:val="en-US" w:eastAsia="zh-CN"/>
        </w:rPr>
        <w:t>D</w:t>
      </w:r>
      <w:r>
        <w:rPr>
          <w:rFonts w:hint="eastAsia" w:ascii="Times New Roman" w:cs="Times New Roman"/>
          <w:color w:val="000000"/>
        </w:rPr>
        <w:t>限值要求</w:t>
      </w:r>
      <w:r>
        <w:rPr>
          <w:rFonts w:hint="eastAsia" w:ascii="Times New Roman" w:cs="Times New Roman"/>
          <w:color w:val="000000"/>
          <w:lang w:eastAsia="zh-CN"/>
        </w:rPr>
        <w:t>，区域环境空气质量较好</w:t>
      </w:r>
      <w:r>
        <w:rPr>
          <w:rFonts w:hint="eastAsia" w:ascii="Times New Roman" w:cs="Times New Roman"/>
          <w:color w:val="000000"/>
        </w:rPr>
        <w:t>。</w:t>
      </w:r>
    </w:p>
    <w:p>
      <w:pPr>
        <w:pStyle w:val="6"/>
        <w:rPr>
          <w:sz w:val="28"/>
          <w:szCs w:val="28"/>
        </w:rPr>
      </w:pPr>
      <w:bookmarkStart w:id="202" w:name="_Toc6950"/>
      <w:r>
        <w:rPr>
          <w:rFonts w:hint="eastAsia"/>
          <w:sz w:val="28"/>
          <w:szCs w:val="28"/>
          <w:lang w:eastAsia="zh-CN"/>
        </w:rPr>
        <w:t>地表水现状监测与评价</w:t>
      </w:r>
      <w:bookmarkEnd w:id="202"/>
    </w:p>
    <w:p>
      <w:pPr>
        <w:pStyle w:val="1192"/>
        <w:ind w:firstLine="480"/>
        <w:rPr>
          <w:rFonts w:hint="eastAsia" w:eastAsia="宋体"/>
          <w:lang w:eastAsia="zh-CN"/>
        </w:rPr>
      </w:pPr>
      <w:r>
        <w:t>1、</w:t>
      </w:r>
      <w:r>
        <w:rPr>
          <w:rFonts w:hint="eastAsia"/>
          <w:lang w:eastAsia="zh-CN"/>
        </w:rPr>
        <w:t>现状监测结果</w:t>
      </w:r>
    </w:p>
    <w:p>
      <w:pPr>
        <w:pStyle w:val="1192"/>
        <w:ind w:firstLine="480"/>
        <w:rPr>
          <w:rFonts w:hint="default" w:eastAsia="宋体"/>
          <w:lang w:val="en-US" w:eastAsia="zh-CN"/>
        </w:rPr>
      </w:pPr>
      <w:r>
        <w:rPr>
          <w:rFonts w:hint="eastAsia"/>
          <w:lang w:eastAsia="zh-CN"/>
        </w:rPr>
        <w:t>本次地表水监测点位布设了</w:t>
      </w:r>
      <w:r>
        <w:rPr>
          <w:rFonts w:hint="eastAsia"/>
          <w:lang w:val="en-US" w:eastAsia="zh-CN"/>
        </w:rPr>
        <w:t>4个点位，W1-W4，其监测结果详见下表。</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表</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hint="eastAsia" w:ascii="Times New Roman" w:hAnsi="Times New Roman" w:eastAsia="宋体" w:cs="Times New Roman"/>
          <w:snapToGrid/>
          <w:kern w:val="2"/>
          <w:sz w:val="21"/>
          <w:szCs w:val="21"/>
          <w:lang w:val="en-US" w:eastAsia="zh-CN"/>
        </w:rPr>
        <w:t xml:space="preserve">3  </w:t>
      </w:r>
      <w:r>
        <w:rPr>
          <w:rFonts w:ascii="Times New Roman" w:hAnsi="Times New Roman" w:eastAsia="宋体" w:cs="Times New Roman"/>
          <w:snapToGrid/>
          <w:kern w:val="2"/>
          <w:sz w:val="21"/>
          <w:szCs w:val="21"/>
        </w:rPr>
        <w:t>土壤监测布点</w:t>
      </w:r>
      <w:r>
        <w:rPr>
          <w:rFonts w:hint="eastAsia" w:ascii="Times New Roman" w:hAnsi="Times New Roman" w:eastAsia="宋体" w:cs="Times New Roman"/>
          <w:snapToGrid/>
          <w:kern w:val="2"/>
          <w:sz w:val="21"/>
          <w:szCs w:val="21"/>
          <w:lang w:eastAsia="zh-CN"/>
        </w:rPr>
        <w:t>汇总表</w:t>
      </w:r>
    </w:p>
    <w:tbl>
      <w:tblPr>
        <w:tblStyle w:val="88"/>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3"/>
        <w:gridCol w:w="1589"/>
        <w:gridCol w:w="8"/>
        <w:gridCol w:w="756"/>
        <w:gridCol w:w="11"/>
        <w:gridCol w:w="997"/>
        <w:gridCol w:w="15"/>
        <w:gridCol w:w="1070"/>
        <w:gridCol w:w="17"/>
        <w:gridCol w:w="1068"/>
        <w:gridCol w:w="20"/>
        <w:gridCol w:w="1065"/>
        <w:gridCol w:w="26"/>
        <w:gridCol w:w="912"/>
        <w:gridCol w:w="15"/>
        <w:gridCol w:w="45"/>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917" w:type="dxa"/>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序号</w:t>
            </w:r>
          </w:p>
        </w:tc>
        <w:tc>
          <w:tcPr>
            <w:tcW w:w="1592"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检测项目</w:t>
            </w:r>
          </w:p>
        </w:tc>
        <w:tc>
          <w:tcPr>
            <w:tcW w:w="764"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单位</w:t>
            </w:r>
          </w:p>
        </w:tc>
        <w:tc>
          <w:tcPr>
            <w:tcW w:w="1008"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检出限</w:t>
            </w:r>
          </w:p>
        </w:tc>
        <w:tc>
          <w:tcPr>
            <w:tcW w:w="3255" w:type="dxa"/>
            <w:gridSpan w:val="6"/>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lang w:val="en-US" w:eastAsia="zh-CN"/>
                <w14:textFill>
                  <w14:solidFill>
                    <w14:schemeClr w14:val="tx1"/>
                  </w14:solidFill>
                </w14:textFill>
              </w:rPr>
              <w:t>W1</w:t>
            </w:r>
            <w:r>
              <w:rPr>
                <w:rFonts w:hint="default" w:ascii="Times New Roman" w:hAnsi="Times New Roman" w:cs="Times New Roman"/>
                <w:b/>
                <w:color w:val="000000" w:themeColor="text1"/>
                <w:szCs w:val="22"/>
                <w14:textFill>
                  <w14:solidFill>
                    <w14:schemeClr w14:val="tx1"/>
                  </w14:solidFill>
                </w14:textFill>
              </w:rPr>
              <w:t>检测结果</w:t>
            </w:r>
          </w:p>
        </w:tc>
        <w:tc>
          <w:tcPr>
            <w:tcW w:w="1905" w:type="dxa"/>
            <w:gridSpan w:val="5"/>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 w:val="21"/>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917" w:type="dxa"/>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592"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764"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08"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2020.7.8</w:t>
            </w: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2020.7.9</w:t>
            </w: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2020.7.10</w:t>
            </w:r>
          </w:p>
        </w:tc>
        <w:tc>
          <w:tcPr>
            <w:tcW w:w="1905" w:type="dxa"/>
            <w:gridSpan w:val="5"/>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pH</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无量纲</w:t>
            </w:r>
          </w:p>
        </w:tc>
        <w:tc>
          <w:tcPr>
            <w:tcW w:w="1008"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0.1pH</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7.4</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6-9</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2</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悬浮物</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12</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30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3</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总氮</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3.42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3.38</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3.24</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4</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化学需氧量</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20.0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5</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五日生化需氧量</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0.5</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4.0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6</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氨氮</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0.025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0.248</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0.221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0.262</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7</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石油类</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0.05</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8</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总磷</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0.07</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0.07</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0.07</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0.2</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9</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溶解氧</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7.0</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5.0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10</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阴离子表面活性剂</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0.1</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11</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粪大肠菌群</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MPN/L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20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1.7×10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1.7×10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1.5×10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953" w:type="dxa"/>
            <w:gridSpan w:val="3"/>
            <w:vAlign w:val="center"/>
          </w:tcPr>
          <w:p>
            <w:pPr>
              <w:keepNext w:val="0"/>
              <w:keepLines w:val="0"/>
              <w:suppressLineNumbers w:val="0"/>
              <w:spacing w:beforeAutospacing="0" w:afterAutospacing="0"/>
              <w:ind w:firstLine="0" w:firstLineChars="0"/>
              <w:jc w:val="center"/>
              <w:rPr>
                <w:rFonts w:hint="default" w:ascii="Times New Roman" w:hAnsi="Times New Roman" w:eastAsia="宋体" w:cs="Times New Roman"/>
                <w:color w:val="000000" w:themeColor="text1"/>
                <w:kern w:val="2"/>
                <w:sz w:val="22"/>
                <w:lang w:val="en-US" w:eastAsia="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10000</w:t>
            </w:r>
          </w:p>
        </w:tc>
        <w:tc>
          <w:tcPr>
            <w:tcW w:w="952"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536" w:type="dxa"/>
            <w:gridSpan w:val="13"/>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备注：“ND（检出限）”表示未检出。</w:t>
            </w:r>
          </w:p>
        </w:tc>
        <w:tc>
          <w:tcPr>
            <w:tcW w:w="953" w:type="dxa"/>
            <w:gridSpan w:val="3"/>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c>
          <w:tcPr>
            <w:tcW w:w="952" w:type="dxa"/>
            <w:gridSpan w:val="2"/>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blHeader/>
          <w:jc w:val="center"/>
        </w:trPr>
        <w:tc>
          <w:tcPr>
            <w:tcW w:w="920"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序号</w:t>
            </w:r>
          </w:p>
        </w:tc>
        <w:tc>
          <w:tcPr>
            <w:tcW w:w="1597"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检测项目</w:t>
            </w:r>
          </w:p>
        </w:tc>
        <w:tc>
          <w:tcPr>
            <w:tcW w:w="767"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单位</w:t>
            </w:r>
          </w:p>
        </w:tc>
        <w:tc>
          <w:tcPr>
            <w:tcW w:w="1012"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检出限</w:t>
            </w:r>
          </w:p>
        </w:tc>
        <w:tc>
          <w:tcPr>
            <w:tcW w:w="3266" w:type="dxa"/>
            <w:gridSpan w:val="6"/>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lang w:val="en-US" w:eastAsia="zh-CN"/>
                <w14:textFill>
                  <w14:solidFill>
                    <w14:schemeClr w14:val="tx1"/>
                  </w14:solidFill>
                </w14:textFill>
              </w:rPr>
              <w:t>W2</w:t>
            </w:r>
            <w:r>
              <w:rPr>
                <w:rFonts w:hint="default" w:ascii="Times New Roman" w:hAnsi="Times New Roman" w:cs="Times New Roman"/>
                <w:b/>
                <w:color w:val="000000" w:themeColor="text1"/>
                <w:szCs w:val="22"/>
                <w14:textFill>
                  <w14:solidFill>
                    <w14:schemeClr w14:val="tx1"/>
                  </w14:solidFill>
                </w14:textFill>
              </w:rPr>
              <w:t>检测结果</w:t>
            </w:r>
          </w:p>
        </w:tc>
        <w:tc>
          <w:tcPr>
            <w:tcW w:w="1879" w:type="dxa"/>
            <w:gridSpan w:val="4"/>
            <w:vMerge w:val="restart"/>
            <w:vAlign w:val="center"/>
          </w:tcPr>
          <w:p>
            <w:pPr>
              <w:pStyle w:val="64"/>
              <w:keepNext w:val="0"/>
              <w:keepLines w:val="0"/>
              <w:suppressLineNumbers w:val="0"/>
              <w:spacing w:beforeAutospacing="0" w:afterAutospacing="0"/>
              <w:rPr>
                <w:rFonts w:hint="default" w:ascii="Times New Roman" w:hAnsi="Times New Roman" w:eastAsia="宋体" w:cs="Times New Roman"/>
                <w:b/>
                <w:color w:val="000000" w:themeColor="text1"/>
                <w:szCs w:val="22"/>
                <w:lang w:val="en-US" w:eastAsia="zh-CN"/>
                <w14:textFill>
                  <w14:solidFill>
                    <w14:schemeClr w14:val="tx1"/>
                  </w14:solidFill>
                </w14:textFill>
              </w:rPr>
            </w:pPr>
            <w:r>
              <w:rPr>
                <w:rFonts w:hint="eastAsia" w:ascii="Times New Roman" w:hAnsi="Times New Roman" w:cs="Times New Roman"/>
                <w:b/>
                <w:color w:val="000000" w:themeColor="text1"/>
                <w:szCs w:val="22"/>
                <w:lang w:val="en-US"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920"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597"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767"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12"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87"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2020.7.8</w:t>
            </w:r>
          </w:p>
        </w:tc>
        <w:tc>
          <w:tcPr>
            <w:tcW w:w="1088"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2020.7.9</w:t>
            </w:r>
          </w:p>
        </w:tc>
        <w:tc>
          <w:tcPr>
            <w:tcW w:w="1091"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2020.7.10</w:t>
            </w:r>
          </w:p>
        </w:tc>
        <w:tc>
          <w:tcPr>
            <w:tcW w:w="1879" w:type="dxa"/>
            <w:gridSpan w:val="4"/>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pH</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无量纲</w:t>
            </w:r>
          </w:p>
        </w:tc>
        <w:tc>
          <w:tcPr>
            <w:tcW w:w="101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0.1pH</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7.5</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7.4</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7.6</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6-9</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2</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悬浮物</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16</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19</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18</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30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3</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总氮</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0.05</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3.33</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3.28</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3.39</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4</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化学需氧量</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20.0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5</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五日生化需氧量</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0.5</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0.5</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0.5</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ND(0.5)</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4.0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6</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氨氮</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0.025</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0.161</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0.133</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0.173</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7</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石油类</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0.05</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8</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总磷</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0.10</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0.10</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0.10</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0.2</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9</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溶解氧</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0.2</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6.9</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7.0</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6.5</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5.0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10</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阴离子表面活性剂</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1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0.05</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0.05</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0.1</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20"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11</w:t>
            </w:r>
          </w:p>
        </w:tc>
        <w:tc>
          <w:tcPr>
            <w:tcW w:w="159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粪大肠菌群</w:t>
            </w:r>
          </w:p>
        </w:tc>
        <w:tc>
          <w:tcPr>
            <w:tcW w:w="767"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MPN/L</w:t>
            </w:r>
          </w:p>
        </w:tc>
        <w:tc>
          <w:tcPr>
            <w:tcW w:w="1012"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20</w:t>
            </w:r>
          </w:p>
        </w:tc>
        <w:tc>
          <w:tcPr>
            <w:tcW w:w="1087"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1.4×10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8"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1.3×10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91"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1.3×10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927"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10000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562" w:type="dxa"/>
            <w:gridSpan w:val="14"/>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备注：“ND（检出限）”表示未检出。</w:t>
            </w:r>
          </w:p>
        </w:tc>
        <w:tc>
          <w:tcPr>
            <w:tcW w:w="927" w:type="dxa"/>
            <w:gridSpan w:val="2"/>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c>
          <w:tcPr>
            <w:tcW w:w="952" w:type="dxa"/>
            <w:gridSpan w:val="2"/>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blHeader/>
          <w:jc w:val="center"/>
        </w:trPr>
        <w:tc>
          <w:tcPr>
            <w:tcW w:w="917" w:type="dxa"/>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序号</w:t>
            </w:r>
          </w:p>
        </w:tc>
        <w:tc>
          <w:tcPr>
            <w:tcW w:w="1592"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检测项目</w:t>
            </w:r>
          </w:p>
        </w:tc>
        <w:tc>
          <w:tcPr>
            <w:tcW w:w="764"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单位</w:t>
            </w:r>
          </w:p>
        </w:tc>
        <w:tc>
          <w:tcPr>
            <w:tcW w:w="1008"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检出限</w:t>
            </w:r>
          </w:p>
        </w:tc>
        <w:tc>
          <w:tcPr>
            <w:tcW w:w="3255" w:type="dxa"/>
            <w:gridSpan w:val="6"/>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lang w:val="en-US" w:eastAsia="zh-CN"/>
                <w14:textFill>
                  <w14:solidFill>
                    <w14:schemeClr w14:val="tx1"/>
                  </w14:solidFill>
                </w14:textFill>
              </w:rPr>
              <w:t>W3</w:t>
            </w:r>
            <w:r>
              <w:rPr>
                <w:rFonts w:hint="default" w:ascii="Times New Roman" w:hAnsi="Times New Roman" w:cs="Times New Roman"/>
                <w:b/>
                <w:color w:val="000000" w:themeColor="text1"/>
                <w:szCs w:val="22"/>
                <w14:textFill>
                  <w14:solidFill>
                    <w14:schemeClr w14:val="tx1"/>
                  </w14:solidFill>
                </w14:textFill>
              </w:rPr>
              <w:t>检测结果</w:t>
            </w:r>
          </w:p>
        </w:tc>
        <w:tc>
          <w:tcPr>
            <w:tcW w:w="1905" w:type="dxa"/>
            <w:gridSpan w:val="5"/>
            <w:vMerge w:val="restart"/>
            <w:vAlign w:val="center"/>
          </w:tcPr>
          <w:p>
            <w:pPr>
              <w:pStyle w:val="64"/>
              <w:keepNext w:val="0"/>
              <w:keepLines w:val="0"/>
              <w:suppressLineNumbers w:val="0"/>
              <w:spacing w:beforeAutospacing="0" w:afterAutospacing="0"/>
              <w:rPr>
                <w:rFonts w:hint="default" w:ascii="Times New Roman" w:hAnsi="Times New Roman" w:eastAsia="宋体" w:cs="Times New Roman"/>
                <w:b/>
                <w:color w:val="000000" w:themeColor="text1"/>
                <w:szCs w:val="22"/>
                <w:lang w:val="en-US" w:eastAsia="zh-CN"/>
                <w14:textFill>
                  <w14:solidFill>
                    <w14:schemeClr w14:val="tx1"/>
                  </w14:solidFill>
                </w14:textFill>
              </w:rPr>
            </w:pPr>
            <w:r>
              <w:rPr>
                <w:rFonts w:hint="eastAsia" w:ascii="Times New Roman" w:hAnsi="Times New Roman" w:cs="Times New Roman"/>
                <w:b/>
                <w:color w:val="000000" w:themeColor="text1"/>
                <w:szCs w:val="22"/>
                <w:lang w:val="en-US"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917" w:type="dxa"/>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592"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764"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08"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2020.7.8</w:t>
            </w: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2020.7.9</w:t>
            </w: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2020.7.10</w:t>
            </w:r>
          </w:p>
        </w:tc>
        <w:tc>
          <w:tcPr>
            <w:tcW w:w="1905" w:type="dxa"/>
            <w:gridSpan w:val="5"/>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pH</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无量纲</w:t>
            </w:r>
          </w:p>
        </w:tc>
        <w:tc>
          <w:tcPr>
            <w:tcW w:w="1008"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0.1pH</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7.6</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7.7</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6-9</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2</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悬浮物</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13</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14</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30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3</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总氮</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3.14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3.09</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3.18</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4</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化学需氧量</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938"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20.0</w:t>
            </w:r>
          </w:p>
        </w:tc>
        <w:tc>
          <w:tcPr>
            <w:tcW w:w="967"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5</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五日生化需氧量</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0.7</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4.0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6</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氨氮</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0.025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0.164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0.147</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0.130</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7</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石油类</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0.05</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8</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总磷</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0.09</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0.2</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9</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溶解氧</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6.2</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5.0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10</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阴离子表面活性剂</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0.1</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11</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粪大肠菌群</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MPN/L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20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1.4×10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1.7×10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1.7×10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953" w:type="dxa"/>
            <w:gridSpan w:val="3"/>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10000</w:t>
            </w:r>
          </w:p>
        </w:tc>
        <w:tc>
          <w:tcPr>
            <w:tcW w:w="952" w:type="dxa"/>
            <w:gridSpan w:val="2"/>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536" w:type="dxa"/>
            <w:gridSpan w:val="13"/>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备注：“ND（检出限）”表示未检出。</w:t>
            </w:r>
          </w:p>
        </w:tc>
        <w:tc>
          <w:tcPr>
            <w:tcW w:w="998" w:type="dxa"/>
            <w:gridSpan w:val="4"/>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c>
          <w:tcPr>
            <w:tcW w:w="907" w:type="dxa"/>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blHeader/>
          <w:jc w:val="center"/>
        </w:trPr>
        <w:tc>
          <w:tcPr>
            <w:tcW w:w="917" w:type="dxa"/>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序号</w:t>
            </w:r>
          </w:p>
        </w:tc>
        <w:tc>
          <w:tcPr>
            <w:tcW w:w="1592"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检测项目</w:t>
            </w:r>
          </w:p>
        </w:tc>
        <w:tc>
          <w:tcPr>
            <w:tcW w:w="764"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单位</w:t>
            </w:r>
          </w:p>
        </w:tc>
        <w:tc>
          <w:tcPr>
            <w:tcW w:w="1008" w:type="dxa"/>
            <w:gridSpan w:val="2"/>
            <w:vMerge w:val="restart"/>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检出限</w:t>
            </w:r>
          </w:p>
        </w:tc>
        <w:tc>
          <w:tcPr>
            <w:tcW w:w="3255" w:type="dxa"/>
            <w:gridSpan w:val="6"/>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lang w:val="en-US" w:eastAsia="zh-CN"/>
                <w14:textFill>
                  <w14:solidFill>
                    <w14:schemeClr w14:val="tx1"/>
                  </w14:solidFill>
                </w14:textFill>
              </w:rPr>
              <w:t>W4</w:t>
            </w:r>
            <w:r>
              <w:rPr>
                <w:rFonts w:hint="default" w:ascii="Times New Roman" w:hAnsi="Times New Roman" w:cs="Times New Roman"/>
                <w:b/>
                <w:color w:val="000000" w:themeColor="text1"/>
                <w:szCs w:val="22"/>
                <w14:textFill>
                  <w14:solidFill>
                    <w14:schemeClr w14:val="tx1"/>
                  </w14:solidFill>
                </w14:textFill>
              </w:rPr>
              <w:t>检测结果</w:t>
            </w:r>
          </w:p>
        </w:tc>
        <w:tc>
          <w:tcPr>
            <w:tcW w:w="1905" w:type="dxa"/>
            <w:gridSpan w:val="5"/>
            <w:vMerge w:val="restart"/>
            <w:vAlign w:val="center"/>
          </w:tcPr>
          <w:p>
            <w:pPr>
              <w:pStyle w:val="64"/>
              <w:keepNext w:val="0"/>
              <w:keepLines w:val="0"/>
              <w:suppressLineNumbers w:val="0"/>
              <w:spacing w:beforeAutospacing="0" w:afterAutospacing="0"/>
              <w:rPr>
                <w:rFonts w:hint="default" w:ascii="Times New Roman" w:hAnsi="Times New Roman" w:eastAsia="宋体" w:cs="Times New Roman"/>
                <w:b/>
                <w:color w:val="000000" w:themeColor="text1"/>
                <w:szCs w:val="22"/>
                <w:lang w:val="en-US" w:eastAsia="zh-CN"/>
                <w14:textFill>
                  <w14:solidFill>
                    <w14:schemeClr w14:val="tx1"/>
                  </w14:solidFill>
                </w14:textFill>
              </w:rPr>
            </w:pPr>
            <w:r>
              <w:rPr>
                <w:rFonts w:hint="eastAsia" w:ascii="Times New Roman" w:hAnsi="Times New Roman" w:cs="Times New Roman"/>
                <w:b/>
                <w:color w:val="000000" w:themeColor="text1"/>
                <w:szCs w:val="22"/>
                <w:lang w:val="en-US"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blHeader/>
          <w:jc w:val="center"/>
        </w:trPr>
        <w:tc>
          <w:tcPr>
            <w:tcW w:w="917" w:type="dxa"/>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592"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764"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08" w:type="dxa"/>
            <w:gridSpan w:val="2"/>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2020.7.8</w:t>
            </w: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2020.7.9</w:t>
            </w:r>
          </w:p>
        </w:tc>
        <w:tc>
          <w:tcPr>
            <w:tcW w:w="1085" w:type="dxa"/>
            <w:gridSpan w:val="2"/>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r>
              <w:rPr>
                <w:rFonts w:hint="default" w:ascii="Times New Roman" w:hAnsi="Times New Roman" w:cs="Times New Roman"/>
                <w:b/>
                <w:color w:val="000000" w:themeColor="text1"/>
                <w:szCs w:val="22"/>
                <w14:textFill>
                  <w14:solidFill>
                    <w14:schemeClr w14:val="tx1"/>
                  </w14:solidFill>
                </w14:textFill>
              </w:rPr>
              <w:t>2020.7.10</w:t>
            </w:r>
          </w:p>
        </w:tc>
        <w:tc>
          <w:tcPr>
            <w:tcW w:w="1905" w:type="dxa"/>
            <w:gridSpan w:val="5"/>
            <w:vMerge w:val="continue"/>
            <w:vAlign w:val="center"/>
          </w:tcPr>
          <w:p>
            <w:pPr>
              <w:pStyle w:val="64"/>
              <w:keepNext w:val="0"/>
              <w:keepLines w:val="0"/>
              <w:suppressLineNumbers w:val="0"/>
              <w:spacing w:beforeAutospacing="0" w:afterAutospacing="0"/>
              <w:rPr>
                <w:rFonts w:hint="default" w:ascii="Times New Roman" w:hAnsi="Times New Roman"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pH</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无量纲</w:t>
            </w:r>
          </w:p>
        </w:tc>
        <w:tc>
          <w:tcPr>
            <w:tcW w:w="1008"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0.1pH</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7.7</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7.7</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7.9</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6-9</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2</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悬浮物</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16</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15</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30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3</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总氮</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3.52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3.40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3.59</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4</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化学需氧量</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ND(4)</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20.0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5</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五日生化需氧量</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0.6</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0.6</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4.0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6</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氨氮</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0.025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0.195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0.158</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0.181</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7</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石油类</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ND(0.01)</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0.05</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8</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总磷</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0.01</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0.06</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0.06</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0.06</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0.2</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9</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溶解氧</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0.2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6.9</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6.7</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6.7</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5.0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10</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阴离子表面活性剂</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mg/L</w:t>
            </w:r>
          </w:p>
        </w:tc>
        <w:tc>
          <w:tcPr>
            <w:tcW w:w="1008"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ND(0.05)</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0.06</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0.1</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17" w:type="dxa"/>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11</w:t>
            </w:r>
          </w:p>
        </w:tc>
        <w:tc>
          <w:tcPr>
            <w:tcW w:w="1592"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粪大肠菌群</w:t>
            </w:r>
          </w:p>
        </w:tc>
        <w:tc>
          <w:tcPr>
            <w:tcW w:w="764" w:type="dxa"/>
            <w:gridSpan w:val="2"/>
            <w:vAlign w:val="center"/>
          </w:tcPr>
          <w:p>
            <w:pPr>
              <w:pStyle w:val="64"/>
              <w:keepNext w:val="0"/>
              <w:keepLines w:val="0"/>
              <w:suppressLineNumbers w:val="0"/>
              <w:spacing w:beforeAutospacing="0" w:afterAutospacing="0"/>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MPN/L</w:t>
            </w:r>
          </w:p>
        </w:tc>
        <w:tc>
          <w:tcPr>
            <w:tcW w:w="1008" w:type="dxa"/>
            <w:gridSpan w:val="2"/>
            <w:vAlign w:val="center"/>
          </w:tcPr>
          <w:p>
            <w:pPr>
              <w:keepNext w:val="0"/>
              <w:keepLines w:val="0"/>
              <w:widowControl/>
              <w:suppressLineNumbers w:val="0"/>
              <w:spacing w:beforeAutospacing="0" w:afterAutospacing="0"/>
              <w:ind w:firstLine="0" w:firstLineChars="0"/>
              <w:jc w:val="center"/>
              <w:textAlignment w:val="center"/>
              <w:rPr>
                <w:rFonts w:hint="default" w:ascii="Times New Roman" w:hAnsi="Times New Roman" w:cs="Times New Roman"/>
                <w:color w:val="000000" w:themeColor="text1"/>
                <w:kern w:val="0"/>
                <w:sz w:val="22"/>
                <w14:textFill>
                  <w14:solidFill>
                    <w14:schemeClr w14:val="tx1"/>
                  </w14:solidFill>
                </w14:textFill>
              </w:rPr>
            </w:pPr>
            <w:r>
              <w:rPr>
                <w:rFonts w:hint="default" w:ascii="Times New Roman" w:hAnsi="Times New Roman" w:cs="Times New Roman"/>
                <w:color w:val="000000" w:themeColor="text1"/>
                <w:kern w:val="0"/>
                <w:sz w:val="22"/>
                <w14:textFill>
                  <w14:solidFill>
                    <w14:schemeClr w14:val="tx1"/>
                  </w14:solidFill>
                </w14:textFill>
              </w:rPr>
              <w:t>20</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1.1×10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1.2×10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1085" w:type="dxa"/>
            <w:gridSpan w:val="2"/>
            <w:vAlign w:val="center"/>
          </w:tcPr>
          <w:p>
            <w:pPr>
              <w:keepNext w:val="0"/>
              <w:keepLines w:val="0"/>
              <w:suppressLineNumbers w:val="0"/>
              <w:spacing w:beforeAutospacing="0" w:afterAutospacing="0"/>
              <w:ind w:firstLine="0" w:firstLineChars="0"/>
              <w:jc w:val="center"/>
              <w:rPr>
                <w:rFonts w:hint="default" w:ascii="Times New Roman" w:hAnsi="Times New Roman" w:cs="Times New Roman"/>
                <w:color w:val="000000" w:themeColor="text1"/>
                <w:kern w:val="2"/>
                <w:sz w:val="22"/>
                <w14:textFill>
                  <w14:solidFill>
                    <w14:schemeClr w14:val="tx1"/>
                  </w14:solidFill>
                </w14:textFill>
              </w:rPr>
            </w:pPr>
            <w:r>
              <w:rPr>
                <w:rFonts w:hint="default" w:ascii="Times New Roman" w:hAnsi="Times New Roman" w:cs="Times New Roman"/>
                <w:color w:val="000000" w:themeColor="text1"/>
                <w:kern w:val="2"/>
                <w:sz w:val="22"/>
                <w14:textFill>
                  <w14:solidFill>
                    <w14:schemeClr w14:val="tx1"/>
                  </w14:solidFill>
                </w14:textFill>
              </w:rPr>
              <w:t>1.4×10</w:t>
            </w:r>
            <w:r>
              <w:rPr>
                <w:rFonts w:hint="default" w:ascii="Times New Roman" w:hAnsi="Times New Roman" w:cs="Times New Roman"/>
                <w:color w:val="000000" w:themeColor="text1"/>
                <w:kern w:val="2"/>
                <w:sz w:val="22"/>
                <w:vertAlign w:val="superscript"/>
                <w14:textFill>
                  <w14:solidFill>
                    <w14:schemeClr w14:val="tx1"/>
                  </w14:solidFill>
                </w14:textFill>
              </w:rPr>
              <w:t>2</w:t>
            </w:r>
          </w:p>
        </w:tc>
        <w:tc>
          <w:tcPr>
            <w:tcW w:w="998" w:type="dxa"/>
            <w:gridSpan w:val="4"/>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en-US"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10000</w:t>
            </w:r>
          </w:p>
        </w:tc>
        <w:tc>
          <w:tcPr>
            <w:tcW w:w="907" w:type="dxa"/>
            <w:vAlign w:val="center"/>
          </w:tcPr>
          <w:p>
            <w:pPr>
              <w:keepNext w:val="0"/>
              <w:keepLines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000000" w:themeColor="text1"/>
                <w:kern w:val="2"/>
                <w:sz w:val="22"/>
                <w:szCs w:val="22"/>
                <w:lang w:val="zh-CN" w:eastAsia="zh-CN" w:bidi="zh-CN"/>
                <w14:textFill>
                  <w14:solidFill>
                    <w14:schemeClr w14:val="tx1"/>
                  </w14:solidFill>
                </w14:textFill>
              </w:rPr>
            </w:pPr>
            <w:r>
              <w:rPr>
                <w:rFonts w:hint="default" w:ascii="Times New Roman" w:hAnsi="Times New Roman" w:cs="Times New Roman"/>
                <w:color w:val="000000" w:themeColor="text1"/>
                <w:kern w:val="2"/>
                <w:sz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536" w:type="dxa"/>
            <w:gridSpan w:val="13"/>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备注：“ND（检出限）”表示未检出。</w:t>
            </w:r>
          </w:p>
        </w:tc>
        <w:tc>
          <w:tcPr>
            <w:tcW w:w="1905" w:type="dxa"/>
            <w:gridSpan w:val="5"/>
            <w:vAlign w:val="center"/>
          </w:tcPr>
          <w:p>
            <w:pPr>
              <w:pStyle w:val="64"/>
              <w:keepNext w:val="0"/>
              <w:keepLines w:val="0"/>
              <w:suppressLineNumbers w:val="0"/>
              <w:spacing w:beforeAutospacing="0" w:afterAutospacing="0"/>
              <w:jc w:val="left"/>
              <w:rPr>
                <w:rFonts w:hint="default" w:ascii="Times New Roman" w:hAnsi="Times New Roman" w:cs="Times New Roman"/>
                <w:color w:val="000000" w:themeColor="text1"/>
                <w:szCs w:val="22"/>
                <w14:textFill>
                  <w14:solidFill>
                    <w14:schemeClr w14:val="tx1"/>
                  </w14:solidFill>
                </w14:textFill>
              </w:rPr>
            </w:pPr>
          </w:p>
        </w:tc>
      </w:tr>
    </w:tbl>
    <w:p>
      <w:pPr>
        <w:pStyle w:val="1192"/>
        <w:ind w:firstLine="480"/>
        <w:rPr>
          <w:rFonts w:hint="eastAsia" w:eastAsia="宋体"/>
          <w:lang w:val="en-US" w:eastAsia="zh-CN"/>
        </w:rPr>
      </w:pPr>
      <w:r>
        <w:rPr>
          <w:rFonts w:hint="eastAsia"/>
          <w:lang w:val="en-US" w:eastAsia="zh-CN"/>
        </w:rPr>
        <w:t>2、地表水环境质量现状评价</w:t>
      </w:r>
    </w:p>
    <w:p>
      <w:pPr>
        <w:pStyle w:val="1192"/>
        <w:ind w:firstLine="480"/>
      </w:pPr>
      <w:r>
        <w:t>从表</w:t>
      </w:r>
      <w:r>
        <w:rPr>
          <w:rFonts w:hint="eastAsia"/>
          <w:lang w:val="en-US" w:eastAsia="zh-CN"/>
        </w:rPr>
        <w:t>4.2-3中4</w:t>
      </w:r>
      <w:r>
        <w:t>个监测断面的监测数据可知，各监测断面监测因子的监测值均满足《地表水环境质量标准》（GB3838-2002）中的Ⅲ类标准，项目评价范围内地表水环境质量较好。</w:t>
      </w:r>
    </w:p>
    <w:p>
      <w:pPr>
        <w:pStyle w:val="6"/>
        <w:rPr>
          <w:sz w:val="28"/>
          <w:szCs w:val="28"/>
        </w:rPr>
      </w:pPr>
      <w:bookmarkStart w:id="203" w:name="_Toc1419"/>
      <w:r>
        <w:rPr>
          <w:rFonts w:hint="eastAsia"/>
          <w:sz w:val="28"/>
          <w:szCs w:val="28"/>
          <w:lang w:eastAsia="zh-CN"/>
        </w:rPr>
        <w:t>地下水质量现状调查与评价</w:t>
      </w:r>
      <w:bookmarkEnd w:id="203"/>
    </w:p>
    <w:p>
      <w:pPr>
        <w:pStyle w:val="1192"/>
        <w:ind w:firstLine="480"/>
        <w:rPr>
          <w:rFonts w:hint="eastAsia" w:eastAsia="宋体"/>
          <w:lang w:eastAsia="zh-CN"/>
        </w:rPr>
      </w:pPr>
      <w:r>
        <w:t>1、</w:t>
      </w:r>
      <w:r>
        <w:rPr>
          <w:rFonts w:hint="eastAsia"/>
          <w:lang w:eastAsia="zh-CN"/>
        </w:rPr>
        <w:t>现状监测结果</w:t>
      </w:r>
    </w:p>
    <w:p>
      <w:pPr>
        <w:pStyle w:val="23"/>
        <w:keepNext/>
        <w:spacing w:before="120" w:beforeLines="50" w:after="120" w:afterLines="50" w:line="360" w:lineRule="auto"/>
        <w:ind w:firstLine="42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 xml:space="preserve">表 </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hint="eastAsia" w:ascii="Times New Roman" w:hAnsi="Times New Roman" w:eastAsia="宋体" w:cs="Times New Roman"/>
          <w:snapToGrid/>
          <w:kern w:val="2"/>
          <w:sz w:val="21"/>
          <w:szCs w:val="21"/>
          <w:lang w:val="en-US" w:eastAsia="zh-CN"/>
        </w:rPr>
        <w:t xml:space="preserve">4  </w:t>
      </w:r>
      <w:r>
        <w:rPr>
          <w:rFonts w:ascii="Times New Roman" w:hAnsi="Times New Roman" w:eastAsia="宋体" w:cs="Times New Roman"/>
          <w:snapToGrid/>
          <w:kern w:val="2"/>
          <w:sz w:val="21"/>
          <w:szCs w:val="21"/>
        </w:rPr>
        <w:t>地下水</w:t>
      </w:r>
      <w:r>
        <w:rPr>
          <w:rFonts w:hint="eastAsia" w:ascii="Times New Roman" w:hAnsi="Times New Roman" w:eastAsia="宋体" w:cs="Times New Roman"/>
          <w:snapToGrid/>
          <w:kern w:val="2"/>
          <w:sz w:val="21"/>
          <w:szCs w:val="21"/>
          <w:lang w:val="en-US" w:eastAsia="zh-CN"/>
        </w:rPr>
        <w:t>Q1</w:t>
      </w:r>
      <w:r>
        <w:rPr>
          <w:rFonts w:ascii="Times New Roman" w:hAnsi="Times New Roman" w:eastAsia="宋体" w:cs="Times New Roman"/>
          <w:snapToGrid/>
          <w:kern w:val="2"/>
          <w:sz w:val="21"/>
          <w:szCs w:val="21"/>
        </w:rPr>
        <w:t>检测结果</w:t>
      </w:r>
      <w:r>
        <w:rPr>
          <w:rFonts w:hint="eastAsia" w:ascii="Times New Roman" w:hAnsi="Times New Roman" w:eastAsia="宋体" w:cs="Times New Roman"/>
          <w:snapToGrid/>
          <w:kern w:val="2"/>
          <w:sz w:val="21"/>
          <w:szCs w:val="21"/>
          <w:lang w:val="en-US" w:eastAsia="zh-CN"/>
        </w:rPr>
        <w:t xml:space="preserve">   </w:t>
      </w:r>
      <w:r>
        <w:rPr>
          <w:rFonts w:ascii="Times New Roman" w:hAnsi="Times New Roman" w:eastAsia="宋体" w:cs="Times New Roman"/>
          <w:snapToGrid/>
          <w:kern w:val="2"/>
          <w:sz w:val="21"/>
          <w:szCs w:val="21"/>
        </w:rPr>
        <w:t>单位：mg/L（pH 无量纲）</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305"/>
        <w:gridCol w:w="1384"/>
        <w:gridCol w:w="1064"/>
        <w:gridCol w:w="1568"/>
        <w:gridCol w:w="152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71"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序号</w:t>
            </w:r>
          </w:p>
        </w:tc>
        <w:tc>
          <w:tcPr>
            <w:tcW w:w="859"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检测项目</w:t>
            </w:r>
          </w:p>
        </w:tc>
        <w:tc>
          <w:tcPr>
            <w:tcW w:w="689"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单位</w:t>
            </w:r>
          </w:p>
        </w:tc>
        <w:tc>
          <w:tcPr>
            <w:tcW w:w="547"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检出限</w:t>
            </w:r>
          </w:p>
        </w:tc>
        <w:tc>
          <w:tcPr>
            <w:tcW w:w="1735" w:type="pct"/>
            <w:gridSpan w:val="2"/>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hint="eastAsia" w:cs="Times New Roman"/>
                <w:b/>
                <w:color w:val="000000" w:themeColor="text1"/>
                <w:szCs w:val="22"/>
                <w:lang w:val="en-US" w:eastAsia="zh-CN"/>
                <w14:textFill>
                  <w14:solidFill>
                    <w14:schemeClr w14:val="tx1"/>
                  </w14:solidFill>
                </w14:textFill>
              </w:rPr>
              <w:t>Q1</w:t>
            </w:r>
            <w:r>
              <w:rPr>
                <w:rFonts w:cs="Times New Roman"/>
                <w:b/>
                <w:color w:val="000000" w:themeColor="text1"/>
                <w:szCs w:val="22"/>
                <w14:textFill>
                  <w14:solidFill>
                    <w14:schemeClr w14:val="tx1"/>
                  </w14:solidFill>
                </w14:textFill>
              </w:rPr>
              <w:t>检测结果</w:t>
            </w:r>
          </w:p>
        </w:tc>
        <w:tc>
          <w:tcPr>
            <w:tcW w:w="598" w:type="pct"/>
            <w:vMerge w:val="restart"/>
            <w:vAlign w:val="center"/>
          </w:tcPr>
          <w:p>
            <w:pPr>
              <w:pStyle w:val="64"/>
              <w:keepNext w:val="0"/>
              <w:keepLines w:val="0"/>
              <w:suppressLineNumbers w:val="0"/>
              <w:spacing w:beforeAutospacing="0" w:afterAutospacing="0"/>
              <w:rPr>
                <w:rFonts w:hint="default" w:cs="Times New Roman"/>
                <w:b/>
                <w:color w:val="000000" w:themeColor="text1"/>
                <w:szCs w:val="22"/>
                <w:lang w:val="en-US" w:eastAsia="zh-CN"/>
                <w14:textFill>
                  <w14:solidFill>
                    <w14:schemeClr w14:val="tx1"/>
                  </w14:solidFill>
                </w14:textFill>
              </w:rPr>
            </w:pPr>
            <w:r>
              <w:rPr>
                <w:rFonts w:hint="eastAsia" w:cs="Times New Roman"/>
                <w:b/>
                <w:color w:val="000000" w:themeColor="text1"/>
                <w:szCs w:val="22"/>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71"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859"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689"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547"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1013" w:type="pc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2020.7.8</w:t>
            </w:r>
          </w:p>
        </w:tc>
        <w:tc>
          <w:tcPr>
            <w:tcW w:w="722" w:type="pc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2020.7.9</w:t>
            </w:r>
          </w:p>
        </w:tc>
        <w:tc>
          <w:tcPr>
            <w:tcW w:w="598"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水温</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19.4</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18.7</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pH</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无量纲</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0.1pH</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6.6</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6.7</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3</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氨氮</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0.025</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0.081</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0.078</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4</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硝酸盐氮</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0.016</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2.45</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2.41</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5</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亚硝酸盐氮</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0.016</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0.084</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0.032</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6</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挥发酚（挥发性酚类）</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0.0003</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0.0014</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0.0014</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7</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氰化物</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8</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六价铬</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0.004</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ND(0.004)</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ND(0.004)</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9</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总硬度</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1.0</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404</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401</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10</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溶解性总固体</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548</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560</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11</w:t>
            </w:r>
          </w:p>
        </w:tc>
        <w:tc>
          <w:tcPr>
            <w:tcW w:w="859" w:type="pct"/>
            <w:vAlign w:val="center"/>
          </w:tcPr>
          <w:p>
            <w:pPr>
              <w:pStyle w:val="64"/>
              <w:keepNext w:val="0"/>
              <w:keepLines w:val="0"/>
              <w:suppressLineNumbers w:val="0"/>
              <w:spacing w:beforeAutospacing="0" w:afterAutospacing="0"/>
              <w:rPr>
                <w:rFonts w:hint="eastAsia" w:cs="Times New Roman"/>
                <w:color w:val="000000" w:themeColor="text1"/>
                <w:szCs w:val="22"/>
                <w:lang w:val="zh-CN" w:bidi="zh-CN"/>
                <w14:textFill>
                  <w14:solidFill>
                    <w14:schemeClr w14:val="tx1"/>
                  </w14:solidFill>
                </w14:textFill>
              </w:rPr>
            </w:pPr>
            <w:r>
              <w:rPr>
                <w:rFonts w:hint="eastAsia" w:cs="Times New Roman"/>
                <w:color w:val="000000" w:themeColor="text1"/>
                <w:szCs w:val="22"/>
                <w:lang w:val="zh-CN" w:bidi="zh-CN"/>
                <w14:textFill>
                  <w14:solidFill>
                    <w14:schemeClr w14:val="tx1"/>
                  </w14:solidFill>
                </w14:textFill>
              </w:rPr>
              <w:t>高锰酸盐指数</w:t>
            </w:r>
          </w:p>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hint="eastAsia" w:cs="Times New Roman"/>
                <w:color w:val="000000" w:themeColor="text1"/>
                <w:szCs w:val="22"/>
                <w:lang w:val="zh-CN" w:bidi="zh-CN"/>
                <w14:textFill>
                  <w14:solidFill>
                    <w14:schemeClr w14:val="tx1"/>
                  </w14:solidFill>
                </w14:textFill>
              </w:rPr>
              <w:t>（耗氧量）</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0.5</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ND(0.5)</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ND(0.5)</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12</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氯化物</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0.007</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2.10</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2.13</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13</w:t>
            </w:r>
          </w:p>
        </w:tc>
        <w:tc>
          <w:tcPr>
            <w:tcW w:w="859" w:type="pct"/>
            <w:vAlign w:val="center"/>
          </w:tcPr>
          <w:p>
            <w:pPr>
              <w:keepNext w:val="0"/>
              <w:keepLines w:val="0"/>
              <w:suppressLineNumbers w:val="0"/>
              <w:spacing w:beforeAutospacing="0" w:afterAutospacing="0"/>
              <w:ind w:firstLine="0" w:firstLineChars="0"/>
              <w:jc w:val="center"/>
              <w:rPr>
                <w:rFonts w:cs="Times New Roman"/>
                <w:color w:val="000000" w:themeColor="text1"/>
                <w:kern w:val="0"/>
                <w:sz w:val="22"/>
                <w14:textFill>
                  <w14:solidFill>
                    <w14:schemeClr w14:val="tx1"/>
                  </w14:solidFill>
                </w14:textFill>
              </w:rPr>
            </w:pPr>
            <w:r>
              <w:rPr>
                <w:rFonts w:cs="Times New Roman"/>
                <w:color w:val="000000" w:themeColor="text1"/>
                <w:kern w:val="2"/>
                <w:sz w:val="22"/>
                <w:lang w:val="zh-CN" w:bidi="zh-CN"/>
                <w14:textFill>
                  <w14:solidFill>
                    <w14:schemeClr w14:val="tx1"/>
                  </w14:solidFill>
                </w14:textFill>
              </w:rPr>
              <w:t>氟化物</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0.006</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0.336</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0.437</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14</w:t>
            </w:r>
          </w:p>
        </w:tc>
        <w:tc>
          <w:tcPr>
            <w:tcW w:w="859" w:type="pct"/>
            <w:vAlign w:val="center"/>
          </w:tcPr>
          <w:p>
            <w:pPr>
              <w:pStyle w:val="64"/>
              <w:keepNext w:val="0"/>
              <w:keepLines w:val="0"/>
              <w:suppressLineNumbers w:val="0"/>
              <w:spacing w:beforeAutospacing="0" w:afterAutospacing="0"/>
              <w:rPr>
                <w:rFonts w:cs="Times New Roman"/>
                <w:color w:val="000000" w:themeColor="text1"/>
                <w:kern w:val="0"/>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硫酸盐</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0.018</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106</w:t>
            </w:r>
          </w:p>
        </w:tc>
        <w:tc>
          <w:tcPr>
            <w:tcW w:w="722" w:type="pct"/>
            <w:vAlign w:val="center"/>
          </w:tcPr>
          <w:p>
            <w:pPr>
              <w:keepNext w:val="0"/>
              <w:keepLines w:val="0"/>
              <w:suppressLineNumbers w:val="0"/>
              <w:spacing w:beforeAutospacing="0" w:afterAutospacing="0"/>
              <w:ind w:firstLine="0" w:firstLineChars="0"/>
              <w:jc w:val="center"/>
              <w:rPr>
                <w:rFonts w:hint="default" w:eastAsia="宋体" w:cs="Times New Roman"/>
                <w:color w:val="000000" w:themeColor="text1"/>
                <w:kern w:val="2"/>
                <w:sz w:val="22"/>
                <w:lang w:val="en-US" w:eastAsia="zh-CN"/>
                <w14:textFill>
                  <w14:solidFill>
                    <w14:schemeClr w14:val="tx1"/>
                  </w14:solidFill>
                </w14:textFill>
              </w:rPr>
            </w:pPr>
            <w:r>
              <w:rPr>
                <w:rFonts w:hint="eastAsia" w:cs="Times New Roman"/>
                <w:color w:val="000000" w:themeColor="text1"/>
                <w:kern w:val="2"/>
                <w:sz w:val="22"/>
                <w:lang w:val="en-US" w:eastAsia="zh-CN"/>
                <w14:textFill>
                  <w14:solidFill>
                    <w14:schemeClr w14:val="tx1"/>
                  </w14:solidFill>
                </w14:textFill>
              </w:rPr>
              <w:t>110</w:t>
            </w:r>
          </w:p>
        </w:tc>
        <w:tc>
          <w:tcPr>
            <w:tcW w:w="598" w:type="pct"/>
            <w:vAlign w:val="center"/>
          </w:tcPr>
          <w:p>
            <w:pPr>
              <w:keepNext w:val="0"/>
              <w:keepLines w:val="0"/>
              <w:suppressLineNumbers w:val="0"/>
              <w:spacing w:beforeAutospacing="0" w:afterAutospacing="0"/>
              <w:ind w:firstLine="0" w:firstLineChars="0"/>
              <w:jc w:val="center"/>
              <w:rPr>
                <w:rFonts w:hint="eastAsia" w:cs="Times New Roman"/>
                <w:color w:val="000000" w:themeColor="text1"/>
                <w:kern w:val="2"/>
                <w:sz w:val="22"/>
                <w:lang w:val="en-US" w:eastAsia="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15</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铅</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16</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镉</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0.0001</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0.0003</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0.0003</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17</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汞</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4.00×10</w:t>
            </w:r>
            <w:r>
              <w:rPr>
                <w:rFonts w:cs="Times New Roman"/>
                <w:color w:val="000000" w:themeColor="text1"/>
                <w:kern w:val="2"/>
                <w:sz w:val="22"/>
                <w:vertAlign w:val="superscript"/>
                <w14:textFill>
                  <w14:solidFill>
                    <w14:schemeClr w14:val="tx1"/>
                  </w14:solidFill>
                </w14:textFill>
              </w:rPr>
              <w:t>-5</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ND(4.00×10</w:t>
            </w:r>
            <w:r>
              <w:rPr>
                <w:rFonts w:cs="Times New Roman"/>
                <w:color w:val="000000" w:themeColor="text1"/>
                <w:kern w:val="2"/>
                <w:sz w:val="22"/>
                <w:vertAlign w:val="superscript"/>
                <w14:textFill>
                  <w14:solidFill>
                    <w14:schemeClr w14:val="tx1"/>
                  </w14:solidFill>
                </w14:textFill>
              </w:rPr>
              <w:t>-5</w:t>
            </w:r>
            <w:r>
              <w:rPr>
                <w:rFonts w:cs="Times New Roman"/>
                <w:color w:val="000000" w:themeColor="text1"/>
                <w:kern w:val="2"/>
                <w:sz w:val="22"/>
                <w14:textFill>
                  <w14:solidFill>
                    <w14:schemeClr w14:val="tx1"/>
                  </w14:solidFill>
                </w14:textFill>
              </w:rPr>
              <w:t>)</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ND(4.00×10</w:t>
            </w:r>
            <w:r>
              <w:rPr>
                <w:rFonts w:cs="Times New Roman"/>
                <w:color w:val="000000" w:themeColor="text1"/>
                <w:kern w:val="2"/>
                <w:sz w:val="22"/>
                <w:vertAlign w:val="superscript"/>
                <w14:textFill>
                  <w14:solidFill>
                    <w14:schemeClr w14:val="tx1"/>
                  </w14:solidFill>
                </w14:textFill>
              </w:rPr>
              <w:t>-5</w:t>
            </w:r>
            <w:r>
              <w:rPr>
                <w:rFonts w:cs="Times New Roman"/>
                <w:color w:val="000000" w:themeColor="text1"/>
                <w:kern w:val="2"/>
                <w:sz w:val="22"/>
                <w14:textFill>
                  <w14:solidFill>
                    <w14:schemeClr w14:val="tx1"/>
                  </w14:solidFill>
                </w14:textFill>
              </w:rPr>
              <w:t>)</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18</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砷</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3.0×10</w:t>
            </w:r>
            <w:r>
              <w:rPr>
                <w:rFonts w:cs="Times New Roman"/>
                <w:color w:val="000000" w:themeColor="text1"/>
                <w:kern w:val="2"/>
                <w:sz w:val="22"/>
                <w:vertAlign w:val="superscript"/>
                <w14:textFill>
                  <w14:solidFill>
                    <w14:schemeClr w14:val="tx1"/>
                  </w14:solidFill>
                </w14:textFill>
              </w:rPr>
              <w:t>-4</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ND(3.0×10</w:t>
            </w:r>
            <w:r>
              <w:rPr>
                <w:rFonts w:cs="Times New Roman"/>
                <w:color w:val="000000" w:themeColor="text1"/>
                <w:kern w:val="2"/>
                <w:sz w:val="22"/>
                <w:vertAlign w:val="superscript"/>
                <w14:textFill>
                  <w14:solidFill>
                    <w14:schemeClr w14:val="tx1"/>
                  </w14:solidFill>
                </w14:textFill>
              </w:rPr>
              <w:t>-4</w:t>
            </w:r>
            <w:r>
              <w:rPr>
                <w:rFonts w:cs="Times New Roman"/>
                <w:color w:val="000000" w:themeColor="text1"/>
                <w:kern w:val="2"/>
                <w:sz w:val="22"/>
                <w14:textFill>
                  <w14:solidFill>
                    <w14:schemeClr w14:val="tx1"/>
                  </w14:solidFill>
                </w14:textFill>
              </w:rPr>
              <w:t>)</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ND(3.0×10</w:t>
            </w:r>
            <w:r>
              <w:rPr>
                <w:rFonts w:cs="Times New Roman"/>
                <w:color w:val="000000" w:themeColor="text1"/>
                <w:kern w:val="2"/>
                <w:sz w:val="22"/>
                <w:vertAlign w:val="superscript"/>
                <w14:textFill>
                  <w14:solidFill>
                    <w14:schemeClr w14:val="tx1"/>
                  </w14:solidFill>
                </w14:textFill>
              </w:rPr>
              <w:t>-4</w:t>
            </w:r>
            <w:r>
              <w:rPr>
                <w:rFonts w:cs="Times New Roman"/>
                <w:color w:val="000000" w:themeColor="text1"/>
                <w:kern w:val="2"/>
                <w:sz w:val="22"/>
                <w14:textFill>
                  <w14:solidFill>
                    <w14:schemeClr w14:val="tx1"/>
                  </w14:solidFill>
                </w14:textFill>
              </w:rPr>
              <w:t>)</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19</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锰</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20</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铁</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0.03</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ND(0.03)</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ND(0.03)</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21</w:t>
            </w:r>
          </w:p>
        </w:tc>
        <w:tc>
          <w:tcPr>
            <w:tcW w:w="859"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总大肠菌群</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MPN/</w:t>
            </w:r>
            <w:r>
              <w:rPr>
                <w:rFonts w:hint="eastAsia" w:cs="Times New Roman"/>
                <w:color w:val="000000" w:themeColor="text1"/>
                <w:szCs w:val="22"/>
                <w14:textFill>
                  <w14:solidFill>
                    <w14:schemeClr w14:val="tx1"/>
                  </w14:solidFill>
                </w14:textFill>
              </w:rPr>
              <w:t>100m</w:t>
            </w:r>
            <w:r>
              <w:rPr>
                <w:rFonts w:cs="Times New Roman"/>
                <w:color w:val="000000" w:themeColor="text1"/>
                <w:szCs w:val="22"/>
                <w14:textFill>
                  <w14:solidFill>
                    <w14:schemeClr w14:val="tx1"/>
                  </w14:solidFill>
                </w14:textFill>
              </w:rPr>
              <w:t>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71"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22</w:t>
            </w:r>
          </w:p>
        </w:tc>
        <w:tc>
          <w:tcPr>
            <w:tcW w:w="859" w:type="pct"/>
            <w:vAlign w:val="center"/>
          </w:tcPr>
          <w:p>
            <w:pPr>
              <w:pStyle w:val="64"/>
              <w:keepNext w:val="0"/>
              <w:keepLines w:val="0"/>
              <w:suppressLineNumbers w:val="0"/>
              <w:spacing w:beforeAutospacing="0" w:afterAutospacing="0"/>
              <w:rPr>
                <w:rFonts w:cs="Times New Roman"/>
                <w:color w:val="000000" w:themeColor="text1"/>
                <w:kern w:val="0"/>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石油类</w:t>
            </w:r>
          </w:p>
        </w:tc>
        <w:tc>
          <w:tcPr>
            <w:tcW w:w="689"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547"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w:t>
            </w:r>
          </w:p>
        </w:tc>
        <w:tc>
          <w:tcPr>
            <w:tcW w:w="101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722"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59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7"/>
            <w:vAlign w:val="center"/>
          </w:tcPr>
          <w:p>
            <w:pPr>
              <w:pStyle w:val="64"/>
              <w:keepNext w:val="0"/>
              <w:keepLines w:val="0"/>
              <w:suppressLineNumbers w:val="0"/>
              <w:spacing w:beforeAutospacing="0" w:afterAutospacing="0"/>
              <w:jc w:val="left"/>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备注：“ND（检出限）”表示未检出。</w:t>
            </w:r>
          </w:p>
        </w:tc>
      </w:tr>
    </w:tbl>
    <w:p>
      <w:pPr>
        <w:pStyle w:val="1192"/>
        <w:ind w:firstLine="480"/>
      </w:pPr>
    </w:p>
    <w:p>
      <w:pPr>
        <w:pStyle w:val="23"/>
        <w:keepNext/>
        <w:spacing w:before="120" w:beforeLines="50" w:after="120" w:afterLines="50" w:line="360" w:lineRule="auto"/>
        <w:ind w:firstLine="42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 xml:space="preserve">表 </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hint="eastAsia" w:ascii="Times New Roman" w:hAnsi="Times New Roman" w:eastAsia="宋体" w:cs="Times New Roman"/>
          <w:snapToGrid/>
          <w:kern w:val="2"/>
          <w:sz w:val="21"/>
          <w:szCs w:val="21"/>
          <w:lang w:val="en-US" w:eastAsia="zh-CN"/>
        </w:rPr>
        <w:t xml:space="preserve">5  </w:t>
      </w:r>
      <w:r>
        <w:rPr>
          <w:rFonts w:ascii="Times New Roman" w:hAnsi="Times New Roman" w:eastAsia="宋体" w:cs="Times New Roman"/>
          <w:snapToGrid/>
          <w:kern w:val="2"/>
          <w:sz w:val="21"/>
          <w:szCs w:val="21"/>
        </w:rPr>
        <w:t>地下水</w:t>
      </w:r>
      <w:r>
        <w:rPr>
          <w:rFonts w:hint="eastAsia" w:ascii="Times New Roman" w:hAnsi="Times New Roman" w:eastAsia="宋体" w:cs="Times New Roman"/>
          <w:snapToGrid/>
          <w:kern w:val="2"/>
          <w:sz w:val="21"/>
          <w:szCs w:val="21"/>
          <w:lang w:val="en-US" w:eastAsia="zh-CN"/>
        </w:rPr>
        <w:t>Q2</w:t>
      </w:r>
      <w:r>
        <w:rPr>
          <w:rFonts w:ascii="Times New Roman" w:hAnsi="Times New Roman" w:eastAsia="宋体" w:cs="Times New Roman"/>
          <w:snapToGrid/>
          <w:kern w:val="2"/>
          <w:sz w:val="21"/>
          <w:szCs w:val="21"/>
        </w:rPr>
        <w:t>检测结果</w:t>
      </w:r>
      <w:r>
        <w:rPr>
          <w:rFonts w:hint="eastAsia" w:ascii="Times New Roman" w:hAnsi="Times New Roman" w:eastAsia="宋体" w:cs="Times New Roman"/>
          <w:snapToGrid/>
          <w:kern w:val="2"/>
          <w:sz w:val="21"/>
          <w:szCs w:val="21"/>
          <w:lang w:val="en-US" w:eastAsia="zh-CN"/>
        </w:rPr>
        <w:t xml:space="preserve">   </w:t>
      </w:r>
      <w:r>
        <w:rPr>
          <w:rFonts w:ascii="Times New Roman" w:hAnsi="Times New Roman" w:eastAsia="宋体" w:cs="Times New Roman"/>
          <w:snapToGrid/>
          <w:kern w:val="2"/>
          <w:sz w:val="21"/>
          <w:szCs w:val="21"/>
        </w:rPr>
        <w:t>单位：mg/L（pH 无量纲）</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305"/>
        <w:gridCol w:w="1384"/>
        <w:gridCol w:w="1064"/>
        <w:gridCol w:w="1656"/>
        <w:gridCol w:w="1495"/>
        <w:gridCol w:w="33"/>
        <w:gridCol w:w="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08"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序号</w:t>
            </w:r>
          </w:p>
        </w:tc>
        <w:tc>
          <w:tcPr>
            <w:tcW w:w="842"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检测项目</w:t>
            </w:r>
          </w:p>
        </w:tc>
        <w:tc>
          <w:tcPr>
            <w:tcW w:w="720"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单位</w:t>
            </w:r>
          </w:p>
        </w:tc>
        <w:tc>
          <w:tcPr>
            <w:tcW w:w="669"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检出限</w:t>
            </w:r>
          </w:p>
        </w:tc>
        <w:tc>
          <w:tcPr>
            <w:tcW w:w="1672" w:type="pct"/>
            <w:gridSpan w:val="2"/>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hint="eastAsia" w:cs="Times New Roman"/>
                <w:b/>
                <w:color w:val="000000" w:themeColor="text1"/>
                <w:szCs w:val="22"/>
                <w:lang w:val="en-US" w:eastAsia="zh-CN"/>
                <w14:textFill>
                  <w14:solidFill>
                    <w14:schemeClr w14:val="tx1"/>
                  </w14:solidFill>
                </w14:textFill>
              </w:rPr>
              <w:t>Q2</w:t>
            </w:r>
            <w:r>
              <w:rPr>
                <w:rFonts w:cs="Times New Roman"/>
                <w:b/>
                <w:color w:val="000000" w:themeColor="text1"/>
                <w:szCs w:val="22"/>
                <w14:textFill>
                  <w14:solidFill>
                    <w14:schemeClr w14:val="tx1"/>
                  </w14:solidFill>
                </w14:textFill>
              </w:rPr>
              <w:t>检测结果</w:t>
            </w:r>
          </w:p>
        </w:tc>
        <w:tc>
          <w:tcPr>
            <w:tcW w:w="485" w:type="pct"/>
            <w:gridSpan w:val="2"/>
            <w:vMerge w:val="restart"/>
            <w:vAlign w:val="center"/>
          </w:tcPr>
          <w:p>
            <w:pPr>
              <w:pStyle w:val="64"/>
              <w:keepNext w:val="0"/>
              <w:keepLines w:val="0"/>
              <w:suppressLineNumbers w:val="0"/>
              <w:spacing w:beforeAutospacing="0" w:afterAutospacing="0"/>
              <w:rPr>
                <w:rFonts w:hint="default" w:cs="Times New Roman"/>
                <w:b/>
                <w:color w:val="000000" w:themeColor="text1"/>
                <w:szCs w:val="22"/>
                <w:lang w:val="en-US" w:eastAsia="zh-CN"/>
                <w14:textFill>
                  <w14:solidFill>
                    <w14:schemeClr w14:val="tx1"/>
                  </w14:solidFill>
                </w14:textFill>
              </w:rPr>
            </w:pPr>
            <w:r>
              <w:rPr>
                <w:rFonts w:hint="eastAsia" w:cs="Times New Roman"/>
                <w:b/>
                <w:color w:val="000000" w:themeColor="text1"/>
                <w:szCs w:val="22"/>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608"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842"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720"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669"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1079" w:type="pc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2020.7.8</w:t>
            </w:r>
          </w:p>
        </w:tc>
        <w:tc>
          <w:tcPr>
            <w:tcW w:w="593" w:type="pc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2020.7.9</w:t>
            </w:r>
          </w:p>
        </w:tc>
        <w:tc>
          <w:tcPr>
            <w:tcW w:w="485" w:type="pct"/>
            <w:gridSpan w:val="2"/>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水温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19.5</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18.9</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pH</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无量纲</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0.1pH</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6.8</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6.9</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3</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氨氮</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0.025</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0.101</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0.113</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4</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硝酸盐氮</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0.016</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4.02</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4.49</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5</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亚硝酸盐氮</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0.016</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ND(0.016)</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ND(0.016)</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6</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挥发酚（挥发性酚类）</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0.0003</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0.0012</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0.0013</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7</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氰化物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8</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六价铬</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0.004</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ND(0.004)</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ND(0.004)</w:t>
            </w:r>
          </w:p>
        </w:tc>
        <w:tc>
          <w:tcPr>
            <w:tcW w:w="473" w:type="pct"/>
            <w:vAlign w:val="center"/>
          </w:tcPr>
          <w:p>
            <w:pPr>
              <w:keepNext w:val="0"/>
              <w:keepLines w:val="0"/>
              <w:suppressLineNumbers w:val="0"/>
              <w:spacing w:beforeAutospacing="0" w:afterAutospacing="0"/>
              <w:ind w:left="0" w:leftChars="0" w:right="0" w:rightChars="0"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9</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总硬度</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1.0</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226</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200</w:t>
            </w:r>
          </w:p>
        </w:tc>
        <w:tc>
          <w:tcPr>
            <w:tcW w:w="473" w:type="pct"/>
            <w:vAlign w:val="center"/>
          </w:tcPr>
          <w:p>
            <w:pPr>
              <w:keepNext w:val="0"/>
              <w:keepLines w:val="0"/>
              <w:suppressLineNumbers w:val="0"/>
              <w:spacing w:beforeAutospacing="0" w:afterAutospacing="0"/>
              <w:ind w:left="0" w:leftChars="0" w:right="0" w:rightChars="0"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10</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溶解性总固体</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367</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345</w:t>
            </w:r>
          </w:p>
        </w:tc>
        <w:tc>
          <w:tcPr>
            <w:tcW w:w="473" w:type="pct"/>
            <w:vAlign w:val="center"/>
          </w:tcPr>
          <w:p>
            <w:pPr>
              <w:keepNext w:val="0"/>
              <w:keepLines w:val="0"/>
              <w:suppressLineNumbers w:val="0"/>
              <w:spacing w:beforeAutospacing="0" w:afterAutospacing="0"/>
              <w:ind w:left="0" w:leftChars="0" w:right="0" w:rightChars="0"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11</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hint="eastAsia" w:cs="Times New Roman"/>
                <w:color w:val="000000" w:themeColor="text1"/>
                <w:szCs w:val="22"/>
                <w:lang w:val="zh-CN" w:bidi="zh-CN"/>
                <w14:textFill>
                  <w14:solidFill>
                    <w14:schemeClr w14:val="tx1"/>
                  </w14:solidFill>
                </w14:textFill>
              </w:rPr>
              <w:t>高锰酸盐指数（耗氧量）</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0.5</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1.3</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1.3</w:t>
            </w:r>
          </w:p>
        </w:tc>
        <w:tc>
          <w:tcPr>
            <w:tcW w:w="473" w:type="pct"/>
            <w:vAlign w:val="center"/>
          </w:tcPr>
          <w:p>
            <w:pPr>
              <w:keepNext w:val="0"/>
              <w:keepLines w:val="0"/>
              <w:suppressLineNumbers w:val="0"/>
              <w:spacing w:beforeAutospacing="0" w:afterAutospacing="0"/>
              <w:ind w:left="0" w:leftChars="0" w:right="0" w:rightChars="0"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12</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氯化物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0.007</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5.82</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6.46</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13</w:t>
            </w:r>
          </w:p>
        </w:tc>
        <w:tc>
          <w:tcPr>
            <w:tcW w:w="842" w:type="pct"/>
            <w:vAlign w:val="center"/>
          </w:tcPr>
          <w:p>
            <w:pPr>
              <w:keepNext w:val="0"/>
              <w:keepLines w:val="0"/>
              <w:suppressLineNumbers w:val="0"/>
              <w:spacing w:beforeAutospacing="0" w:afterAutospacing="0"/>
              <w:ind w:firstLine="0" w:firstLineChars="0"/>
              <w:jc w:val="center"/>
              <w:rPr>
                <w:rFonts w:cs="Times New Roman"/>
                <w:color w:val="000000" w:themeColor="text1"/>
                <w:kern w:val="0"/>
                <w:sz w:val="22"/>
                <w14:textFill>
                  <w14:solidFill>
                    <w14:schemeClr w14:val="tx1"/>
                  </w14:solidFill>
                </w14:textFill>
              </w:rPr>
            </w:pPr>
            <w:r>
              <w:rPr>
                <w:rFonts w:cs="Times New Roman"/>
                <w:color w:val="000000" w:themeColor="text1"/>
                <w:kern w:val="2"/>
                <w:sz w:val="22"/>
                <w:lang w:val="zh-CN" w:bidi="zh-CN"/>
                <w14:textFill>
                  <w14:solidFill>
                    <w14:schemeClr w14:val="tx1"/>
                  </w14:solidFill>
                </w14:textFill>
              </w:rPr>
              <w:t>氟化物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0.006</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0.404</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0.276</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14</w:t>
            </w:r>
          </w:p>
        </w:tc>
        <w:tc>
          <w:tcPr>
            <w:tcW w:w="842" w:type="pct"/>
            <w:vAlign w:val="center"/>
          </w:tcPr>
          <w:p>
            <w:pPr>
              <w:pStyle w:val="64"/>
              <w:keepNext w:val="0"/>
              <w:keepLines w:val="0"/>
              <w:suppressLineNumbers w:val="0"/>
              <w:spacing w:beforeAutospacing="0" w:afterAutospacing="0"/>
              <w:rPr>
                <w:rFonts w:cs="Times New Roman"/>
                <w:color w:val="000000" w:themeColor="text1"/>
                <w:kern w:val="0"/>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硫酸盐</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0.018</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54.8</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59.2</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15</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铅</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16</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镉</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0.0002</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0.0001</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17</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汞</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4.00×10</w:t>
            </w:r>
            <w:r>
              <w:rPr>
                <w:rFonts w:cs="Times New Roman"/>
                <w:color w:val="000000" w:themeColor="text1"/>
                <w:kern w:val="2"/>
                <w:sz w:val="22"/>
                <w:vertAlign w:val="superscript"/>
                <w14:textFill>
                  <w14:solidFill>
                    <w14:schemeClr w14:val="tx1"/>
                  </w14:solidFill>
                </w14:textFill>
              </w:rPr>
              <w:t>-5</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ND(4.00×10</w:t>
            </w:r>
            <w:r>
              <w:rPr>
                <w:rFonts w:cs="Times New Roman"/>
                <w:color w:val="000000" w:themeColor="text1"/>
                <w:kern w:val="2"/>
                <w:sz w:val="22"/>
                <w:vertAlign w:val="superscript"/>
                <w14:textFill>
                  <w14:solidFill>
                    <w14:schemeClr w14:val="tx1"/>
                  </w14:solidFill>
                </w14:textFill>
              </w:rPr>
              <w:t>-5</w:t>
            </w:r>
            <w:r>
              <w:rPr>
                <w:rFonts w:cs="Times New Roman"/>
                <w:color w:val="000000" w:themeColor="text1"/>
                <w:kern w:val="2"/>
                <w:sz w:val="22"/>
                <w14:textFill>
                  <w14:solidFill>
                    <w14:schemeClr w14:val="tx1"/>
                  </w14:solidFill>
                </w14:textFill>
              </w:rPr>
              <w:t>)</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ND(4.00×10</w:t>
            </w:r>
            <w:r>
              <w:rPr>
                <w:rFonts w:cs="Times New Roman"/>
                <w:color w:val="000000" w:themeColor="text1"/>
                <w:kern w:val="2"/>
                <w:sz w:val="22"/>
                <w:vertAlign w:val="superscript"/>
                <w14:textFill>
                  <w14:solidFill>
                    <w14:schemeClr w14:val="tx1"/>
                  </w14:solidFill>
                </w14:textFill>
              </w:rPr>
              <w:t>-5</w:t>
            </w:r>
            <w:r>
              <w:rPr>
                <w:rFonts w:cs="Times New Roman"/>
                <w:color w:val="000000" w:themeColor="text1"/>
                <w:kern w:val="2"/>
                <w:sz w:val="22"/>
                <w14:textFill>
                  <w14:solidFill>
                    <w14:schemeClr w14:val="tx1"/>
                  </w14:solidFill>
                </w14:textFill>
              </w:rPr>
              <w:t>)</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18</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砷</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3.0×10</w:t>
            </w:r>
            <w:r>
              <w:rPr>
                <w:rFonts w:cs="Times New Roman"/>
                <w:color w:val="000000" w:themeColor="text1"/>
                <w:kern w:val="2"/>
                <w:sz w:val="22"/>
                <w:vertAlign w:val="superscript"/>
                <w14:textFill>
                  <w14:solidFill>
                    <w14:schemeClr w14:val="tx1"/>
                  </w14:solidFill>
                </w14:textFill>
              </w:rPr>
              <w:t>-4</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ND(3.0×10</w:t>
            </w:r>
            <w:r>
              <w:rPr>
                <w:rFonts w:cs="Times New Roman"/>
                <w:color w:val="000000" w:themeColor="text1"/>
                <w:kern w:val="2"/>
                <w:sz w:val="22"/>
                <w:vertAlign w:val="superscript"/>
                <w14:textFill>
                  <w14:solidFill>
                    <w14:schemeClr w14:val="tx1"/>
                  </w14:solidFill>
                </w14:textFill>
              </w:rPr>
              <w:t>-4</w:t>
            </w:r>
            <w:r>
              <w:rPr>
                <w:rFonts w:cs="Times New Roman"/>
                <w:color w:val="000000" w:themeColor="text1"/>
                <w:kern w:val="2"/>
                <w:sz w:val="22"/>
                <w14:textFill>
                  <w14:solidFill>
                    <w14:schemeClr w14:val="tx1"/>
                  </w14:solidFill>
                </w14:textFill>
              </w:rPr>
              <w:t>)</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ND(3.0×10</w:t>
            </w:r>
            <w:r>
              <w:rPr>
                <w:rFonts w:cs="Times New Roman"/>
                <w:color w:val="000000" w:themeColor="text1"/>
                <w:kern w:val="2"/>
                <w:sz w:val="22"/>
                <w:vertAlign w:val="superscript"/>
                <w14:textFill>
                  <w14:solidFill>
                    <w14:schemeClr w14:val="tx1"/>
                  </w14:solidFill>
                </w14:textFill>
              </w:rPr>
              <w:t>-4</w:t>
            </w:r>
            <w:r>
              <w:rPr>
                <w:rFonts w:cs="Times New Roman"/>
                <w:color w:val="000000" w:themeColor="text1"/>
                <w:kern w:val="2"/>
                <w:sz w:val="22"/>
                <w14:textFill>
                  <w14:solidFill>
                    <w14:schemeClr w14:val="tx1"/>
                  </w14:solidFill>
                </w14:textFill>
              </w:rPr>
              <w:t>)</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19</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锰</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20</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铁</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0.03</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ND(0.03)</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ND(0.03)</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21</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总大肠菌群</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MPN/</w:t>
            </w:r>
            <w:r>
              <w:rPr>
                <w:rFonts w:hint="eastAsia" w:cs="Times New Roman"/>
                <w:color w:val="000000" w:themeColor="text1"/>
                <w:szCs w:val="22"/>
                <w14:textFill>
                  <w14:solidFill>
                    <w14:schemeClr w14:val="tx1"/>
                  </w14:solidFill>
                </w14:textFill>
              </w:rPr>
              <w:t>100m</w:t>
            </w:r>
            <w:r>
              <w:rPr>
                <w:rFonts w:cs="Times New Roman"/>
                <w:color w:val="000000" w:themeColor="text1"/>
                <w:szCs w:val="22"/>
                <w14:textFill>
                  <w14:solidFill>
                    <w14:schemeClr w14:val="tx1"/>
                  </w14:solidFill>
                </w14:textFill>
              </w:rPr>
              <w:t>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22</w:t>
            </w:r>
          </w:p>
        </w:tc>
        <w:tc>
          <w:tcPr>
            <w:tcW w:w="842" w:type="pct"/>
            <w:vAlign w:val="center"/>
          </w:tcPr>
          <w:p>
            <w:pPr>
              <w:pStyle w:val="64"/>
              <w:keepNext w:val="0"/>
              <w:keepLines w:val="0"/>
              <w:suppressLineNumbers w:val="0"/>
              <w:spacing w:beforeAutospacing="0" w:afterAutospacing="0"/>
              <w:rPr>
                <w:rFonts w:cs="Times New Roman"/>
                <w:color w:val="000000" w:themeColor="text1"/>
                <w:kern w:val="0"/>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石油类</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606" w:type="pct"/>
            <w:gridSpan w:val="2"/>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473"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8"/>
            <w:vAlign w:val="center"/>
          </w:tcPr>
          <w:p>
            <w:pPr>
              <w:pStyle w:val="64"/>
              <w:keepNext w:val="0"/>
              <w:keepLines w:val="0"/>
              <w:suppressLineNumbers w:val="0"/>
              <w:spacing w:beforeAutospacing="0" w:afterAutospacing="0"/>
              <w:jc w:val="left"/>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备注：“ND（检出限）”表示未检出。</w:t>
            </w:r>
          </w:p>
        </w:tc>
      </w:tr>
    </w:tbl>
    <w:p>
      <w:pPr>
        <w:pStyle w:val="23"/>
        <w:keepNext/>
        <w:spacing w:before="120" w:beforeLines="50" w:after="120" w:afterLines="50" w:line="360" w:lineRule="auto"/>
        <w:ind w:firstLine="420"/>
        <w:jc w:val="center"/>
        <w:rPr>
          <w:rFonts w:hint="default" w:ascii="Times New Roman" w:hAnsi="Times New Roman" w:eastAsia="宋体" w:cs="Times New Roman"/>
          <w:snapToGrid/>
          <w:kern w:val="2"/>
          <w:sz w:val="21"/>
          <w:szCs w:val="21"/>
          <w:lang w:val="en-US" w:eastAsia="zh-CN"/>
        </w:rPr>
      </w:pPr>
      <w:r>
        <w:rPr>
          <w:rFonts w:ascii="Times New Roman" w:hAnsi="Times New Roman" w:eastAsia="宋体" w:cs="Times New Roman"/>
          <w:snapToGrid/>
          <w:kern w:val="2"/>
          <w:sz w:val="21"/>
          <w:szCs w:val="21"/>
        </w:rPr>
        <w:t xml:space="preserve">表 </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hint="eastAsia" w:ascii="Times New Roman" w:hAnsi="Times New Roman" w:eastAsia="宋体" w:cs="Times New Roman"/>
          <w:snapToGrid/>
          <w:kern w:val="2"/>
          <w:sz w:val="21"/>
          <w:szCs w:val="21"/>
          <w:lang w:val="en-US" w:eastAsia="zh-CN"/>
        </w:rPr>
        <w:t xml:space="preserve">6  </w:t>
      </w:r>
      <w:r>
        <w:rPr>
          <w:rFonts w:ascii="Times New Roman" w:hAnsi="Times New Roman" w:eastAsia="宋体" w:cs="Times New Roman"/>
          <w:snapToGrid/>
          <w:kern w:val="2"/>
          <w:sz w:val="21"/>
          <w:szCs w:val="21"/>
        </w:rPr>
        <w:t>地下水</w:t>
      </w:r>
      <w:r>
        <w:rPr>
          <w:rFonts w:hint="eastAsia" w:ascii="Times New Roman" w:hAnsi="Times New Roman" w:eastAsia="宋体" w:cs="Times New Roman"/>
          <w:snapToGrid/>
          <w:kern w:val="2"/>
          <w:sz w:val="21"/>
          <w:szCs w:val="21"/>
          <w:lang w:val="en-US" w:eastAsia="zh-CN"/>
        </w:rPr>
        <w:t>Q3</w:t>
      </w:r>
      <w:r>
        <w:rPr>
          <w:rFonts w:ascii="Times New Roman" w:hAnsi="Times New Roman" w:eastAsia="宋体" w:cs="Times New Roman"/>
          <w:snapToGrid/>
          <w:kern w:val="2"/>
          <w:sz w:val="21"/>
          <w:szCs w:val="21"/>
        </w:rPr>
        <w:t>检测结果</w:t>
      </w:r>
      <w:r>
        <w:rPr>
          <w:rFonts w:hint="eastAsia" w:ascii="Times New Roman" w:hAnsi="Times New Roman" w:eastAsia="宋体" w:cs="Times New Roman"/>
          <w:snapToGrid/>
          <w:kern w:val="2"/>
          <w:sz w:val="21"/>
          <w:szCs w:val="21"/>
          <w:lang w:val="en-US" w:eastAsia="zh-CN"/>
        </w:rPr>
        <w:t xml:space="preserve">   </w:t>
      </w:r>
      <w:r>
        <w:rPr>
          <w:rFonts w:ascii="Times New Roman" w:hAnsi="Times New Roman" w:eastAsia="宋体" w:cs="Times New Roman"/>
          <w:snapToGrid/>
          <w:kern w:val="2"/>
          <w:sz w:val="21"/>
          <w:szCs w:val="21"/>
        </w:rPr>
        <w:t>单位：mg/L（pH 无量纲）</w:t>
      </w:r>
    </w:p>
    <w:tbl>
      <w:tblPr>
        <w:tblStyle w:val="8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1311"/>
        <w:gridCol w:w="1384"/>
        <w:gridCol w:w="1064"/>
        <w:gridCol w:w="1665"/>
        <w:gridCol w:w="1528"/>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08"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序号</w:t>
            </w:r>
          </w:p>
        </w:tc>
        <w:tc>
          <w:tcPr>
            <w:tcW w:w="842"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检测项目</w:t>
            </w:r>
          </w:p>
        </w:tc>
        <w:tc>
          <w:tcPr>
            <w:tcW w:w="720"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单位</w:t>
            </w:r>
          </w:p>
        </w:tc>
        <w:tc>
          <w:tcPr>
            <w:tcW w:w="668" w:type="pct"/>
            <w:vMerge w:val="restar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检出限</w:t>
            </w:r>
          </w:p>
        </w:tc>
        <w:tc>
          <w:tcPr>
            <w:tcW w:w="1697" w:type="pct"/>
            <w:gridSpan w:val="2"/>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检测结果</w:t>
            </w:r>
          </w:p>
        </w:tc>
        <w:tc>
          <w:tcPr>
            <w:tcW w:w="461" w:type="pct"/>
            <w:vMerge w:val="restart"/>
            <w:vAlign w:val="center"/>
          </w:tcPr>
          <w:p>
            <w:pPr>
              <w:pStyle w:val="64"/>
              <w:keepNext w:val="0"/>
              <w:keepLines w:val="0"/>
              <w:suppressLineNumbers w:val="0"/>
              <w:spacing w:beforeAutospacing="0" w:afterAutospacing="0"/>
              <w:rPr>
                <w:rFonts w:hint="default" w:eastAsia="宋体" w:cs="Times New Roman"/>
                <w:b/>
                <w:color w:val="000000" w:themeColor="text1"/>
                <w:szCs w:val="22"/>
                <w:lang w:val="en-US" w:eastAsia="zh-CN"/>
                <w14:textFill>
                  <w14:solidFill>
                    <w14:schemeClr w14:val="tx1"/>
                  </w14:solidFill>
                </w14:textFill>
              </w:rPr>
            </w:pPr>
            <w:r>
              <w:rPr>
                <w:rFonts w:hint="eastAsia" w:cs="Times New Roman"/>
                <w:b/>
                <w:color w:val="000000" w:themeColor="text1"/>
                <w:szCs w:val="22"/>
                <w:lang w:val="en-US" w:eastAsia="zh-CN"/>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608"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842"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720"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668"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c>
          <w:tcPr>
            <w:tcW w:w="1079" w:type="pc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2020.7.8</w:t>
            </w:r>
          </w:p>
        </w:tc>
        <w:tc>
          <w:tcPr>
            <w:tcW w:w="618" w:type="pct"/>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r>
              <w:rPr>
                <w:rFonts w:cs="Times New Roman"/>
                <w:b/>
                <w:color w:val="000000" w:themeColor="text1"/>
                <w:szCs w:val="22"/>
                <w14:textFill>
                  <w14:solidFill>
                    <w14:schemeClr w14:val="tx1"/>
                  </w14:solidFill>
                </w14:textFill>
              </w:rPr>
              <w:t>2020.7.9</w:t>
            </w:r>
          </w:p>
        </w:tc>
        <w:tc>
          <w:tcPr>
            <w:tcW w:w="461" w:type="pct"/>
            <w:vMerge w:val="continue"/>
            <w:vAlign w:val="center"/>
          </w:tcPr>
          <w:p>
            <w:pPr>
              <w:pStyle w:val="64"/>
              <w:keepNext w:val="0"/>
              <w:keepLines w:val="0"/>
              <w:suppressLineNumbers w:val="0"/>
              <w:spacing w:beforeAutospacing="0" w:afterAutospacing="0"/>
              <w:rPr>
                <w:rFonts w:cs="Times New Roman"/>
                <w:b/>
                <w:color w:val="000000" w:themeColor="text1"/>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水温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hint="eastAsia" w:ascii="宋体" w:hAnsi="宋体" w:cs="宋体"/>
                <w:color w:val="000000" w:themeColor="text1"/>
                <w:szCs w:val="22"/>
                <w14:textFill>
                  <w14:solidFill>
                    <w14:schemeClr w14:val="tx1"/>
                  </w14:solidFill>
                </w14:textFill>
              </w:rPr>
              <w:t>℃</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19.2</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18.8</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pH</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无量纲</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0.1pH</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7.0</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7.1</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3</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氨氮</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0.025</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0.124</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0.110</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4</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硝酸盐氮</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0.016</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5.58</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5.57</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5</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亚硝酸盐氮</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0.016</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ND(0.016)</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ND(0.016)</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6</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挥发酚（挥发性酚类）</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0.0003</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0.0015</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0.0015</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7</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氰化物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8</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六价铬</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0.004</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ND(0.004)</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ND(0.004)</w:t>
            </w:r>
          </w:p>
        </w:tc>
        <w:tc>
          <w:tcPr>
            <w:tcW w:w="461"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9</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总硬度</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1.0</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290</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266</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10</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溶解性总固体</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376</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320</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11</w:t>
            </w:r>
          </w:p>
        </w:tc>
        <w:tc>
          <w:tcPr>
            <w:tcW w:w="842" w:type="pct"/>
            <w:vAlign w:val="center"/>
          </w:tcPr>
          <w:p>
            <w:pPr>
              <w:pStyle w:val="64"/>
              <w:keepNext w:val="0"/>
              <w:keepLines w:val="0"/>
              <w:suppressLineNumbers w:val="0"/>
              <w:spacing w:beforeAutospacing="0" w:afterAutospacing="0"/>
              <w:rPr>
                <w:rFonts w:hint="eastAsia" w:cs="Times New Roman"/>
                <w:color w:val="000000" w:themeColor="text1"/>
                <w:szCs w:val="22"/>
                <w:lang w:val="zh-CN" w:bidi="zh-CN"/>
                <w14:textFill>
                  <w14:solidFill>
                    <w14:schemeClr w14:val="tx1"/>
                  </w14:solidFill>
                </w14:textFill>
              </w:rPr>
            </w:pPr>
            <w:r>
              <w:rPr>
                <w:rFonts w:hint="eastAsia" w:cs="Times New Roman"/>
                <w:color w:val="000000" w:themeColor="text1"/>
                <w:szCs w:val="22"/>
                <w:lang w:val="zh-CN" w:bidi="zh-CN"/>
                <w14:textFill>
                  <w14:solidFill>
                    <w14:schemeClr w14:val="tx1"/>
                  </w14:solidFill>
                </w14:textFill>
              </w:rPr>
              <w:t>高锰酸盐指数</w:t>
            </w:r>
          </w:p>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hint="eastAsia" w:cs="Times New Roman"/>
                <w:color w:val="000000" w:themeColor="text1"/>
                <w:szCs w:val="22"/>
                <w:lang w:val="zh-CN" w:bidi="zh-CN"/>
                <w14:textFill>
                  <w14:solidFill>
                    <w14:schemeClr w14:val="tx1"/>
                  </w14:solidFill>
                </w14:textFill>
              </w:rPr>
              <w:t>（耗氧量）</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0.5</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ND(0.5)</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ND(0.5)</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12</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氯化物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0.007</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12.6</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12.8</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13</w:t>
            </w:r>
          </w:p>
        </w:tc>
        <w:tc>
          <w:tcPr>
            <w:tcW w:w="842" w:type="pct"/>
            <w:vAlign w:val="center"/>
          </w:tcPr>
          <w:p>
            <w:pPr>
              <w:keepNext w:val="0"/>
              <w:keepLines w:val="0"/>
              <w:suppressLineNumbers w:val="0"/>
              <w:spacing w:beforeAutospacing="0" w:afterAutospacing="0"/>
              <w:ind w:firstLine="0" w:firstLineChars="0"/>
              <w:jc w:val="center"/>
              <w:rPr>
                <w:rFonts w:cs="Times New Roman"/>
                <w:color w:val="000000" w:themeColor="text1"/>
                <w:kern w:val="0"/>
                <w:sz w:val="22"/>
                <w14:textFill>
                  <w14:solidFill>
                    <w14:schemeClr w14:val="tx1"/>
                  </w14:solidFill>
                </w14:textFill>
              </w:rPr>
            </w:pPr>
            <w:r>
              <w:rPr>
                <w:rFonts w:cs="Times New Roman"/>
                <w:color w:val="000000" w:themeColor="text1"/>
                <w:kern w:val="2"/>
                <w:sz w:val="22"/>
                <w:lang w:val="zh-CN" w:bidi="zh-CN"/>
                <w14:textFill>
                  <w14:solidFill>
                    <w14:schemeClr w14:val="tx1"/>
                  </w14:solidFill>
                </w14:textFill>
              </w:rPr>
              <w:t>氟化物</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0.006</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0.194</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0.173</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14</w:t>
            </w:r>
          </w:p>
        </w:tc>
        <w:tc>
          <w:tcPr>
            <w:tcW w:w="842" w:type="pct"/>
            <w:vAlign w:val="center"/>
          </w:tcPr>
          <w:p>
            <w:pPr>
              <w:pStyle w:val="64"/>
              <w:keepNext w:val="0"/>
              <w:keepLines w:val="0"/>
              <w:suppressLineNumbers w:val="0"/>
              <w:spacing w:beforeAutospacing="0" w:afterAutospacing="0"/>
              <w:rPr>
                <w:rFonts w:cs="Times New Roman"/>
                <w:color w:val="000000" w:themeColor="text1"/>
                <w:kern w:val="0"/>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硫酸盐</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0.018</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15.0</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15.1</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15</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铅</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ND(0.001)</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16</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镉</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0.0004</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0.0001</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17</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汞</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4.00×10</w:t>
            </w:r>
            <w:r>
              <w:rPr>
                <w:rFonts w:cs="Times New Roman"/>
                <w:color w:val="000000" w:themeColor="text1"/>
                <w:kern w:val="2"/>
                <w:sz w:val="22"/>
                <w:vertAlign w:val="superscript"/>
                <w14:textFill>
                  <w14:solidFill>
                    <w14:schemeClr w14:val="tx1"/>
                  </w14:solidFill>
                </w14:textFill>
              </w:rPr>
              <w:t>-5</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ND(4.00×10</w:t>
            </w:r>
            <w:r>
              <w:rPr>
                <w:rFonts w:cs="Times New Roman"/>
                <w:color w:val="000000" w:themeColor="text1"/>
                <w:kern w:val="2"/>
                <w:sz w:val="22"/>
                <w:vertAlign w:val="superscript"/>
                <w14:textFill>
                  <w14:solidFill>
                    <w14:schemeClr w14:val="tx1"/>
                  </w14:solidFill>
                </w14:textFill>
              </w:rPr>
              <w:t>-5</w:t>
            </w:r>
            <w:r>
              <w:rPr>
                <w:rFonts w:cs="Times New Roman"/>
                <w:color w:val="000000" w:themeColor="text1"/>
                <w:kern w:val="2"/>
                <w:sz w:val="22"/>
                <w14:textFill>
                  <w14:solidFill>
                    <w14:schemeClr w14:val="tx1"/>
                  </w14:solidFill>
                </w14:textFill>
              </w:rPr>
              <w:t>)</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ND(4.00×10</w:t>
            </w:r>
            <w:r>
              <w:rPr>
                <w:rFonts w:cs="Times New Roman"/>
                <w:color w:val="000000" w:themeColor="text1"/>
                <w:kern w:val="2"/>
                <w:sz w:val="22"/>
                <w:vertAlign w:val="superscript"/>
                <w14:textFill>
                  <w14:solidFill>
                    <w14:schemeClr w14:val="tx1"/>
                  </w14:solidFill>
                </w14:textFill>
              </w:rPr>
              <w:t>-5</w:t>
            </w:r>
            <w:r>
              <w:rPr>
                <w:rFonts w:cs="Times New Roman"/>
                <w:color w:val="000000" w:themeColor="text1"/>
                <w:kern w:val="2"/>
                <w:sz w:val="22"/>
                <w14:textFill>
                  <w14:solidFill>
                    <w14:schemeClr w14:val="tx1"/>
                  </w14:solidFill>
                </w14:textFill>
              </w:rPr>
              <w:t>)</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18</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砷</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3.0×10</w:t>
            </w:r>
            <w:r>
              <w:rPr>
                <w:rFonts w:cs="Times New Roman"/>
                <w:color w:val="000000" w:themeColor="text1"/>
                <w:kern w:val="2"/>
                <w:sz w:val="22"/>
                <w:vertAlign w:val="superscript"/>
                <w14:textFill>
                  <w14:solidFill>
                    <w14:schemeClr w14:val="tx1"/>
                  </w14:solidFill>
                </w14:textFill>
              </w:rPr>
              <w:t>-4</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ND(3.0×10</w:t>
            </w:r>
            <w:r>
              <w:rPr>
                <w:rFonts w:cs="Times New Roman"/>
                <w:color w:val="000000" w:themeColor="text1"/>
                <w:kern w:val="2"/>
                <w:sz w:val="22"/>
                <w:vertAlign w:val="superscript"/>
                <w14:textFill>
                  <w14:solidFill>
                    <w14:schemeClr w14:val="tx1"/>
                  </w14:solidFill>
                </w14:textFill>
              </w:rPr>
              <w:t>-4</w:t>
            </w:r>
            <w:r>
              <w:rPr>
                <w:rFonts w:cs="Times New Roman"/>
                <w:color w:val="000000" w:themeColor="text1"/>
                <w:kern w:val="2"/>
                <w:sz w:val="22"/>
                <w14:textFill>
                  <w14:solidFill>
                    <w14:schemeClr w14:val="tx1"/>
                  </w14:solidFill>
                </w14:textFill>
              </w:rPr>
              <w:t>)</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ND(3.0×10</w:t>
            </w:r>
            <w:r>
              <w:rPr>
                <w:rFonts w:cs="Times New Roman"/>
                <w:color w:val="000000" w:themeColor="text1"/>
                <w:kern w:val="2"/>
                <w:sz w:val="22"/>
                <w:vertAlign w:val="superscript"/>
                <w14:textFill>
                  <w14:solidFill>
                    <w14:schemeClr w14:val="tx1"/>
                  </w14:solidFill>
                </w14:textFill>
              </w:rPr>
              <w:t>-4</w:t>
            </w:r>
            <w:r>
              <w:rPr>
                <w:rFonts w:cs="Times New Roman"/>
                <w:color w:val="000000" w:themeColor="text1"/>
                <w:kern w:val="2"/>
                <w:sz w:val="22"/>
                <w14:textFill>
                  <w14:solidFill>
                    <w14:schemeClr w14:val="tx1"/>
                  </w14:solidFill>
                </w14:textFill>
              </w:rPr>
              <w:t>)</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19</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锰</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20</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铁</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0.03</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ND(0.03)</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ND(0.03)</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21</w:t>
            </w:r>
          </w:p>
        </w:tc>
        <w:tc>
          <w:tcPr>
            <w:tcW w:w="842" w:type="pct"/>
            <w:vAlign w:val="center"/>
          </w:tcPr>
          <w:p>
            <w:pPr>
              <w:pStyle w:val="64"/>
              <w:keepNext w:val="0"/>
              <w:keepLines w:val="0"/>
              <w:suppressLineNumbers w:val="0"/>
              <w:spacing w:beforeAutospacing="0" w:afterAutospacing="0"/>
              <w:rPr>
                <w:rFonts w:cs="Times New Roman"/>
                <w:color w:val="000000" w:themeColor="text1"/>
                <w:szCs w:val="22"/>
                <w:lang w:val="zh-CN" w:bidi="zh-CN"/>
                <w14:textFill>
                  <w14:solidFill>
                    <w14:schemeClr w14:val="tx1"/>
                  </w14:solidFill>
                </w14:textFill>
              </w:rPr>
            </w:pPr>
            <w:r>
              <w:rPr>
                <w:rFonts w:cs="Times New Roman"/>
                <w:color w:val="000000" w:themeColor="text1"/>
                <w:szCs w:val="22"/>
                <w:lang w:val="zh-CN" w:bidi="zh-CN"/>
                <w14:textFill>
                  <w14:solidFill>
                    <w14:schemeClr w14:val="tx1"/>
                  </w14:solidFill>
                </w14:textFill>
              </w:rPr>
              <w:t>总大肠菌群</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MPN/</w:t>
            </w:r>
            <w:r>
              <w:rPr>
                <w:rFonts w:hint="eastAsia" w:cs="Times New Roman"/>
                <w:color w:val="000000" w:themeColor="text1"/>
                <w:szCs w:val="22"/>
                <w14:textFill>
                  <w14:solidFill>
                    <w14:schemeClr w14:val="tx1"/>
                  </w14:solidFill>
                </w14:textFill>
              </w:rPr>
              <w:t>100m</w:t>
            </w:r>
            <w:r>
              <w:rPr>
                <w:rFonts w:cs="Times New Roman"/>
                <w:color w:val="000000" w:themeColor="text1"/>
                <w:szCs w:val="22"/>
                <w14:textFill>
                  <w14:solidFill>
                    <w14:schemeClr w14:val="tx1"/>
                  </w14:solidFill>
                </w14:textFill>
              </w:rPr>
              <w:t>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ND（2L）</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ND（2L）</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08"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22</w:t>
            </w:r>
          </w:p>
        </w:tc>
        <w:tc>
          <w:tcPr>
            <w:tcW w:w="842" w:type="pct"/>
            <w:vAlign w:val="center"/>
          </w:tcPr>
          <w:p>
            <w:pPr>
              <w:pStyle w:val="64"/>
              <w:keepNext w:val="0"/>
              <w:keepLines w:val="0"/>
              <w:suppressLineNumbers w:val="0"/>
              <w:spacing w:beforeAutospacing="0" w:afterAutospacing="0"/>
              <w:rPr>
                <w:rFonts w:cs="Times New Roman"/>
                <w:color w:val="000000" w:themeColor="text1"/>
                <w:kern w:val="0"/>
                <w:szCs w:val="22"/>
                <w14:textFill>
                  <w14:solidFill>
                    <w14:schemeClr w14:val="tx1"/>
                  </w14:solidFill>
                </w14:textFill>
              </w:rPr>
            </w:pPr>
            <w:r>
              <w:rPr>
                <w:rFonts w:cs="Times New Roman"/>
                <w:color w:val="000000" w:themeColor="text1"/>
                <w:szCs w:val="22"/>
                <w:lang w:val="zh-CN" w:bidi="zh-CN"/>
                <w14:textFill>
                  <w14:solidFill>
                    <w14:schemeClr w14:val="tx1"/>
                  </w14:solidFill>
                </w14:textFill>
              </w:rPr>
              <w:t>石油类</w:t>
            </w:r>
          </w:p>
        </w:tc>
        <w:tc>
          <w:tcPr>
            <w:tcW w:w="720" w:type="pct"/>
            <w:vAlign w:val="center"/>
          </w:tcPr>
          <w:p>
            <w:pPr>
              <w:pStyle w:val="64"/>
              <w:keepNext w:val="0"/>
              <w:keepLines w:val="0"/>
              <w:suppressLineNumbers w:val="0"/>
              <w:spacing w:beforeAutospacing="0" w:afterAutospacing="0"/>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mg/L</w:t>
            </w:r>
          </w:p>
        </w:tc>
        <w:tc>
          <w:tcPr>
            <w:tcW w:w="66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0.01</w:t>
            </w:r>
          </w:p>
        </w:tc>
        <w:tc>
          <w:tcPr>
            <w:tcW w:w="1079"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618" w:type="pct"/>
            <w:vAlign w:val="center"/>
          </w:tcPr>
          <w:p>
            <w:pPr>
              <w:keepNext w:val="0"/>
              <w:keepLines w:val="0"/>
              <w:suppressLineNumbers w:val="0"/>
              <w:spacing w:beforeAutospacing="0" w:afterAutospacing="0"/>
              <w:ind w:firstLine="0" w:firstLineChars="0"/>
              <w:jc w:val="center"/>
              <w:rPr>
                <w:rFonts w:cs="Times New Roman"/>
                <w:color w:val="000000" w:themeColor="text1"/>
                <w:kern w:val="2"/>
                <w:sz w:val="22"/>
                <w14:textFill>
                  <w14:solidFill>
                    <w14:schemeClr w14:val="tx1"/>
                  </w14:solidFill>
                </w14:textFill>
              </w:rPr>
            </w:pPr>
            <w:r>
              <w:rPr>
                <w:rFonts w:cs="Times New Roman"/>
                <w:color w:val="000000" w:themeColor="text1"/>
                <w:kern w:val="2"/>
                <w:sz w:val="22"/>
                <w14:textFill>
                  <w14:solidFill>
                    <w14:schemeClr w14:val="tx1"/>
                  </w14:solidFill>
                </w14:textFill>
              </w:rPr>
              <w:t>ND(0.01)</w:t>
            </w:r>
          </w:p>
        </w:tc>
        <w:tc>
          <w:tcPr>
            <w:tcW w:w="461" w:type="pct"/>
            <w:vAlign w:val="center"/>
          </w:tcPr>
          <w:p>
            <w:pPr>
              <w:keepNext w:val="0"/>
              <w:keepLines w:val="0"/>
              <w:suppressLineNumbers w:val="0"/>
              <w:spacing w:beforeAutospacing="0" w:afterAutospacing="0"/>
              <w:ind w:left="0" w:leftChars="0" w:right="0" w:rightChars="0" w:firstLine="0" w:firstLineChars="0"/>
              <w:jc w:val="center"/>
              <w:rPr>
                <w:rFonts w:ascii="宋体" w:hAnsi="宋体" w:eastAsia="宋体" w:cs="Times New Roman"/>
                <w:color w:val="000000" w:themeColor="text1"/>
                <w:kern w:val="2"/>
                <w:sz w:val="22"/>
                <w:szCs w:val="22"/>
                <w:lang w:val="zh-CN" w:eastAsia="zh-CN" w:bidi="zh-CN"/>
                <w14:textFill>
                  <w14:solidFill>
                    <w14:schemeClr w14:val="tx1"/>
                  </w14:solidFill>
                </w14:textFill>
              </w:rPr>
            </w:pPr>
            <w:r>
              <w:rPr>
                <w:rFonts w:hint="eastAsia" w:cs="Times New Roman"/>
                <w:b/>
                <w:color w:val="000000" w:themeColor="text1"/>
                <w:kern w:val="2"/>
                <w:szCs w:val="22"/>
                <w:lang w:val="en-US" w:eastAsia="zh-CN"/>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38" w:type="pct"/>
            <w:gridSpan w:val="6"/>
            <w:vAlign w:val="center"/>
          </w:tcPr>
          <w:p>
            <w:pPr>
              <w:pStyle w:val="64"/>
              <w:keepNext w:val="0"/>
              <w:keepLines w:val="0"/>
              <w:suppressLineNumbers w:val="0"/>
              <w:spacing w:beforeAutospacing="0" w:afterAutospacing="0"/>
              <w:jc w:val="left"/>
              <w:rPr>
                <w:rFonts w:cs="Times New Roman"/>
                <w:color w:val="000000" w:themeColor="text1"/>
                <w:szCs w:val="22"/>
                <w14:textFill>
                  <w14:solidFill>
                    <w14:schemeClr w14:val="tx1"/>
                  </w14:solidFill>
                </w14:textFill>
              </w:rPr>
            </w:pPr>
            <w:r>
              <w:rPr>
                <w:rFonts w:cs="Times New Roman"/>
                <w:color w:val="000000" w:themeColor="text1"/>
                <w:szCs w:val="22"/>
                <w14:textFill>
                  <w14:solidFill>
                    <w14:schemeClr w14:val="tx1"/>
                  </w14:solidFill>
                </w14:textFill>
              </w:rPr>
              <w:t>备注：“ND（检出限）”表示未检出；因总大肠菌群无检出限，故用“ND（2L）”表示未检出。</w:t>
            </w:r>
          </w:p>
        </w:tc>
        <w:tc>
          <w:tcPr>
            <w:tcW w:w="461" w:type="pct"/>
            <w:vAlign w:val="center"/>
          </w:tcPr>
          <w:p>
            <w:pPr>
              <w:pStyle w:val="64"/>
              <w:keepNext w:val="0"/>
              <w:keepLines w:val="0"/>
              <w:suppressLineNumbers w:val="0"/>
              <w:spacing w:beforeAutospacing="0" w:afterAutospacing="0"/>
              <w:jc w:val="left"/>
              <w:rPr>
                <w:rFonts w:cs="Times New Roman"/>
                <w:color w:val="000000" w:themeColor="text1"/>
                <w:szCs w:val="22"/>
                <w14:textFill>
                  <w14:solidFill>
                    <w14:schemeClr w14:val="tx1"/>
                  </w14:solidFill>
                </w14:textFill>
              </w:rPr>
            </w:pPr>
          </w:p>
        </w:tc>
      </w:tr>
    </w:tbl>
    <w:p>
      <w:pPr>
        <w:pStyle w:val="1192"/>
        <w:ind w:firstLine="480"/>
        <w:rPr>
          <w:rFonts w:hint="eastAsia" w:eastAsia="宋体"/>
          <w:lang w:val="en-US" w:eastAsia="zh-CN"/>
        </w:rPr>
      </w:pPr>
      <w:r>
        <w:rPr>
          <w:rFonts w:hint="eastAsia"/>
          <w:lang w:val="en-US" w:eastAsia="zh-CN"/>
        </w:rPr>
        <w:t>2、地下水环境质量现状评价</w:t>
      </w:r>
    </w:p>
    <w:p>
      <w:pPr>
        <w:pStyle w:val="1192"/>
        <w:ind w:firstLine="480"/>
      </w:pPr>
      <w:r>
        <w:t>通过表</w:t>
      </w:r>
      <w:r>
        <w:rPr>
          <w:rFonts w:hint="eastAsia"/>
          <w:lang w:val="en-US" w:eastAsia="zh-CN"/>
        </w:rPr>
        <w:t>4.2-4至表4.2-6</w:t>
      </w:r>
      <w:r>
        <w:t xml:space="preserve"> 可知，地下水泉点监测数据可知，监测因子均能满足《地下水质量标准》（GB/T14848-2017）中的 III 类水体标准限值的要求。</w:t>
      </w:r>
    </w:p>
    <w:p>
      <w:pPr>
        <w:pStyle w:val="6"/>
        <w:rPr>
          <w:sz w:val="28"/>
          <w:szCs w:val="28"/>
        </w:rPr>
      </w:pPr>
      <w:bookmarkStart w:id="204" w:name="_Toc268"/>
      <w:r>
        <w:rPr>
          <w:rFonts w:hint="eastAsia"/>
          <w:sz w:val="28"/>
          <w:szCs w:val="28"/>
          <w:lang w:eastAsia="zh-CN"/>
        </w:rPr>
        <w:t>声环境质量现状调查与评价</w:t>
      </w:r>
      <w:bookmarkEnd w:id="204"/>
    </w:p>
    <w:p>
      <w:pPr>
        <w:pStyle w:val="1192"/>
        <w:ind w:firstLine="480"/>
        <w:rPr>
          <w:rFonts w:hint="eastAsia" w:eastAsia="宋体"/>
          <w:lang w:eastAsia="zh-CN"/>
        </w:rPr>
      </w:pPr>
      <w:r>
        <w:t>1、</w:t>
      </w:r>
      <w:r>
        <w:rPr>
          <w:rFonts w:hint="eastAsia"/>
          <w:lang w:eastAsia="zh-CN"/>
        </w:rPr>
        <w:t>现状监测结果</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表</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4.2</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hint="eastAsia" w:ascii="Times New Roman" w:hAnsi="Times New Roman" w:eastAsia="宋体" w:cs="Times New Roman"/>
          <w:snapToGrid/>
          <w:kern w:val="2"/>
          <w:sz w:val="21"/>
          <w:szCs w:val="21"/>
          <w:lang w:val="en-US" w:eastAsia="zh-CN"/>
        </w:rPr>
        <w:t xml:space="preserve">7   </w:t>
      </w:r>
      <w:r>
        <w:rPr>
          <w:rFonts w:ascii="Times New Roman" w:hAnsi="Times New Roman" w:eastAsia="宋体" w:cs="Times New Roman"/>
          <w:snapToGrid/>
          <w:kern w:val="2"/>
          <w:sz w:val="21"/>
          <w:szCs w:val="21"/>
        </w:rPr>
        <w:t>厂界噪声现状监测结果表(dB(A))</w:t>
      </w:r>
    </w:p>
    <w:tbl>
      <w:tblPr>
        <w:tblStyle w:val="88"/>
        <w:tblpPr w:leftFromText="180" w:rightFromText="180" w:vertAnchor="text" w:horzAnchor="page" w:tblpX="1652" w:tblpY="272"/>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375"/>
        <w:gridCol w:w="774"/>
        <w:gridCol w:w="774"/>
        <w:gridCol w:w="774"/>
        <w:gridCol w:w="778"/>
        <w:gridCol w:w="774"/>
        <w:gridCol w:w="774"/>
        <w:gridCol w:w="774"/>
        <w:gridCol w:w="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57" w:type="pct"/>
            <w:vMerge w:val="restart"/>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编号</w:t>
            </w:r>
          </w:p>
        </w:tc>
        <w:tc>
          <w:tcPr>
            <w:tcW w:w="805" w:type="pct"/>
            <w:vMerge w:val="restart"/>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测点位置</w:t>
            </w:r>
          </w:p>
        </w:tc>
        <w:tc>
          <w:tcPr>
            <w:tcW w:w="3636" w:type="pct"/>
            <w:gridSpan w:val="8"/>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57" w:type="pct"/>
            <w:vMerge w:val="continue"/>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p>
        </w:tc>
        <w:tc>
          <w:tcPr>
            <w:tcW w:w="805" w:type="pct"/>
            <w:vMerge w:val="continue"/>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p>
        </w:tc>
        <w:tc>
          <w:tcPr>
            <w:tcW w:w="1818" w:type="pct"/>
            <w:gridSpan w:val="4"/>
            <w:shd w:val="clear" w:color="auto" w:fill="auto"/>
            <w:vAlign w:val="center"/>
          </w:tcPr>
          <w:p>
            <w:pPr>
              <w:pStyle w:val="194"/>
              <w:keepNext w:val="0"/>
              <w:keepLines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2020.7.11</w:t>
            </w:r>
          </w:p>
        </w:tc>
        <w:tc>
          <w:tcPr>
            <w:tcW w:w="1818" w:type="pct"/>
            <w:gridSpan w:val="4"/>
            <w:shd w:val="clear" w:color="auto" w:fill="auto"/>
            <w:vAlign w:val="center"/>
          </w:tcPr>
          <w:p>
            <w:pPr>
              <w:pStyle w:val="194"/>
              <w:keepNext w:val="0"/>
              <w:keepLines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2020.7.12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57" w:type="pct"/>
            <w:vMerge w:val="continue"/>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p>
        </w:tc>
        <w:tc>
          <w:tcPr>
            <w:tcW w:w="805" w:type="pct"/>
            <w:vMerge w:val="continue"/>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p>
        </w:tc>
        <w:tc>
          <w:tcPr>
            <w:tcW w:w="908" w:type="pct"/>
            <w:gridSpan w:val="2"/>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昼间</w:t>
            </w:r>
          </w:p>
        </w:tc>
        <w:tc>
          <w:tcPr>
            <w:tcW w:w="909" w:type="pct"/>
            <w:gridSpan w:val="2"/>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夜间</w:t>
            </w:r>
          </w:p>
        </w:tc>
        <w:tc>
          <w:tcPr>
            <w:tcW w:w="908" w:type="pct"/>
            <w:gridSpan w:val="2"/>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昼间</w:t>
            </w:r>
          </w:p>
        </w:tc>
        <w:tc>
          <w:tcPr>
            <w:tcW w:w="909" w:type="pct"/>
            <w:gridSpan w:val="2"/>
            <w:shd w:val="clear" w:color="auto" w:fill="auto"/>
            <w:vAlign w:val="center"/>
          </w:tcPr>
          <w:p>
            <w:pPr>
              <w:pStyle w:val="194"/>
              <w:keepNext w:val="0"/>
              <w:keepLines w:val="0"/>
              <w:widowControl w:val="0"/>
              <w:suppressLineNumbers w:val="0"/>
              <w:spacing w:beforeAutospacing="0" w:afterAutospacing="0"/>
              <w:rPr>
                <w:b/>
                <w:color w:val="000000" w:themeColor="text1"/>
                <w:sz w:val="22"/>
                <w14:textFill>
                  <w14:solidFill>
                    <w14:schemeClr w14:val="tx1"/>
                  </w14:solidFill>
                </w14:textFill>
              </w:rPr>
            </w:pPr>
            <w:r>
              <w:rPr>
                <w:b/>
                <w:color w:val="000000" w:themeColor="text1"/>
                <w:sz w:val="22"/>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57"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color w:val="000000" w:themeColor="text1"/>
                <w:sz w:val="22"/>
                <w14:textFill>
                  <w14:solidFill>
                    <w14:schemeClr w14:val="tx1"/>
                  </w14:solidFill>
                </w14:textFill>
              </w:rPr>
              <w:t>N1</w:t>
            </w:r>
          </w:p>
        </w:tc>
        <w:tc>
          <w:tcPr>
            <w:tcW w:w="805" w:type="pct"/>
            <w:shd w:val="clear" w:color="auto" w:fill="auto"/>
            <w:vAlign w:val="center"/>
          </w:tcPr>
          <w:p>
            <w:pPr>
              <w:pStyle w:val="315"/>
              <w:keepNext w:val="0"/>
              <w:keepLines w:val="0"/>
              <w:suppressLineNumbers w:val="0"/>
              <w:spacing w:beforeAutospacing="0" w:after="0" w:afterAutospacing="0"/>
              <w:ind w:firstLine="0" w:firstLineChars="0"/>
              <w:jc w:val="center"/>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w:t>项目东侧厂界1m处</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42.4</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41.8</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40.9</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40.8</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42.0</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40.6</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40.8</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57"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color w:val="000000" w:themeColor="text1"/>
                <w:sz w:val="22"/>
                <w14:textFill>
                  <w14:solidFill>
                    <w14:schemeClr w14:val="tx1"/>
                  </w14:solidFill>
                </w14:textFill>
              </w:rPr>
              <w:t>N2</w:t>
            </w:r>
          </w:p>
        </w:tc>
        <w:tc>
          <w:tcPr>
            <w:tcW w:w="805" w:type="pct"/>
            <w:shd w:val="clear" w:color="auto" w:fill="auto"/>
            <w:vAlign w:val="center"/>
          </w:tcPr>
          <w:p>
            <w:pPr>
              <w:pStyle w:val="315"/>
              <w:keepNext w:val="0"/>
              <w:keepLines w:val="0"/>
              <w:suppressLineNumbers w:val="0"/>
              <w:spacing w:beforeAutospacing="0" w:after="0" w:afterAutospacing="0"/>
              <w:ind w:firstLine="0" w:firstLineChars="0"/>
              <w:jc w:val="center"/>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w:t>项目南侧厂界1m处</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41.5</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43.4</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38.1</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39.7</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43.7</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40.1</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40.7</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39.7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557"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color w:val="000000" w:themeColor="text1"/>
                <w:sz w:val="22"/>
                <w14:textFill>
                  <w14:solidFill>
                    <w14:schemeClr w14:val="tx1"/>
                  </w14:solidFill>
                </w14:textFill>
              </w:rPr>
              <w:t>N3</w:t>
            </w:r>
          </w:p>
        </w:tc>
        <w:tc>
          <w:tcPr>
            <w:tcW w:w="805" w:type="pct"/>
            <w:shd w:val="clear" w:color="auto" w:fill="auto"/>
            <w:vAlign w:val="center"/>
          </w:tcPr>
          <w:p>
            <w:pPr>
              <w:pStyle w:val="315"/>
              <w:keepNext w:val="0"/>
              <w:keepLines w:val="0"/>
              <w:suppressLineNumbers w:val="0"/>
              <w:spacing w:beforeAutospacing="0" w:after="0" w:afterAutospacing="0"/>
              <w:ind w:firstLine="0" w:firstLineChars="0"/>
              <w:jc w:val="center"/>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w:t>项目西侧厂界1m处</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58.7</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57.5</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48.3</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46.8</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57.3</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57.8</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47.9</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57"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color w:val="000000" w:themeColor="text1"/>
                <w:sz w:val="22"/>
                <w14:textFill>
                  <w14:solidFill>
                    <w14:schemeClr w14:val="tx1"/>
                  </w14:solidFill>
                </w14:textFill>
              </w:rPr>
              <w:t>N4</w:t>
            </w:r>
          </w:p>
        </w:tc>
        <w:tc>
          <w:tcPr>
            <w:tcW w:w="805" w:type="pct"/>
            <w:shd w:val="clear" w:color="auto" w:fill="auto"/>
            <w:vAlign w:val="center"/>
          </w:tcPr>
          <w:p>
            <w:pPr>
              <w:pStyle w:val="315"/>
              <w:keepNext w:val="0"/>
              <w:keepLines w:val="0"/>
              <w:suppressLineNumbers w:val="0"/>
              <w:spacing w:beforeAutospacing="0" w:after="0" w:afterAutospacing="0"/>
              <w:ind w:firstLine="0" w:firstLineChars="0"/>
              <w:jc w:val="center"/>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w:t>项目北侧厂界1m处</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53.8</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55.1</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45.9</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48.1</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55.8</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55.5</w:t>
            </w:r>
          </w:p>
        </w:tc>
        <w:tc>
          <w:tcPr>
            <w:tcW w:w="454"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46.4</w:t>
            </w:r>
          </w:p>
        </w:tc>
        <w:tc>
          <w:tcPr>
            <w:tcW w:w="455" w:type="pct"/>
            <w:shd w:val="clear" w:color="auto" w:fill="auto"/>
            <w:vAlign w:val="center"/>
          </w:tcPr>
          <w:p>
            <w:pPr>
              <w:pStyle w:val="194"/>
              <w:keepNext w:val="0"/>
              <w:keepLines w:val="0"/>
              <w:widowControl w:val="0"/>
              <w:suppressLineNumbers w:val="0"/>
              <w:spacing w:beforeAutospacing="0" w:afterAutospacing="0"/>
              <w:rPr>
                <w:color w:val="000000" w:themeColor="text1"/>
                <w:sz w:val="22"/>
                <w14:textFill>
                  <w14:solidFill>
                    <w14:schemeClr w14:val="tx1"/>
                  </w14:solidFill>
                </w14:textFill>
              </w:rPr>
            </w:pPr>
            <w:r>
              <w:rPr>
                <w:rFonts w:hint="eastAsia"/>
                <w:color w:val="000000" w:themeColor="text1"/>
                <w:sz w:val="22"/>
                <w14:textFill>
                  <w14:solidFill>
                    <w14:schemeClr w14:val="tx1"/>
                  </w14:solidFill>
                </w14:textFill>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363" w:type="pct"/>
            <w:gridSpan w:val="2"/>
            <w:vMerge w:val="restart"/>
            <w:shd w:val="clear" w:color="auto" w:fill="auto"/>
            <w:vAlign w:val="center"/>
          </w:tcPr>
          <w:p>
            <w:pPr>
              <w:pStyle w:val="315"/>
              <w:keepNext w:val="0"/>
              <w:keepLines w:val="0"/>
              <w:suppressLineNumbers w:val="0"/>
              <w:spacing w:beforeAutospacing="0" w:after="0" w:afterAutospacing="0"/>
              <w:ind w:firstLine="0" w:firstLineChars="0"/>
              <w:jc w:val="center"/>
              <w:rPr>
                <w:rFonts w:hint="default"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达标情况</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标准</w:t>
            </w:r>
          </w:p>
        </w:tc>
        <w:tc>
          <w:tcPr>
            <w:tcW w:w="454" w:type="pct"/>
            <w:shd w:val="clear" w:color="auto" w:fill="auto"/>
            <w:vAlign w:val="center"/>
          </w:tcPr>
          <w:p>
            <w:pPr>
              <w:pStyle w:val="194"/>
              <w:keepNext w:val="0"/>
              <w:keepLines w:val="0"/>
              <w:widowControl w:val="0"/>
              <w:suppressLineNumbers w:val="0"/>
              <w:spacing w:beforeAutospacing="0" w:afterAutospacing="0"/>
              <w:rPr>
                <w:rFonts w:hint="default"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60</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标准</w:t>
            </w:r>
          </w:p>
        </w:tc>
        <w:tc>
          <w:tcPr>
            <w:tcW w:w="455" w:type="pct"/>
            <w:shd w:val="clear" w:color="auto" w:fill="auto"/>
            <w:vAlign w:val="center"/>
          </w:tcPr>
          <w:p>
            <w:pPr>
              <w:pStyle w:val="194"/>
              <w:keepNext w:val="0"/>
              <w:keepLines w:val="0"/>
              <w:widowControl w:val="0"/>
              <w:suppressLineNumbers w:val="0"/>
              <w:spacing w:beforeAutospacing="0" w:afterAutospacing="0"/>
              <w:rPr>
                <w:rFonts w:hint="default"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50</w:t>
            </w:r>
          </w:p>
        </w:tc>
        <w:tc>
          <w:tcPr>
            <w:tcW w:w="454" w:type="pct"/>
            <w:shd w:val="clear" w:color="auto" w:fill="auto"/>
            <w:vAlign w:val="center"/>
          </w:tcPr>
          <w:p>
            <w:pPr>
              <w:pStyle w:val="194"/>
              <w:keepNext w:val="0"/>
              <w:keepLines w:val="0"/>
              <w:widowControl w:val="0"/>
              <w:suppressLineNumbers w:val="0"/>
              <w:spacing w:beforeAutospacing="0" w:afterAutospacing="0"/>
              <w:ind w:left="0" w:leftChars="0" w:right="0" w:rightChars="0" w:firstLine="0" w:firstLineChars="0"/>
              <w:rPr>
                <w:rFonts w:hint="eastAsia" w:ascii="宋体" w:hAnsi="宋体" w:eastAsia="宋体" w:cs="Times New Roman"/>
                <w:color w:val="000000" w:themeColor="text1"/>
                <w:kern w:val="0"/>
                <w:sz w:val="22"/>
                <w:szCs w:val="22"/>
                <w:lang w:val="en-US" w:eastAsia="zh-CN" w:bidi="zh-CN"/>
                <w14:textFill>
                  <w14:solidFill>
                    <w14:schemeClr w14:val="tx1"/>
                  </w14:solidFill>
                </w14:textFill>
              </w:rPr>
            </w:pPr>
            <w:r>
              <w:rPr>
                <w:rFonts w:hint="eastAsia"/>
                <w:color w:val="000000" w:themeColor="text1"/>
                <w:sz w:val="22"/>
                <w:lang w:val="en-US" w:eastAsia="zh-CN"/>
                <w14:textFill>
                  <w14:solidFill>
                    <w14:schemeClr w14:val="tx1"/>
                  </w14:solidFill>
                </w14:textFill>
              </w:rPr>
              <w:t>标准</w:t>
            </w:r>
          </w:p>
        </w:tc>
        <w:tc>
          <w:tcPr>
            <w:tcW w:w="454" w:type="pct"/>
            <w:shd w:val="clear" w:color="auto" w:fill="auto"/>
            <w:vAlign w:val="center"/>
          </w:tcPr>
          <w:p>
            <w:pPr>
              <w:pStyle w:val="194"/>
              <w:keepNext w:val="0"/>
              <w:keepLines w:val="0"/>
              <w:widowControl w:val="0"/>
              <w:suppressLineNumbers w:val="0"/>
              <w:spacing w:beforeAutospacing="0" w:afterAutospacing="0"/>
              <w:ind w:left="0" w:leftChars="0" w:right="0" w:rightChars="0" w:firstLine="0" w:firstLineChars="0"/>
              <w:rPr>
                <w:rFonts w:hint="eastAsia" w:ascii="宋体" w:hAnsi="宋体" w:eastAsia="宋体" w:cs="Times New Roman"/>
                <w:color w:val="000000" w:themeColor="text1"/>
                <w:kern w:val="0"/>
                <w:sz w:val="22"/>
                <w:szCs w:val="22"/>
                <w:lang w:val="en-US" w:eastAsia="zh-CN" w:bidi="zh-CN"/>
                <w14:textFill>
                  <w14:solidFill>
                    <w14:schemeClr w14:val="tx1"/>
                  </w14:solidFill>
                </w14:textFill>
              </w:rPr>
            </w:pPr>
            <w:r>
              <w:rPr>
                <w:rFonts w:hint="eastAsia"/>
                <w:color w:val="000000" w:themeColor="text1"/>
                <w:sz w:val="22"/>
                <w:lang w:val="en-US" w:eastAsia="zh-CN"/>
                <w14:textFill>
                  <w14:solidFill>
                    <w14:schemeClr w14:val="tx1"/>
                  </w14:solidFill>
                </w14:textFill>
              </w:rPr>
              <w:t>60</w:t>
            </w:r>
          </w:p>
        </w:tc>
        <w:tc>
          <w:tcPr>
            <w:tcW w:w="454" w:type="pct"/>
            <w:shd w:val="clear" w:color="auto" w:fill="auto"/>
            <w:vAlign w:val="center"/>
          </w:tcPr>
          <w:p>
            <w:pPr>
              <w:pStyle w:val="194"/>
              <w:keepNext w:val="0"/>
              <w:keepLines w:val="0"/>
              <w:widowControl w:val="0"/>
              <w:suppressLineNumbers w:val="0"/>
              <w:spacing w:beforeAutospacing="0" w:afterAutospacing="0"/>
              <w:ind w:left="0" w:leftChars="0" w:right="0" w:rightChars="0" w:firstLine="0" w:firstLineChars="0"/>
              <w:rPr>
                <w:rFonts w:hint="eastAsia" w:ascii="宋体" w:hAnsi="宋体" w:eastAsia="宋体" w:cs="Times New Roman"/>
                <w:color w:val="000000" w:themeColor="text1"/>
                <w:kern w:val="0"/>
                <w:sz w:val="22"/>
                <w:szCs w:val="22"/>
                <w:lang w:val="en-US" w:eastAsia="zh-CN" w:bidi="zh-CN"/>
                <w14:textFill>
                  <w14:solidFill>
                    <w14:schemeClr w14:val="tx1"/>
                  </w14:solidFill>
                </w14:textFill>
              </w:rPr>
            </w:pPr>
            <w:r>
              <w:rPr>
                <w:rFonts w:hint="eastAsia"/>
                <w:color w:val="000000" w:themeColor="text1"/>
                <w:sz w:val="22"/>
                <w:lang w:val="en-US" w:eastAsia="zh-CN"/>
                <w14:textFill>
                  <w14:solidFill>
                    <w14:schemeClr w14:val="tx1"/>
                  </w14:solidFill>
                </w14:textFill>
              </w:rPr>
              <w:t>标准</w:t>
            </w:r>
          </w:p>
        </w:tc>
        <w:tc>
          <w:tcPr>
            <w:tcW w:w="455" w:type="pct"/>
            <w:shd w:val="clear" w:color="auto" w:fill="auto"/>
            <w:vAlign w:val="center"/>
          </w:tcPr>
          <w:p>
            <w:pPr>
              <w:pStyle w:val="194"/>
              <w:keepNext w:val="0"/>
              <w:keepLines w:val="0"/>
              <w:widowControl w:val="0"/>
              <w:suppressLineNumbers w:val="0"/>
              <w:spacing w:beforeAutospacing="0" w:afterAutospacing="0"/>
              <w:ind w:left="0" w:leftChars="0" w:right="0" w:rightChars="0" w:firstLine="0" w:firstLineChars="0"/>
              <w:rPr>
                <w:rFonts w:hint="eastAsia" w:ascii="宋体" w:hAnsi="宋体" w:eastAsia="宋体" w:cs="Times New Roman"/>
                <w:color w:val="000000" w:themeColor="text1"/>
                <w:kern w:val="0"/>
                <w:sz w:val="22"/>
                <w:szCs w:val="22"/>
                <w:lang w:val="en-US" w:eastAsia="zh-CN" w:bidi="zh-CN"/>
                <w14:textFill>
                  <w14:solidFill>
                    <w14:schemeClr w14:val="tx1"/>
                  </w14:solidFill>
                </w14:textFill>
              </w:rPr>
            </w:pPr>
            <w:r>
              <w:rPr>
                <w:rFonts w:hint="eastAsia"/>
                <w:color w:val="000000" w:themeColor="text1"/>
                <w:sz w:val="22"/>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63" w:type="pct"/>
            <w:gridSpan w:val="2"/>
            <w:vMerge w:val="continue"/>
            <w:shd w:val="clear" w:color="auto" w:fill="auto"/>
            <w:vAlign w:val="center"/>
          </w:tcPr>
          <w:p>
            <w:pPr>
              <w:pStyle w:val="315"/>
              <w:keepNext w:val="0"/>
              <w:keepLines w:val="0"/>
              <w:suppressLineNumbers w:val="0"/>
              <w:spacing w:beforeAutospacing="0" w:after="0" w:afterAutospacing="0"/>
              <w:ind w:firstLine="0" w:firstLineChars="0"/>
              <w:jc w:val="center"/>
              <w:rPr>
                <w:rFonts w:hint="eastAsia" w:ascii="Times New Roman" w:hAnsi="Times New Roman" w:eastAsia="宋体"/>
                <w:color w:val="000000" w:themeColor="text1"/>
                <w:szCs w:val="22"/>
                <w:lang w:val="en-US" w:eastAsia="zh-CN"/>
                <w14:textFill>
                  <w14:solidFill>
                    <w14:schemeClr w14:val="tx1"/>
                  </w14:solidFill>
                </w14:textFill>
              </w:rPr>
            </w:pP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达标</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w:t>
            </w:r>
          </w:p>
        </w:tc>
        <w:tc>
          <w:tcPr>
            <w:tcW w:w="455" w:type="pct"/>
            <w:shd w:val="clear" w:color="auto" w:fill="auto"/>
            <w:vAlign w:val="center"/>
          </w:tcPr>
          <w:p>
            <w:pPr>
              <w:pStyle w:val="194"/>
              <w:keepNext w:val="0"/>
              <w:keepLines w:val="0"/>
              <w:widowControl w:val="0"/>
              <w:suppressLineNumbers w:val="0"/>
              <w:spacing w:beforeAutospacing="0" w:afterAutospacing="0"/>
              <w:rPr>
                <w:rFonts w:hint="eastAsia"/>
                <w:color w:val="000000" w:themeColor="text1"/>
                <w:sz w:val="22"/>
                <w14:textFill>
                  <w14:solidFill>
                    <w14:schemeClr w14:val="tx1"/>
                  </w14:solidFill>
                </w14:textFill>
              </w:rPr>
            </w:pPr>
            <w:r>
              <w:rPr>
                <w:rFonts w:hint="eastAsia"/>
                <w:color w:val="000000" w:themeColor="text1"/>
                <w:sz w:val="22"/>
                <w:lang w:val="en-US" w:eastAsia="zh-CN"/>
                <w14:textFill>
                  <w14:solidFill>
                    <w14:schemeClr w14:val="tx1"/>
                  </w14:solidFill>
                </w14:textFill>
              </w:rPr>
              <w:t>达标</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color w:val="000000" w:themeColor="text1"/>
                <w:sz w:val="22"/>
                <w14:textFill>
                  <w14:solidFill>
                    <w14:schemeClr w14:val="tx1"/>
                  </w14:solidFill>
                </w14:textFill>
              </w:rPr>
            </w:pPr>
            <w:r>
              <w:rPr>
                <w:rFonts w:hint="eastAsia"/>
                <w:color w:val="000000" w:themeColor="text1"/>
                <w:sz w:val="22"/>
                <w:lang w:val="en-US" w:eastAsia="zh-CN"/>
                <w14:textFill>
                  <w14:solidFill>
                    <w14:schemeClr w14:val="tx1"/>
                  </w14:solidFill>
                </w14:textFill>
              </w:rPr>
              <w:t>达标</w:t>
            </w:r>
          </w:p>
        </w:tc>
        <w:tc>
          <w:tcPr>
            <w:tcW w:w="454" w:type="pct"/>
            <w:shd w:val="clear" w:color="auto" w:fill="auto"/>
            <w:vAlign w:val="center"/>
          </w:tcPr>
          <w:p>
            <w:pPr>
              <w:pStyle w:val="194"/>
              <w:keepNext w:val="0"/>
              <w:keepLines w:val="0"/>
              <w:widowControl w:val="0"/>
              <w:suppressLineNumbers w:val="0"/>
              <w:spacing w:beforeAutospacing="0" w:afterAutospacing="0"/>
              <w:rPr>
                <w:rFonts w:hint="eastAsia" w:eastAsia="宋体"/>
                <w:color w:val="000000" w:themeColor="text1"/>
                <w:sz w:val="22"/>
                <w:lang w:val="en-US" w:eastAsia="zh-CN"/>
                <w14:textFill>
                  <w14:solidFill>
                    <w14:schemeClr w14:val="tx1"/>
                  </w14:solidFill>
                </w14:textFill>
              </w:rPr>
            </w:pPr>
            <w:r>
              <w:rPr>
                <w:rFonts w:hint="eastAsia"/>
                <w:color w:val="000000" w:themeColor="text1"/>
                <w:sz w:val="22"/>
                <w:lang w:val="en-US" w:eastAsia="zh-CN"/>
                <w14:textFill>
                  <w14:solidFill>
                    <w14:schemeClr w14:val="tx1"/>
                  </w14:solidFill>
                </w14:textFill>
              </w:rPr>
              <w:t>-</w:t>
            </w:r>
          </w:p>
        </w:tc>
        <w:tc>
          <w:tcPr>
            <w:tcW w:w="455" w:type="pct"/>
            <w:shd w:val="clear" w:color="auto" w:fill="auto"/>
            <w:vAlign w:val="center"/>
          </w:tcPr>
          <w:p>
            <w:pPr>
              <w:pStyle w:val="194"/>
              <w:keepNext w:val="0"/>
              <w:keepLines w:val="0"/>
              <w:widowControl w:val="0"/>
              <w:suppressLineNumbers w:val="0"/>
              <w:spacing w:beforeAutospacing="0" w:afterAutospacing="0"/>
              <w:rPr>
                <w:rFonts w:hint="eastAsia"/>
                <w:color w:val="000000" w:themeColor="text1"/>
                <w:sz w:val="22"/>
                <w14:textFill>
                  <w14:solidFill>
                    <w14:schemeClr w14:val="tx1"/>
                  </w14:solidFill>
                </w14:textFill>
              </w:rPr>
            </w:pPr>
            <w:r>
              <w:rPr>
                <w:rFonts w:hint="eastAsia"/>
                <w:color w:val="000000" w:themeColor="text1"/>
                <w:sz w:val="22"/>
                <w:lang w:val="en-US" w:eastAsia="zh-CN"/>
                <w14:textFill>
                  <w14:solidFill>
                    <w14:schemeClr w14:val="tx1"/>
                  </w14:solidFill>
                </w14:textFill>
              </w:rPr>
              <w:t>达标</w:t>
            </w:r>
          </w:p>
        </w:tc>
      </w:tr>
    </w:tbl>
    <w:p>
      <w:pPr>
        <w:pStyle w:val="1192"/>
        <w:ind w:firstLine="480"/>
      </w:pPr>
      <w:r>
        <w:rPr>
          <w:rFonts w:hint="eastAsia"/>
          <w:lang w:val="en-US" w:eastAsia="zh-CN"/>
        </w:rPr>
        <w:t>2</w:t>
      </w:r>
      <w:r>
        <w:t>、评价结果</w:t>
      </w:r>
    </w:p>
    <w:p>
      <w:pPr>
        <w:pStyle w:val="1192"/>
        <w:ind w:firstLine="480"/>
      </w:pPr>
      <w:r>
        <w:t>从监测结果看，厂址周围昼间和夜间噪声均低于标准值，满足《声环境质量标准》(GB3096－2008)中</w:t>
      </w:r>
      <w:r>
        <w:rPr>
          <w:rFonts w:hint="eastAsia"/>
          <w:lang w:val="en-US" w:eastAsia="zh-CN"/>
        </w:rPr>
        <w:t>2</w:t>
      </w:r>
      <w:r>
        <w:t>类标准要求，声环境质量良好。</w:t>
      </w:r>
    </w:p>
    <w:p>
      <w:pPr>
        <w:pStyle w:val="5"/>
        <w:spacing w:before="120" w:after="120"/>
      </w:pPr>
      <w:bookmarkStart w:id="205" w:name="_Toc353348517"/>
      <w:bookmarkStart w:id="206" w:name="_Toc358110527"/>
      <w:bookmarkStart w:id="207" w:name="_Toc312748713"/>
      <w:bookmarkStart w:id="208" w:name="_Toc369607889"/>
      <w:bookmarkStart w:id="209" w:name="_Toc320142973"/>
      <w:bookmarkStart w:id="210" w:name="_Toc27179"/>
      <w:bookmarkStart w:id="211" w:name="_Toc320142974"/>
      <w:r>
        <w:t>环境现状评价小结</w:t>
      </w:r>
      <w:bookmarkEnd w:id="205"/>
      <w:bookmarkEnd w:id="206"/>
      <w:bookmarkEnd w:id="207"/>
      <w:bookmarkEnd w:id="208"/>
      <w:bookmarkEnd w:id="209"/>
      <w:bookmarkEnd w:id="210"/>
    </w:p>
    <w:p>
      <w:pPr>
        <w:pStyle w:val="1659"/>
      </w:pPr>
      <w:r>
        <w:t>根据本次环评的现状监测，项目所在地环境质量良好：</w:t>
      </w:r>
    </w:p>
    <w:p>
      <w:pPr>
        <w:pStyle w:val="1659"/>
      </w:pPr>
      <w:r>
        <w:t>（1）环境空气质量现状：</w:t>
      </w:r>
      <w:r>
        <w:rPr>
          <w:rFonts w:hint="eastAsia" w:ascii="Times New Roman" w:cs="Times New Roman"/>
          <w:color w:val="000000"/>
          <w:sz w:val="24"/>
          <w:szCs w:val="24"/>
        </w:rPr>
        <w:t>评价</w:t>
      </w:r>
      <w:r>
        <w:rPr>
          <w:rFonts w:hint="eastAsia" w:ascii="Times New Roman" w:cs="Times New Roman"/>
          <w:color w:val="000000"/>
        </w:rPr>
        <w:t>区域各监测点位</w:t>
      </w:r>
      <w:r>
        <w:rPr>
          <w:rFonts w:ascii="Times New Roman"/>
          <w:color w:val="000000"/>
        </w:rPr>
        <w:t>NH</w:t>
      </w:r>
      <w:r>
        <w:rPr>
          <w:rFonts w:ascii="Times New Roman"/>
          <w:color w:val="000000"/>
          <w:vertAlign w:val="subscript"/>
        </w:rPr>
        <w:t>3</w:t>
      </w:r>
      <w:r>
        <w:rPr>
          <w:rFonts w:hint="eastAsia" w:ascii="Times New Roman" w:cs="Times New Roman"/>
          <w:color w:val="000000"/>
        </w:rPr>
        <w:t>、</w:t>
      </w:r>
      <w:r>
        <w:rPr>
          <w:rFonts w:ascii="Times New Roman" w:hAnsi="Times New Roman"/>
          <w:b w:val="0"/>
          <w:bCs/>
          <w:color w:val="000000"/>
          <w:szCs w:val="21"/>
        </w:rPr>
        <w:t>H</w:t>
      </w:r>
      <w:r>
        <w:rPr>
          <w:rFonts w:hint="eastAsia"/>
          <w:b w:val="0"/>
          <w:bCs/>
          <w:color w:val="000000"/>
          <w:szCs w:val="21"/>
          <w:vertAlign w:val="subscript"/>
          <w:lang w:val="en-US" w:eastAsia="zh-CN"/>
        </w:rPr>
        <w:t>2</w:t>
      </w:r>
      <w:r>
        <w:rPr>
          <w:rFonts w:hint="eastAsia"/>
          <w:b w:val="0"/>
          <w:bCs/>
          <w:color w:val="000000"/>
          <w:szCs w:val="21"/>
          <w:lang w:val="en-US" w:eastAsia="zh-CN"/>
        </w:rPr>
        <w:t>S</w:t>
      </w:r>
      <w:r>
        <w:rPr>
          <w:rFonts w:hint="eastAsia" w:ascii="Times New Roman" w:cs="Times New Roman"/>
          <w:color w:val="000000"/>
        </w:rPr>
        <w:t>浓度均满足《</w:t>
      </w:r>
      <w:r>
        <w:rPr>
          <w:rFonts w:hint="eastAsia" w:ascii="Times New Roman" w:cs="Times New Roman"/>
          <w:color w:val="000000"/>
          <w:lang w:eastAsia="zh-CN"/>
        </w:rPr>
        <w:t>环境影响评价技术导则</w:t>
      </w:r>
      <w:r>
        <w:rPr>
          <w:rFonts w:hint="eastAsia" w:ascii="Times New Roman" w:cs="Times New Roman"/>
          <w:color w:val="000000"/>
          <w:lang w:val="en-US" w:eastAsia="zh-CN"/>
        </w:rPr>
        <w:t xml:space="preserve">  大气环境</w:t>
      </w:r>
      <w:r>
        <w:rPr>
          <w:rFonts w:hint="eastAsia" w:ascii="Times New Roman" w:cs="Times New Roman"/>
          <w:color w:val="000000"/>
        </w:rPr>
        <w:t>》（</w:t>
      </w:r>
      <w:r>
        <w:rPr>
          <w:rFonts w:hint="eastAsia" w:ascii="Times New Roman" w:cs="Times New Roman"/>
          <w:color w:val="000000"/>
          <w:lang w:val="en-US" w:eastAsia="zh-CN"/>
        </w:rPr>
        <w:t>HJ2.2-2018</w:t>
      </w:r>
      <w:r>
        <w:rPr>
          <w:rFonts w:hint="eastAsia" w:ascii="Times New Roman" w:cs="Times New Roman"/>
          <w:color w:val="000000"/>
        </w:rPr>
        <w:t>）</w:t>
      </w:r>
      <w:r>
        <w:rPr>
          <w:rFonts w:hint="eastAsia" w:ascii="Times New Roman" w:cs="Times New Roman"/>
          <w:color w:val="000000"/>
          <w:lang w:eastAsia="zh-CN"/>
        </w:rPr>
        <w:t>附录</w:t>
      </w:r>
      <w:r>
        <w:rPr>
          <w:rFonts w:hint="eastAsia" w:ascii="Times New Roman" w:cs="Times New Roman"/>
          <w:color w:val="000000"/>
          <w:lang w:val="en-US" w:eastAsia="zh-CN"/>
        </w:rPr>
        <w:t>D</w:t>
      </w:r>
      <w:r>
        <w:rPr>
          <w:rFonts w:hint="eastAsia" w:ascii="Times New Roman" w:cs="Times New Roman"/>
          <w:color w:val="000000"/>
        </w:rPr>
        <w:t>限值要求</w:t>
      </w:r>
      <w:r>
        <w:rPr>
          <w:rFonts w:hint="eastAsia" w:ascii="Times New Roman" w:cs="Times New Roman"/>
          <w:color w:val="000000"/>
          <w:lang w:eastAsia="zh-CN"/>
        </w:rPr>
        <w:t>，区域环境空气质量较好</w:t>
      </w:r>
      <w:r>
        <w:rPr>
          <w:rFonts w:hint="eastAsia" w:ascii="Times New Roman" w:cs="Times New Roman"/>
          <w:color w:val="000000"/>
        </w:rPr>
        <w:t>。</w:t>
      </w:r>
    </w:p>
    <w:p>
      <w:pPr>
        <w:pStyle w:val="1659"/>
      </w:pPr>
      <w:r>
        <w:rPr>
          <w:szCs w:val="24"/>
        </w:rPr>
        <w:t>（2）</w:t>
      </w:r>
      <w:r>
        <w:rPr>
          <w:rFonts w:hint="eastAsia"/>
          <w:lang w:eastAsia="zh-CN"/>
        </w:rPr>
        <w:t>地表水质量现状：</w:t>
      </w:r>
      <w:r>
        <w:t>各监测断面监测因子的监测值均满足《地表水环境质量标准》（GB3838-2002）中的Ⅲ类标准，项目评价范围内地表水环境质量较好。</w:t>
      </w:r>
    </w:p>
    <w:p>
      <w:pPr>
        <w:pStyle w:val="1659"/>
        <w:rPr>
          <w:snapToGrid w:val="0"/>
          <w:kern w:val="0"/>
        </w:rPr>
      </w:pPr>
      <w:r>
        <w:t>（</w:t>
      </w:r>
      <w:r>
        <w:rPr>
          <w:rFonts w:hint="eastAsia"/>
          <w:lang w:val="en-US" w:eastAsia="zh-CN"/>
        </w:rPr>
        <w:t>3</w:t>
      </w:r>
      <w:r>
        <w:t>）地下水环境质量现状：地下水泉点监测数据可知，监测因子均能满足《地下水质量标准》（GB/T14848-2017）中的 III 类水体标准限值的要求。</w:t>
      </w:r>
    </w:p>
    <w:p>
      <w:pPr>
        <w:pStyle w:val="1659"/>
      </w:pPr>
      <w:r>
        <w:t>（</w:t>
      </w:r>
      <w:r>
        <w:rPr>
          <w:rFonts w:hint="eastAsia"/>
          <w:lang w:val="en-US" w:eastAsia="zh-CN"/>
        </w:rPr>
        <w:t>4</w:t>
      </w:r>
      <w:r>
        <w:t>）声环境质量现状：厂址周围昼间和夜间噪声均低于标准值，满足《声环境质量标准》(GB3096－2008)中</w:t>
      </w:r>
      <w:r>
        <w:rPr>
          <w:rFonts w:hint="eastAsia"/>
          <w:lang w:val="en-US" w:eastAsia="zh-CN"/>
        </w:rPr>
        <w:t>2</w:t>
      </w:r>
      <w:r>
        <w:t>类标准要求，声环境质量良好。</w:t>
      </w:r>
    </w:p>
    <w:p>
      <w:pPr>
        <w:pStyle w:val="1659"/>
        <w:rPr>
          <w:rFonts w:hint="eastAsia" w:eastAsia="宋体"/>
          <w:lang w:eastAsia="zh-CN"/>
        </w:rPr>
      </w:pPr>
    </w:p>
    <w:p>
      <w:pPr>
        <w:pStyle w:val="1659"/>
      </w:pPr>
    </w:p>
    <w:p>
      <w:pPr>
        <w:widowControl/>
        <w:jc w:val="left"/>
      </w:pPr>
      <w:r>
        <w:br w:type="page"/>
      </w:r>
    </w:p>
    <w:p>
      <w:pPr>
        <w:pStyle w:val="4"/>
        <w:spacing w:before="240" w:after="240"/>
      </w:pPr>
      <w:bookmarkStart w:id="212" w:name="_Toc14551"/>
      <w:r>
        <w:t>施工期的环境影响分析</w:t>
      </w:r>
      <w:bookmarkEnd w:id="211"/>
      <w:bookmarkEnd w:id="212"/>
    </w:p>
    <w:p>
      <w:pPr>
        <w:spacing w:line="360" w:lineRule="auto"/>
        <w:ind w:firstLine="480" w:firstLineChars="200"/>
        <w:rPr>
          <w:sz w:val="24"/>
          <w:lang w:val="zh-CN"/>
        </w:rPr>
      </w:pPr>
      <w:r>
        <w:rPr>
          <w:bCs/>
          <w:sz w:val="24"/>
        </w:rPr>
        <w:t>本项目所在地块为待建空地，场地</w:t>
      </w:r>
      <w:r>
        <w:rPr>
          <w:rFonts w:hint="eastAsia"/>
          <w:bCs/>
          <w:sz w:val="24"/>
          <w:lang w:eastAsia="zh-CN"/>
        </w:rPr>
        <w:t>存在一定的高差</w:t>
      </w:r>
      <w:r>
        <w:rPr>
          <w:bCs/>
          <w:sz w:val="24"/>
        </w:rPr>
        <w:t>，无建筑物。本项目施工作业包括土建工程、机电设备安装、调试及运转等。在此过程中，</w:t>
      </w:r>
      <w:r>
        <w:rPr>
          <w:sz w:val="24"/>
          <w:lang w:val="zh-CN"/>
        </w:rPr>
        <w:t>各项施工、运输活动将不可避免地产生废气、废水、噪声、固体废弃物等，对周围环境造成影响，其中以施工噪声和施工扬尘最为突出。本章将对这些污染及环境影响进行分析，并提出相应的防治措施。</w:t>
      </w:r>
    </w:p>
    <w:p>
      <w:pPr>
        <w:pStyle w:val="5"/>
        <w:spacing w:before="120" w:after="120"/>
      </w:pPr>
      <w:bookmarkStart w:id="213" w:name="_Toc320142976"/>
      <w:bookmarkStart w:id="214" w:name="_Toc6122"/>
      <w:r>
        <w:t>施工期大气环境影响分析及防治措施</w:t>
      </w:r>
      <w:bookmarkEnd w:id="213"/>
      <w:bookmarkEnd w:id="214"/>
    </w:p>
    <w:p>
      <w:pPr>
        <w:pStyle w:val="153"/>
        <w:spacing w:line="360" w:lineRule="auto"/>
        <w:ind w:firstLine="480"/>
        <w:rPr>
          <w:color w:val="auto"/>
        </w:rPr>
      </w:pPr>
      <w:r>
        <w:rPr>
          <w:color w:val="auto"/>
        </w:rPr>
        <w:t>1、废气污染源</w:t>
      </w:r>
    </w:p>
    <w:p>
      <w:pPr>
        <w:pStyle w:val="153"/>
        <w:spacing w:line="360" w:lineRule="auto"/>
        <w:ind w:firstLine="480"/>
        <w:rPr>
          <w:color w:val="auto"/>
        </w:rPr>
      </w:pPr>
      <w:r>
        <w:rPr>
          <w:color w:val="auto"/>
        </w:rPr>
        <w:t>根据工程分析，施工期间的废气主要是扬尘、施工机械及运输车辆排放的废气，各项废气污染物对环境的影响分析如下：</w:t>
      </w:r>
    </w:p>
    <w:p>
      <w:pPr>
        <w:pStyle w:val="153"/>
        <w:spacing w:line="360" w:lineRule="auto"/>
        <w:ind w:firstLine="480"/>
        <w:rPr>
          <w:color w:val="auto"/>
        </w:rPr>
      </w:pPr>
      <w:r>
        <w:rPr>
          <w:color w:val="auto"/>
        </w:rPr>
        <w:t>（1）扬尘</w:t>
      </w:r>
    </w:p>
    <w:p>
      <w:pPr>
        <w:pStyle w:val="153"/>
        <w:spacing w:line="360" w:lineRule="auto"/>
        <w:ind w:firstLine="480"/>
        <w:rPr>
          <w:color w:val="auto"/>
        </w:rPr>
      </w:pPr>
      <w:r>
        <w:rPr>
          <w:color w:val="auto"/>
        </w:rPr>
        <w:fldChar w:fldCharType="begin"/>
      </w:r>
      <w:r>
        <w:rPr>
          <w:color w:val="auto"/>
        </w:rPr>
        <w:instrText xml:space="preserve"> = 1 \* GB3 </w:instrText>
      </w:r>
      <w:r>
        <w:rPr>
          <w:color w:val="auto"/>
        </w:rPr>
        <w:fldChar w:fldCharType="separate"/>
      </w:r>
      <w:r>
        <w:rPr>
          <w:rFonts w:hint="eastAsia"/>
          <w:color w:val="auto"/>
        </w:rPr>
        <w:t>①</w:t>
      </w:r>
      <w:r>
        <w:rPr>
          <w:color w:val="auto"/>
        </w:rPr>
        <w:fldChar w:fldCharType="end"/>
      </w:r>
      <w:r>
        <w:rPr>
          <w:color w:val="auto"/>
        </w:rPr>
        <w:t xml:space="preserve"> 施工地表开挖、物料的堆放、装卸过程产生的扬尘。</w:t>
      </w:r>
    </w:p>
    <w:p>
      <w:pPr>
        <w:pStyle w:val="153"/>
        <w:spacing w:line="360" w:lineRule="auto"/>
        <w:ind w:firstLine="480"/>
        <w:rPr>
          <w:color w:val="auto"/>
        </w:rPr>
      </w:pPr>
      <w:r>
        <w:rPr>
          <w:color w:val="auto"/>
        </w:rPr>
        <w:t>扬尘是施工期间影响环境空气的主要大气污染物，主要来源于地表开挖、场地清理和物料运输过程。扬尘排放方式主要为无组织间歇性排放，其产生量受风向、风速和空气湿度等气象条件的影响。据类比资料，一般气象条件下，平均风速2.8m/s，建筑工地的TSP浓度为其上风向的2-2.5倍，建筑施工扬尘的影响范围在其下风向可达150m，影响范围内的TSP的浓度均值可达0.49mg/m</w:t>
      </w:r>
      <w:r>
        <w:rPr>
          <w:color w:val="auto"/>
          <w:vertAlign w:val="superscript"/>
        </w:rPr>
        <w:t>3</w:t>
      </w:r>
      <w:r>
        <w:rPr>
          <w:color w:val="auto"/>
        </w:rPr>
        <w:t>，相当于空气质量标准(二级标准)的1.6倍。当有围栏时，在同等条件下，其影响距离可缩短40％，即60m。</w:t>
      </w:r>
    </w:p>
    <w:p>
      <w:pPr>
        <w:pStyle w:val="153"/>
        <w:spacing w:line="360" w:lineRule="auto"/>
        <w:ind w:firstLine="480"/>
        <w:rPr>
          <w:color w:val="auto"/>
        </w:rPr>
      </w:pPr>
      <w:r>
        <w:rPr>
          <w:color w:val="auto"/>
        </w:rPr>
        <w:t>施工期所产生的各类扬尘源均属于瞬时源，排放的高度都比较低，粉尘颗粒也比较大，污染扩散的距离不会很远，如采取遮盖、围墙等防尘措施，其影响主要在施工场地附近50m左右范围内，主要对施工人员影响较大。为了减少扬尘，车辆经常过往的道路要保持路面平坦、清洁，并经常洒水；散装物料在装卸、运输过程中要防止撒落；露天堆场要苫盖，以尽量减少施工扬尘对环境的影响。</w:t>
      </w:r>
    </w:p>
    <w:p>
      <w:pPr>
        <w:pStyle w:val="153"/>
        <w:spacing w:line="360" w:lineRule="auto"/>
        <w:ind w:firstLine="480"/>
        <w:rPr>
          <w:color w:val="auto"/>
        </w:rPr>
      </w:pPr>
      <w:r>
        <w:rPr>
          <w:color w:val="auto"/>
        </w:rPr>
        <w:fldChar w:fldCharType="begin"/>
      </w:r>
      <w:r>
        <w:rPr>
          <w:color w:val="auto"/>
        </w:rPr>
        <w:instrText xml:space="preserve"> = 2 \* GB3 </w:instrText>
      </w:r>
      <w:r>
        <w:rPr>
          <w:color w:val="auto"/>
        </w:rPr>
        <w:fldChar w:fldCharType="separate"/>
      </w:r>
      <w:r>
        <w:rPr>
          <w:rFonts w:hint="eastAsia"/>
          <w:color w:val="auto"/>
        </w:rPr>
        <w:t>②</w:t>
      </w:r>
      <w:r>
        <w:rPr>
          <w:color w:val="auto"/>
        </w:rPr>
        <w:fldChar w:fldCharType="end"/>
      </w:r>
      <w:r>
        <w:rPr>
          <w:color w:val="auto"/>
        </w:rPr>
        <w:t>建筑物料的运输造成的道路扬尘</w:t>
      </w:r>
    </w:p>
    <w:p>
      <w:pPr>
        <w:pStyle w:val="153"/>
        <w:spacing w:line="360" w:lineRule="auto"/>
        <w:ind w:firstLine="480"/>
        <w:rPr>
          <w:color w:val="auto"/>
        </w:rPr>
      </w:pPr>
      <w:r>
        <w:rPr>
          <w:color w:val="auto"/>
        </w:rPr>
        <w:t>施工期间物料运输车辆行驶运输过程中也会产生大量扬尘。车辆行驶产生的扬尘，在完全干燥情况下，可按下列经验公式计算：</w:t>
      </w:r>
    </w:p>
    <w:p>
      <w:pPr>
        <w:pStyle w:val="153"/>
        <w:spacing w:line="360" w:lineRule="auto"/>
        <w:ind w:firstLine="480"/>
        <w:rPr>
          <w:color w:val="auto"/>
        </w:rPr>
      </w:pPr>
      <w:r>
        <w:rPr>
          <w:color w:val="auto"/>
        </w:rPr>
        <w:object>
          <v:shape id="_x0000_i1026" o:spt="75" type="#_x0000_t75" style="height:19.5pt;width:177pt;" o:ole="t" fillcolor="#6D6D6D" filled="f" o:preferrelative="t" stroked="f" coordsize="21600,21600">
            <v:path/>
            <v:fill on="f" focussize="0,0"/>
            <v:stroke on="f"/>
            <v:imagedata r:id="rId23" o:title=""/>
            <o:lock v:ext="edit" aspectratio="t"/>
            <w10:wrap type="none"/>
            <w10:anchorlock/>
          </v:shape>
          <o:OLEObject Type="Embed" ProgID="Equation.3" ShapeID="_x0000_i1026" DrawAspect="Content" ObjectID="_1468075726" r:id="rId22">
            <o:LockedField>false</o:LockedField>
          </o:OLEObject>
        </w:object>
      </w:r>
    </w:p>
    <w:p>
      <w:pPr>
        <w:pStyle w:val="153"/>
        <w:spacing w:line="360" w:lineRule="auto"/>
        <w:ind w:firstLine="480"/>
        <w:rPr>
          <w:color w:val="auto"/>
        </w:rPr>
      </w:pPr>
      <w:r>
        <w:rPr>
          <w:color w:val="auto"/>
        </w:rPr>
        <w:t>式中：Q——汽车行驶的扬尘，kg/km·辆；</w:t>
      </w:r>
    </w:p>
    <w:p>
      <w:pPr>
        <w:pStyle w:val="153"/>
        <w:spacing w:line="360" w:lineRule="auto"/>
        <w:ind w:firstLine="480"/>
        <w:rPr>
          <w:color w:val="auto"/>
        </w:rPr>
      </w:pPr>
      <w:r>
        <w:rPr>
          <w:color w:val="auto"/>
        </w:rPr>
        <w:t xml:space="preserve">      V——汽车速度，km/h；</w:t>
      </w:r>
    </w:p>
    <w:p>
      <w:pPr>
        <w:pStyle w:val="153"/>
        <w:spacing w:line="360" w:lineRule="auto"/>
        <w:ind w:firstLine="480"/>
        <w:rPr>
          <w:color w:val="auto"/>
        </w:rPr>
      </w:pPr>
      <w:r>
        <w:rPr>
          <w:color w:val="auto"/>
        </w:rPr>
        <w:t xml:space="preserve">      W——汽车载重量，t；</w:t>
      </w:r>
    </w:p>
    <w:p>
      <w:pPr>
        <w:pStyle w:val="153"/>
        <w:spacing w:line="360" w:lineRule="auto"/>
        <w:ind w:firstLine="480"/>
        <w:rPr>
          <w:color w:val="auto"/>
        </w:rPr>
      </w:pPr>
      <w:r>
        <w:rPr>
          <w:color w:val="auto"/>
        </w:rPr>
        <w:t xml:space="preserve">      P——道路表面粉尘量，kg/m</w:t>
      </w:r>
      <w:r>
        <w:rPr>
          <w:color w:val="auto"/>
          <w:vertAlign w:val="superscript"/>
        </w:rPr>
        <w:t>2</w:t>
      </w:r>
      <w:r>
        <w:rPr>
          <w:color w:val="auto"/>
        </w:rPr>
        <w:t>。</w:t>
      </w:r>
    </w:p>
    <w:p>
      <w:pPr>
        <w:pStyle w:val="153"/>
        <w:spacing w:line="360" w:lineRule="auto"/>
        <w:ind w:firstLine="480"/>
        <w:rPr>
          <w:color w:val="auto"/>
        </w:rPr>
      </w:pPr>
      <w:r>
        <w:rPr>
          <w:color w:val="auto"/>
        </w:rPr>
        <w:t>表5.1-1为一辆10t卡车，通过一段长度为1km的路面时，不同路面清洁程度，不同行驶速度情况下的扬尘量。</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 xml:space="preserve">表 </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5.1</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SEQ 表 \* ARABIC \s 2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1</w:t>
      </w:r>
      <w:r>
        <w:rPr>
          <w:rFonts w:ascii="Times New Roman" w:hAnsi="Times New Roman" w:eastAsia="宋体" w:cs="Times New Roman"/>
          <w:snapToGrid/>
          <w:kern w:val="2"/>
          <w:sz w:val="21"/>
          <w:szCs w:val="21"/>
        </w:rPr>
        <w:fldChar w:fldCharType="end"/>
      </w:r>
      <w:r>
        <w:rPr>
          <w:rFonts w:hint="eastAsia" w:ascii="Times New Roman" w:hAnsi="Times New Roman" w:eastAsia="宋体" w:cs="Times New Roman"/>
          <w:snapToGrid/>
          <w:kern w:val="2"/>
          <w:sz w:val="21"/>
          <w:szCs w:val="21"/>
          <w:lang w:val="en-US" w:eastAsia="zh-CN"/>
        </w:rPr>
        <w:t xml:space="preserve">  </w:t>
      </w:r>
      <w:r>
        <w:rPr>
          <w:rFonts w:ascii="Times New Roman" w:hAnsi="Times New Roman" w:eastAsia="宋体" w:cs="Times New Roman"/>
          <w:snapToGrid/>
          <w:kern w:val="2"/>
          <w:sz w:val="21"/>
          <w:szCs w:val="21"/>
        </w:rPr>
        <w:t>在不同车速和地面清洁程度的汽车扬尘 单位：kg/辆·km</w:t>
      </w:r>
    </w:p>
    <w:tbl>
      <w:tblPr>
        <w:tblStyle w:val="88"/>
        <w:tblW w:w="8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9"/>
        <w:gridCol w:w="1146"/>
        <w:gridCol w:w="1024"/>
        <w:gridCol w:w="1024"/>
        <w:gridCol w:w="1024"/>
        <w:gridCol w:w="1042"/>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9" w:type="dxa"/>
            <w:tcBorders>
              <w:top w:val="single" w:color="auto" w:sz="4" w:space="0"/>
              <w:left w:val="single" w:color="auto" w:sz="4" w:space="0"/>
              <w:bottom w:val="single" w:color="auto" w:sz="4" w:space="0"/>
              <w:tl2br w:val="single" w:color="auto" w:sz="4" w:space="0"/>
            </w:tcBorders>
            <w:vAlign w:val="center"/>
          </w:tcPr>
          <w:p>
            <w:pPr>
              <w:jc w:val="right"/>
              <w:rPr>
                <w:rFonts w:ascii="Times New Roman" w:hAnsi="Times New Roman" w:cs="Times New Roman"/>
                <w:color w:val="000000"/>
                <w:sz w:val="21"/>
                <w:szCs w:val="21"/>
              </w:rPr>
            </w:pPr>
            <w:r>
              <w:rPr>
                <w:rFonts w:ascii="Times New Roman" w:hAnsi="Times New Roman" w:cs="Times New Roman"/>
                <w:color w:val="000000"/>
                <w:sz w:val="21"/>
                <w:szCs w:val="21"/>
              </w:rPr>
              <w:t>P(kg/m</w:t>
            </w:r>
            <w:r>
              <w:rPr>
                <w:rFonts w:ascii="Times New Roman" w:hAnsi="Times New Roman" w:cs="Times New Roman"/>
                <w:color w:val="000000"/>
                <w:sz w:val="21"/>
                <w:szCs w:val="21"/>
                <w:vertAlign w:val="superscript"/>
              </w:rPr>
              <w:t>2</w:t>
            </w:r>
            <w:r>
              <w:rPr>
                <w:rFonts w:ascii="Times New Roman" w:hAnsi="Times New Roman" w:cs="Times New Roman"/>
                <w:color w:val="000000"/>
                <w:sz w:val="21"/>
                <w:szCs w:val="21"/>
              </w:rPr>
              <w:t>)</w:t>
            </w:r>
          </w:p>
          <w:p>
            <w:pPr>
              <w:jc w:val="left"/>
              <w:rPr>
                <w:rFonts w:ascii="Times New Roman" w:hAnsi="Times New Roman" w:cs="Times New Roman"/>
                <w:color w:val="000000"/>
                <w:sz w:val="21"/>
                <w:szCs w:val="21"/>
              </w:rPr>
            </w:pPr>
            <w:r>
              <w:rPr>
                <w:rFonts w:ascii="Times New Roman" w:hAnsi="Times New Roman" w:cs="Times New Roman"/>
                <w:color w:val="000000"/>
                <w:sz w:val="21"/>
                <w:szCs w:val="21"/>
              </w:rPr>
              <w:t>车速(km/h)</w:t>
            </w:r>
          </w:p>
        </w:tc>
        <w:tc>
          <w:tcPr>
            <w:tcW w:w="1146" w:type="dxa"/>
            <w:tcBorders>
              <w:top w:val="single" w:color="auto" w:sz="4" w:space="0"/>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w:t>
            </w:r>
          </w:p>
        </w:tc>
        <w:tc>
          <w:tcPr>
            <w:tcW w:w="1024" w:type="dxa"/>
            <w:tcBorders>
              <w:top w:val="single" w:color="auto" w:sz="4" w:space="0"/>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0.2</w:t>
            </w:r>
          </w:p>
        </w:tc>
        <w:tc>
          <w:tcPr>
            <w:tcW w:w="1024" w:type="dxa"/>
            <w:tcBorders>
              <w:top w:val="single" w:color="auto" w:sz="4" w:space="0"/>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0.3</w:t>
            </w:r>
          </w:p>
        </w:tc>
        <w:tc>
          <w:tcPr>
            <w:tcW w:w="1024" w:type="dxa"/>
            <w:tcBorders>
              <w:top w:val="single" w:color="auto" w:sz="4" w:space="0"/>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0.4</w:t>
            </w:r>
          </w:p>
        </w:tc>
        <w:tc>
          <w:tcPr>
            <w:tcW w:w="1042" w:type="dxa"/>
            <w:tcBorders>
              <w:top w:val="single" w:color="auto" w:sz="4" w:space="0"/>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w:t>
            </w:r>
          </w:p>
        </w:tc>
        <w:tc>
          <w:tcPr>
            <w:tcW w:w="1022" w:type="dxa"/>
            <w:tcBorders>
              <w:top w:val="single" w:color="auto" w:sz="4" w:space="0"/>
              <w:bottom w:val="single" w:color="auto" w:sz="4" w:space="0"/>
              <w:righ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9" w:type="dxa"/>
            <w:tcBorders>
              <w:top w:val="single" w:color="auto" w:sz="4" w:space="0"/>
              <w:lef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146" w:type="dxa"/>
            <w:tcBorders>
              <w:top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0.051056</w:t>
            </w:r>
          </w:p>
        </w:tc>
        <w:tc>
          <w:tcPr>
            <w:tcW w:w="1024" w:type="dxa"/>
            <w:tcBorders>
              <w:top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0.085865</w:t>
            </w:r>
          </w:p>
        </w:tc>
        <w:tc>
          <w:tcPr>
            <w:tcW w:w="1024" w:type="dxa"/>
            <w:tcBorders>
              <w:top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0.116382</w:t>
            </w:r>
          </w:p>
        </w:tc>
        <w:tc>
          <w:tcPr>
            <w:tcW w:w="1024" w:type="dxa"/>
            <w:tcBorders>
              <w:top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0.144408</w:t>
            </w:r>
          </w:p>
        </w:tc>
        <w:tc>
          <w:tcPr>
            <w:tcW w:w="1042" w:type="dxa"/>
            <w:tcBorders>
              <w:top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0.170715</w:t>
            </w:r>
          </w:p>
        </w:tc>
        <w:tc>
          <w:tcPr>
            <w:tcW w:w="1022" w:type="dxa"/>
            <w:tcBorders>
              <w:top w:val="single" w:color="auto" w:sz="4" w:space="0"/>
              <w:righ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0.287108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9" w:type="dxa"/>
            <w:tcBorders>
              <w:lef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114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0.102112</w:t>
            </w:r>
          </w:p>
        </w:tc>
        <w:tc>
          <w:tcPr>
            <w:tcW w:w="102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0.171731</w:t>
            </w:r>
          </w:p>
        </w:tc>
        <w:tc>
          <w:tcPr>
            <w:tcW w:w="102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0.232764</w:t>
            </w:r>
          </w:p>
        </w:tc>
        <w:tc>
          <w:tcPr>
            <w:tcW w:w="102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0.288815</w:t>
            </w:r>
          </w:p>
        </w:tc>
        <w:tc>
          <w:tcPr>
            <w:tcW w:w="1042"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0.341431</w:t>
            </w:r>
          </w:p>
        </w:tc>
        <w:tc>
          <w:tcPr>
            <w:tcW w:w="1022" w:type="dxa"/>
            <w:tcBorders>
              <w:righ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0.574216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9" w:type="dxa"/>
            <w:tcBorders>
              <w:lef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146"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0.153167</w:t>
            </w:r>
          </w:p>
        </w:tc>
        <w:tc>
          <w:tcPr>
            <w:tcW w:w="102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0.257596</w:t>
            </w:r>
          </w:p>
        </w:tc>
        <w:tc>
          <w:tcPr>
            <w:tcW w:w="102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0.349146</w:t>
            </w:r>
          </w:p>
        </w:tc>
        <w:tc>
          <w:tcPr>
            <w:tcW w:w="1024"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0.433223</w:t>
            </w:r>
          </w:p>
        </w:tc>
        <w:tc>
          <w:tcPr>
            <w:tcW w:w="1042" w:type="dxa"/>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0.512146</w:t>
            </w:r>
          </w:p>
        </w:tc>
        <w:tc>
          <w:tcPr>
            <w:tcW w:w="1022" w:type="dxa"/>
            <w:tcBorders>
              <w:righ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0.861323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9" w:type="dxa"/>
            <w:tcBorders>
              <w:left w:val="single" w:color="auto" w:sz="4" w:space="0"/>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25</w:t>
            </w:r>
          </w:p>
        </w:tc>
        <w:tc>
          <w:tcPr>
            <w:tcW w:w="1146" w:type="dxa"/>
            <w:tcBorders>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0.255279</w:t>
            </w:r>
          </w:p>
        </w:tc>
        <w:tc>
          <w:tcPr>
            <w:tcW w:w="1024" w:type="dxa"/>
            <w:tcBorders>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0.429326</w:t>
            </w:r>
          </w:p>
        </w:tc>
        <w:tc>
          <w:tcPr>
            <w:tcW w:w="1024" w:type="dxa"/>
            <w:tcBorders>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0.58191</w:t>
            </w:r>
          </w:p>
        </w:tc>
        <w:tc>
          <w:tcPr>
            <w:tcW w:w="1024" w:type="dxa"/>
            <w:tcBorders>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0.722038</w:t>
            </w:r>
          </w:p>
        </w:tc>
        <w:tc>
          <w:tcPr>
            <w:tcW w:w="1042" w:type="dxa"/>
            <w:tcBorders>
              <w:bottom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0.853577</w:t>
            </w:r>
          </w:p>
        </w:tc>
        <w:tc>
          <w:tcPr>
            <w:tcW w:w="1022" w:type="dxa"/>
            <w:tcBorders>
              <w:bottom w:val="single" w:color="auto" w:sz="4" w:space="0"/>
              <w:right w:val="single" w:color="auto" w:sz="4" w:space="0"/>
            </w:tcBorders>
            <w:vAlign w:val="center"/>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t>1.435539</w:t>
            </w:r>
          </w:p>
        </w:tc>
      </w:tr>
    </w:tbl>
    <w:p>
      <w:pPr>
        <w:pStyle w:val="153"/>
        <w:spacing w:line="360" w:lineRule="auto"/>
        <w:ind w:firstLine="480"/>
        <w:rPr>
          <w:color w:val="auto"/>
        </w:rPr>
      </w:pPr>
      <w:r>
        <w:rPr>
          <w:color w:val="auto"/>
        </w:rPr>
        <w:t>由此可见，在同样路面清洁程度条件下，车速越快，扬尘量越大；而在同样车速情况下，路面越脏，则扬尘量越大。</w:t>
      </w:r>
    </w:p>
    <w:p>
      <w:pPr>
        <w:pStyle w:val="153"/>
        <w:spacing w:line="360" w:lineRule="auto"/>
        <w:ind w:firstLine="480"/>
        <w:rPr>
          <w:color w:val="auto"/>
        </w:rPr>
      </w:pPr>
      <w:r>
        <w:rPr>
          <w:rFonts w:hint="eastAsia"/>
          <w:color w:val="auto"/>
          <w:lang w:eastAsia="zh-CN"/>
        </w:rPr>
        <w:t>（</w:t>
      </w:r>
      <w:r>
        <w:rPr>
          <w:color w:val="auto"/>
        </w:rPr>
        <w:t>2</w:t>
      </w:r>
      <w:r>
        <w:rPr>
          <w:rFonts w:hint="eastAsia"/>
          <w:color w:val="auto"/>
          <w:lang w:eastAsia="zh-CN"/>
        </w:rPr>
        <w:t>）</w:t>
      </w:r>
      <w:r>
        <w:rPr>
          <w:color w:val="auto"/>
        </w:rPr>
        <w:t>运输车辆排放的废气</w:t>
      </w:r>
    </w:p>
    <w:p>
      <w:pPr>
        <w:pStyle w:val="153"/>
        <w:spacing w:line="360" w:lineRule="auto"/>
        <w:ind w:firstLine="480"/>
        <w:rPr>
          <w:color w:val="auto"/>
        </w:rPr>
      </w:pPr>
      <w:r>
        <w:rPr>
          <w:color w:val="auto"/>
        </w:rPr>
        <w:t>施工机械和汽车运输时所排放的尾气，主要对作业点周围和运输路线两侧局部范围产生一定影响。由于汽车运输时产生的尾气排放量不大，且排放尾气很快即被室外空气流稀释，所以对当地环境空气质量造成影响轻微。</w:t>
      </w:r>
    </w:p>
    <w:p>
      <w:pPr>
        <w:pStyle w:val="153"/>
        <w:spacing w:line="360" w:lineRule="auto"/>
        <w:ind w:firstLine="480"/>
        <w:rPr>
          <w:color w:val="auto"/>
        </w:rPr>
      </w:pPr>
      <w:r>
        <w:rPr>
          <w:color w:val="auto"/>
        </w:rPr>
        <w:t>2、拟采取的废气治理措施</w:t>
      </w:r>
    </w:p>
    <w:p>
      <w:pPr>
        <w:pStyle w:val="153"/>
        <w:spacing w:line="360" w:lineRule="auto"/>
        <w:ind w:firstLine="480"/>
        <w:rPr>
          <w:color w:val="auto"/>
        </w:rPr>
      </w:pPr>
      <w:r>
        <w:rPr>
          <w:color w:val="auto"/>
        </w:rPr>
        <w:t>针对施工期废气污染，本次环评建议采取的措施主要有：</w:t>
      </w:r>
    </w:p>
    <w:p>
      <w:pPr>
        <w:pStyle w:val="153"/>
        <w:spacing w:line="360" w:lineRule="auto"/>
        <w:ind w:firstLine="48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施工扬尘和运输扬尘采取的措施</w:t>
      </w:r>
    </w:p>
    <w:p>
      <w:pPr>
        <w:pStyle w:val="153"/>
        <w:spacing w:line="360" w:lineRule="auto"/>
        <w:ind w:firstLine="480"/>
        <w:rPr>
          <w:color w:val="auto"/>
        </w:rPr>
      </w:pPr>
      <w:r>
        <w:rPr>
          <w:color w:val="auto"/>
        </w:rPr>
        <w:t>施工场地要设置围挡，风速5m/s以上大风天气停止施工；主要运输道路进行硬化，防止扬尘。所有临时道路均需清洁、湿润，并加强管理，使运输车辆尽可能减缓行驶速度；工程对汽车运输道路、厂区及物料堆场等无组织扬尘点拟定期进行洒水降尘，并在物料堆放、装卸过程中尽量降低落差，加强原辅材料调度管理。尽可能使用商品混凝土，若不得不现场搅拌时，水泥库房和搅拌站应封闭；运输车辆出场时必须使用毡布覆盖，避免在运输过程中的抛洒现象；建材堆放点要相对集中，并采取一定的防尘措施，抑制扬尘量；在施工场地出口放置防尘垫，对运输车辆现场需设置洗车场，用水清洗车体和轮胎。土料合理布局规划，弃土运至城建部门指定的地点。土料装卸过程会产生一定的扬尘，因此采取对土料进行洒水的方式抑尘，但洒水不宜过多防止运输过程中泥浆滴漏，影响运输沿线的卫生。</w:t>
      </w:r>
    </w:p>
    <w:p>
      <w:pPr>
        <w:pStyle w:val="153"/>
        <w:spacing w:line="360" w:lineRule="auto"/>
        <w:ind w:firstLine="480"/>
        <w:rPr>
          <w:color w:val="auto"/>
        </w:rPr>
      </w:pPr>
      <w:r>
        <w:rPr>
          <w:color w:val="auto"/>
        </w:rPr>
        <w:t>本项目施工期的运输物料以固体为主，其中包括袋装的水泥和散装水泥，袋装水泥产生的扬尘较小。如遇大风天应加盖苫布进行遮盖，避免产生扬尘。散装水泥运输过程中要使用罐车，进出工地的其他物料、垃圾运输车辆，应尽可能采用密闭车斗，并保证物料不遗撒外漏。若无密闭车斗，物料、垃圾、渣土的装载高度不得超过车辆槽帮上沿，车斗应用苫布遮盖严实。苫布边缘至少要遮住槽帮上沿以下15厘米，保证物料、渣土、垃圾等不露出，避免产生扬尘。车辆驶离工地前，应在洗车平台清。洗轮胎及车身，不得带泥上路。车辆应按照批准的路线和时间进行物料、渣土、垃圾的运输。</w:t>
      </w:r>
    </w:p>
    <w:p>
      <w:pPr>
        <w:pStyle w:val="153"/>
        <w:spacing w:line="360" w:lineRule="auto"/>
        <w:ind w:firstLine="480"/>
        <w:rPr>
          <w:color w:val="auto"/>
        </w:rPr>
      </w:pPr>
      <w:r>
        <w:rPr>
          <w:color w:val="auto"/>
        </w:rPr>
        <w:t>对物料的大量运输，运输路线首选尽量避开居民密集区的道路，尽量避开当地上下班高峰时间。施工工地内及工地出口至市政道路间的车行道路，应保持清洁，可采取铺设钢板、铺设混凝土路面方式，辅以洒水、喷洒抑尘剂，防止机动车扬尘。限制运输物料车辆进入施工现场的车速。最大限度地减轻运输过程对沿线的粉尘污染。</w:t>
      </w:r>
    </w:p>
    <w:p>
      <w:pPr>
        <w:pStyle w:val="153"/>
        <w:spacing w:line="360" w:lineRule="auto"/>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施工机械、运输车辆排放的废气防治措施</w:t>
      </w:r>
    </w:p>
    <w:p>
      <w:pPr>
        <w:pStyle w:val="153"/>
        <w:spacing w:line="360" w:lineRule="auto"/>
        <w:ind w:firstLine="480"/>
        <w:rPr>
          <w:color w:val="auto"/>
        </w:rPr>
      </w:pPr>
      <w:r>
        <w:rPr>
          <w:color w:val="auto"/>
        </w:rPr>
        <w:t>采用排放达标的设备和车辆，加强对机械设备和车辆的维护保养，使之处于良好的运行状态，使用合格的油品，尽量减少设备和车辆空转空驶。</w:t>
      </w:r>
    </w:p>
    <w:p>
      <w:pPr>
        <w:pStyle w:val="153"/>
        <w:spacing w:line="360" w:lineRule="auto"/>
        <w:ind w:firstLine="480"/>
        <w:rPr>
          <w:color w:val="auto"/>
        </w:rPr>
      </w:pPr>
      <w:r>
        <w:rPr>
          <w:color w:val="auto"/>
        </w:rPr>
        <w:t>综上所述，本工程施工期的废气污染均采取了相应的控制及治理措施，根据类比资料，可以达到较好的控制效果，通过加强管理，本工程施工期的废气对周围环境影响不大。</w:t>
      </w:r>
    </w:p>
    <w:p>
      <w:pPr>
        <w:pStyle w:val="5"/>
        <w:spacing w:before="120" w:after="120"/>
      </w:pPr>
      <w:bookmarkStart w:id="215" w:name="_Toc320142977"/>
      <w:bookmarkStart w:id="216" w:name="_Toc7645"/>
      <w:r>
        <w:t>施工期</w:t>
      </w:r>
      <w:r>
        <w:rPr>
          <w:rFonts w:hint="eastAsia"/>
          <w:lang w:eastAsia="zh-CN"/>
        </w:rPr>
        <w:t>水</w:t>
      </w:r>
      <w:r>
        <w:t>环境影响分析及防治措施</w:t>
      </w:r>
      <w:bookmarkEnd w:id="215"/>
      <w:bookmarkEnd w:id="216"/>
    </w:p>
    <w:p>
      <w:pPr>
        <w:spacing w:line="360" w:lineRule="auto"/>
        <w:ind w:firstLine="482"/>
        <w:rPr>
          <w:sz w:val="24"/>
        </w:rPr>
      </w:pPr>
      <w:r>
        <w:rPr>
          <w:sz w:val="24"/>
        </w:rPr>
        <w:t>施工期的废水主要为施工期间产生的生产废水和施工人员生活污水。</w:t>
      </w:r>
    </w:p>
    <w:p>
      <w:pPr>
        <w:spacing w:line="360" w:lineRule="auto"/>
        <w:ind w:firstLine="482"/>
        <w:rPr>
          <w:sz w:val="24"/>
        </w:rPr>
      </w:pPr>
      <w:r>
        <w:rPr>
          <w:sz w:val="24"/>
        </w:rPr>
        <w:t>（1）施工期产生的生产废水为各种施工机械设备运转的冷却和洗涤水、施工现场清洗水、混凝土养护及设备安装、调试时产生的废水，这些废水中含有少量的油污和泥沙。在施工现场设一座废水沉淀池用于集中施工生产废水，废水经沉淀处理后回用，不外排。</w:t>
      </w:r>
    </w:p>
    <w:p>
      <w:pPr>
        <w:spacing w:line="360" w:lineRule="auto"/>
        <w:ind w:firstLine="482"/>
        <w:rPr>
          <w:sz w:val="24"/>
        </w:rPr>
      </w:pPr>
      <w:r>
        <w:rPr>
          <w:sz w:val="24"/>
        </w:rPr>
        <w:t>（2）施工期间，要求施工单位选择合理位置设置施工营地等生活设施。项目区的生活污水排入防渗旱厕，施工结束后清掏，对项目区周围环境影响轻微。</w:t>
      </w:r>
    </w:p>
    <w:p>
      <w:pPr>
        <w:spacing w:line="360" w:lineRule="auto"/>
        <w:ind w:firstLine="482"/>
        <w:rPr>
          <w:sz w:val="24"/>
        </w:rPr>
      </w:pPr>
      <w:r>
        <w:rPr>
          <w:sz w:val="24"/>
        </w:rPr>
        <w:t>以上废水对外环境的影响不大，施工结束，污染源即消失，其影响会消除。</w:t>
      </w:r>
    </w:p>
    <w:p>
      <w:pPr>
        <w:pStyle w:val="5"/>
        <w:spacing w:before="120" w:after="120"/>
      </w:pPr>
      <w:bookmarkStart w:id="217" w:name="_Toc320142978"/>
      <w:bookmarkStart w:id="218" w:name="_Toc21805"/>
      <w:r>
        <w:t>施工期</w:t>
      </w:r>
      <w:r>
        <w:rPr>
          <w:rFonts w:hint="eastAsia"/>
          <w:lang w:eastAsia="zh-CN"/>
        </w:rPr>
        <w:t>声</w:t>
      </w:r>
      <w:r>
        <w:t>环境影响分析及防治措施</w:t>
      </w:r>
      <w:bookmarkEnd w:id="217"/>
      <w:bookmarkEnd w:id="218"/>
    </w:p>
    <w:p>
      <w:pPr>
        <w:pStyle w:val="2"/>
        <w:spacing w:after="0" w:line="360" w:lineRule="auto"/>
        <w:ind w:firstLine="480"/>
      </w:pPr>
      <w:r>
        <w:t>施工期噪声主要可分为机械噪声、施工作业噪声和装卸车辆噪声。</w:t>
      </w:r>
    </w:p>
    <w:p>
      <w:pPr>
        <w:pStyle w:val="2"/>
        <w:spacing w:after="0" w:line="360" w:lineRule="auto"/>
        <w:ind w:firstLine="480"/>
      </w:pPr>
      <w:r>
        <w:t>施工期各工段施工设备主要为搅拌机、推土机、挖掘机、碾压机等，其噪声级一般在75dB(A)-110dB(A)之间。</w:t>
      </w:r>
    </w:p>
    <w:p>
      <w:pPr>
        <w:pStyle w:val="2"/>
        <w:spacing w:after="0" w:line="360" w:lineRule="auto"/>
        <w:ind w:firstLine="480"/>
      </w:pPr>
      <w:r>
        <w:t>施工期运输工具主要为大型载重运输车，如重型卡车、装载机等，其噪声源具有线源和流动源的特征，噪声级为80-85dB(A)。经类比，本项目施工期主要噪声源及其噪声级情况见表5.3-1。</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 xml:space="preserve">表 </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5.3</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SEQ 表 \* ARABIC \s 2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1</w:t>
      </w:r>
      <w:r>
        <w:rPr>
          <w:rFonts w:ascii="Times New Roman" w:hAnsi="Times New Roman" w:eastAsia="宋体" w:cs="Times New Roman"/>
          <w:snapToGrid/>
          <w:kern w:val="2"/>
          <w:sz w:val="21"/>
          <w:szCs w:val="21"/>
        </w:rPr>
        <w:fldChar w:fldCharType="end"/>
      </w:r>
      <w:r>
        <w:rPr>
          <w:rFonts w:hint="eastAsia" w:ascii="Times New Roman" w:hAnsi="Times New Roman" w:eastAsia="宋体" w:cs="Times New Roman"/>
          <w:snapToGrid/>
          <w:kern w:val="2"/>
          <w:sz w:val="21"/>
          <w:szCs w:val="21"/>
          <w:lang w:val="en-US" w:eastAsia="zh-CN"/>
        </w:rPr>
        <w:t xml:space="preserve">  </w:t>
      </w:r>
      <w:r>
        <w:rPr>
          <w:rFonts w:ascii="Times New Roman" w:hAnsi="Times New Roman" w:eastAsia="宋体" w:cs="Times New Roman"/>
          <w:snapToGrid/>
          <w:kern w:val="2"/>
          <w:sz w:val="21"/>
          <w:szCs w:val="21"/>
        </w:rPr>
        <w:t>施工期主要噪声源情况</w:t>
      </w:r>
    </w:p>
    <w:tbl>
      <w:tblPr>
        <w:tblStyle w:val="8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4034"/>
        <w:gridCol w:w="2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序号</w:t>
            </w:r>
          </w:p>
        </w:tc>
        <w:tc>
          <w:tcPr>
            <w:tcW w:w="4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主要设备</w:t>
            </w:r>
          </w:p>
        </w:tc>
        <w:tc>
          <w:tcPr>
            <w:tcW w:w="28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噪声级[dB(A)]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4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推土机</w:t>
            </w:r>
          </w:p>
        </w:tc>
        <w:tc>
          <w:tcPr>
            <w:tcW w:w="28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4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挖掘机</w:t>
            </w:r>
          </w:p>
        </w:tc>
        <w:tc>
          <w:tcPr>
            <w:tcW w:w="28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75-85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4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搅拌机</w:t>
            </w:r>
          </w:p>
        </w:tc>
        <w:tc>
          <w:tcPr>
            <w:tcW w:w="28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4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碾压机</w:t>
            </w:r>
          </w:p>
        </w:tc>
        <w:tc>
          <w:tcPr>
            <w:tcW w:w="28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80-90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403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重型运输车、装载机</w:t>
            </w:r>
          </w:p>
        </w:tc>
        <w:tc>
          <w:tcPr>
            <w:tcW w:w="2874"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color w:val="000000"/>
                <w:sz w:val="21"/>
                <w:szCs w:val="21"/>
              </w:rPr>
            </w:pPr>
            <w:r>
              <w:rPr>
                <w:rFonts w:ascii="Times New Roman" w:hAnsi="Times New Roman" w:cs="Times New Roman"/>
                <w:color w:val="000000"/>
                <w:sz w:val="21"/>
                <w:szCs w:val="21"/>
              </w:rPr>
              <w:t>80-85</w:t>
            </w:r>
          </w:p>
        </w:tc>
      </w:tr>
    </w:tbl>
    <w:p>
      <w:pPr>
        <w:pStyle w:val="2"/>
        <w:spacing w:after="0" w:line="360" w:lineRule="auto"/>
        <w:ind w:firstLine="480"/>
      </w:pPr>
      <w:r>
        <w:t>施工噪声对周围地区声环境的影响，采用《建筑施工场界环境噪声排放标准》（GB12523-2011）进行评价。该标准限值见表5.3-2。</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 xml:space="preserve">表 </w:t>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STYLEREF 2 \s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5.3</w:t>
      </w:r>
      <w:r>
        <w:rPr>
          <w:rFonts w:ascii="Times New Roman" w:hAnsi="Times New Roman" w:eastAsia="宋体" w:cs="Times New Roman"/>
          <w:snapToGrid/>
          <w:kern w:val="2"/>
          <w:sz w:val="21"/>
          <w:szCs w:val="21"/>
        </w:rPr>
        <w:fldChar w:fldCharType="end"/>
      </w:r>
      <w:r>
        <w:rPr>
          <w:rFonts w:ascii="Times New Roman" w:hAnsi="Times New Roman" w:eastAsia="宋体" w:cs="Times New Roman"/>
          <w:snapToGrid/>
          <w:kern w:val="2"/>
          <w:sz w:val="21"/>
          <w:szCs w:val="21"/>
        </w:rPr>
        <w:noBreakHyphen/>
      </w:r>
      <w:r>
        <w:rPr>
          <w:rFonts w:ascii="Times New Roman" w:hAnsi="Times New Roman" w:eastAsia="宋体" w:cs="Times New Roman"/>
          <w:snapToGrid/>
          <w:kern w:val="2"/>
          <w:sz w:val="21"/>
          <w:szCs w:val="21"/>
        </w:rPr>
        <w:fldChar w:fldCharType="begin"/>
      </w:r>
      <w:r>
        <w:rPr>
          <w:rFonts w:ascii="Times New Roman" w:hAnsi="Times New Roman" w:eastAsia="宋体" w:cs="Times New Roman"/>
          <w:snapToGrid/>
          <w:kern w:val="2"/>
          <w:sz w:val="21"/>
          <w:szCs w:val="21"/>
        </w:rPr>
        <w:instrText xml:space="preserve"> SEQ 表 \* ARABIC \s 2 </w:instrText>
      </w:r>
      <w:r>
        <w:rPr>
          <w:rFonts w:ascii="Times New Roman" w:hAnsi="Times New Roman" w:eastAsia="宋体" w:cs="Times New Roman"/>
          <w:snapToGrid/>
          <w:kern w:val="2"/>
          <w:sz w:val="21"/>
          <w:szCs w:val="21"/>
        </w:rPr>
        <w:fldChar w:fldCharType="separate"/>
      </w:r>
      <w:r>
        <w:rPr>
          <w:rFonts w:ascii="Times New Roman" w:hAnsi="Times New Roman" w:eastAsia="宋体" w:cs="Times New Roman"/>
          <w:snapToGrid/>
          <w:kern w:val="2"/>
          <w:sz w:val="21"/>
          <w:szCs w:val="21"/>
        </w:rPr>
        <w:t>2</w:t>
      </w:r>
      <w:r>
        <w:rPr>
          <w:rFonts w:ascii="Times New Roman" w:hAnsi="Times New Roman" w:eastAsia="宋体" w:cs="Times New Roman"/>
          <w:snapToGrid/>
          <w:kern w:val="2"/>
          <w:sz w:val="21"/>
          <w:szCs w:val="21"/>
        </w:rPr>
        <w:fldChar w:fldCharType="end"/>
      </w:r>
      <w:r>
        <w:rPr>
          <w:rFonts w:hint="eastAsia" w:ascii="Times New Roman" w:hAnsi="Times New Roman" w:eastAsia="宋体" w:cs="Times New Roman"/>
          <w:snapToGrid/>
          <w:kern w:val="2"/>
          <w:sz w:val="21"/>
          <w:szCs w:val="21"/>
          <w:lang w:val="en-US" w:eastAsia="zh-CN"/>
        </w:rPr>
        <w:t xml:space="preserve">  </w:t>
      </w:r>
      <w:r>
        <w:rPr>
          <w:rFonts w:ascii="Times New Roman" w:hAnsi="Times New Roman" w:eastAsia="宋体" w:cs="Times New Roman"/>
          <w:snapToGrid/>
          <w:kern w:val="2"/>
          <w:sz w:val="21"/>
          <w:szCs w:val="21"/>
        </w:rPr>
        <w:t>建筑施工场界噪声限值标准(GB12523-2011) 单位：dB(A)</w:t>
      </w:r>
    </w:p>
    <w:tbl>
      <w:tblPr>
        <w:tblStyle w:val="8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2693"/>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802" w:type="dxa"/>
            <w:vMerge w:val="restart"/>
            <w:vAlign w:val="center"/>
          </w:tcPr>
          <w:p>
            <w:pPr>
              <w:spacing w:line="276"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施工噪声</w:t>
            </w:r>
          </w:p>
        </w:tc>
        <w:tc>
          <w:tcPr>
            <w:tcW w:w="2693" w:type="dxa"/>
            <w:vAlign w:val="center"/>
          </w:tcPr>
          <w:p>
            <w:pPr>
              <w:spacing w:line="276"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昼间</w:t>
            </w:r>
          </w:p>
        </w:tc>
        <w:tc>
          <w:tcPr>
            <w:tcW w:w="3027" w:type="dxa"/>
            <w:vAlign w:val="center"/>
          </w:tcPr>
          <w:p>
            <w:pPr>
              <w:spacing w:line="276"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75dB(A)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802" w:type="dxa"/>
            <w:vMerge w:val="continue"/>
            <w:vAlign w:val="center"/>
          </w:tcPr>
          <w:p>
            <w:pPr>
              <w:spacing w:line="276" w:lineRule="auto"/>
              <w:jc w:val="center"/>
              <w:rPr>
                <w:rFonts w:ascii="Times New Roman" w:hAnsi="Times New Roman" w:cs="Times New Roman"/>
                <w:color w:val="000000"/>
                <w:sz w:val="21"/>
                <w:szCs w:val="21"/>
              </w:rPr>
            </w:pPr>
          </w:p>
        </w:tc>
        <w:tc>
          <w:tcPr>
            <w:tcW w:w="2693" w:type="dxa"/>
            <w:vAlign w:val="center"/>
          </w:tcPr>
          <w:p>
            <w:pPr>
              <w:spacing w:line="276"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夜间</w:t>
            </w:r>
          </w:p>
        </w:tc>
        <w:tc>
          <w:tcPr>
            <w:tcW w:w="3027" w:type="dxa"/>
            <w:vAlign w:val="center"/>
          </w:tcPr>
          <w:p>
            <w:pPr>
              <w:keepNext/>
              <w:spacing w:line="276" w:lineRule="auto"/>
              <w:jc w:val="center"/>
              <w:rPr>
                <w:rFonts w:ascii="Times New Roman" w:hAnsi="Times New Roman" w:cs="Times New Roman"/>
                <w:color w:val="000000"/>
                <w:sz w:val="21"/>
                <w:szCs w:val="21"/>
              </w:rPr>
            </w:pPr>
            <w:r>
              <w:rPr>
                <w:rFonts w:ascii="Times New Roman" w:hAnsi="Times New Roman" w:cs="Times New Roman"/>
                <w:color w:val="000000"/>
                <w:sz w:val="21"/>
                <w:szCs w:val="21"/>
              </w:rPr>
              <w:t>55dB(A)</w:t>
            </w:r>
          </w:p>
        </w:tc>
      </w:tr>
    </w:tbl>
    <w:p>
      <w:pPr>
        <w:pStyle w:val="2"/>
        <w:spacing w:after="0" w:line="360" w:lineRule="auto"/>
        <w:ind w:firstLine="480"/>
      </w:pPr>
      <w:r>
        <w:t>参考同类项目施工机械噪声影响预测得知，根据有关资料，白天施工机械超标范围在100m以内，夜间在250m范围内。各种施工机械的影响范围均可控制在场地场界范围内。另外通过控制高噪声设备的施工时间、合理安排施工地点等可以有效的降低施工噪声对周围环境的影响。</w:t>
      </w:r>
    </w:p>
    <w:p>
      <w:pPr>
        <w:pStyle w:val="2"/>
        <w:spacing w:after="0" w:line="360" w:lineRule="auto"/>
        <w:ind w:firstLine="480"/>
      </w:pPr>
      <w:r>
        <w:t>运输车辆在运输材料和土方时，应低速或限速行驶，不得超载运输，不在夜间运输。运输途中路过居民区、学校等噪声敏感区时，减少或杜绝鸣笛，使得噪声敏感点满足标准要求；禁止现场进行混凝土搅拌，使用商业混凝土以减少噪声。</w:t>
      </w:r>
    </w:p>
    <w:p>
      <w:pPr>
        <w:pStyle w:val="2"/>
        <w:spacing w:after="0" w:line="360" w:lineRule="auto"/>
        <w:ind w:firstLine="480"/>
      </w:pPr>
      <w:r>
        <w:t>对于施工作业噪声，通过培养施工管理和操作人员环境意识，倡导文明施工方式，避免施工期间发生扰民事件从而避免不必要的环境纠纷。</w:t>
      </w:r>
    </w:p>
    <w:p>
      <w:pPr>
        <w:pStyle w:val="2"/>
        <w:spacing w:after="0" w:line="360" w:lineRule="auto"/>
        <w:ind w:firstLine="480"/>
      </w:pPr>
      <w:r>
        <w:t>本项目位于赤峰市林西县工业园区内，通过采取以上措施能够控制施工场界噪声不超过《建筑施工</w:t>
      </w:r>
      <w:r>
        <w:rPr>
          <w:rFonts w:hint="eastAsia"/>
          <w:lang w:eastAsia="zh-CN"/>
        </w:rPr>
        <w:t>场界</w:t>
      </w:r>
      <w:r>
        <w:t>环境噪声排放标准》（GB12523-2011）。</w:t>
      </w:r>
    </w:p>
    <w:p>
      <w:pPr>
        <w:pStyle w:val="5"/>
        <w:spacing w:before="120" w:after="120"/>
      </w:pPr>
      <w:bookmarkStart w:id="219" w:name="_Toc31668"/>
      <w:r>
        <w:t>施工期</w:t>
      </w:r>
      <w:r>
        <w:rPr>
          <w:rFonts w:hint="eastAsia"/>
          <w:lang w:eastAsia="zh-CN"/>
        </w:rPr>
        <w:t>固废</w:t>
      </w:r>
      <w:r>
        <w:t>环境影响分析及防治措施</w:t>
      </w:r>
      <w:bookmarkEnd w:id="219"/>
    </w:p>
    <w:p>
      <w:pPr>
        <w:pStyle w:val="2"/>
        <w:spacing w:after="0" w:line="360" w:lineRule="auto"/>
        <w:ind w:firstLine="480"/>
      </w:pPr>
      <w:r>
        <w:t>建筑垃圾、弃土和生活垃圾是施工期间产生的主要固体废弃物。建筑垃圾主要是土建工程垃圾、安装工程的金属废料；弃土主要是地表开挖时产生。生活垃圾主要是施工人员日常生活中的废弃物。</w:t>
      </w:r>
    </w:p>
    <w:p>
      <w:pPr>
        <w:pStyle w:val="2"/>
        <w:spacing w:after="0" w:line="360" w:lineRule="auto"/>
        <w:ind w:firstLine="480"/>
      </w:pPr>
      <w:r>
        <w:t>建筑垃圾要严格实行定点堆放，并及时清运至专门的建筑垃圾堆放场处理；安装工程的金属废料进行回收；施工中产生的弃土弃渣等可用于场地平整，根据厂区竖向设计要求，力求场地平整土（石）方量最小，经济合理，使挖、填接近平衡，土方调运路程短捷方便。本项目生活垃圾应集中堆放、做到日产日清，严禁随地丢弃并及时送至垃圾处理厂处理。</w:t>
      </w:r>
    </w:p>
    <w:p>
      <w:pPr>
        <w:pStyle w:val="5"/>
        <w:spacing w:before="120" w:after="120"/>
      </w:pPr>
      <w:bookmarkStart w:id="220" w:name="_Toc27378"/>
      <w:r>
        <w:t>施工期</w:t>
      </w:r>
      <w:r>
        <w:rPr>
          <w:rFonts w:hint="eastAsia"/>
          <w:lang w:eastAsia="zh-CN"/>
        </w:rPr>
        <w:t>生态</w:t>
      </w:r>
      <w:r>
        <w:t>环境影响分析及防治措施</w:t>
      </w:r>
      <w:bookmarkEnd w:id="220"/>
    </w:p>
    <w:p>
      <w:pPr>
        <w:pStyle w:val="2"/>
        <w:spacing w:after="0" w:line="360" w:lineRule="auto"/>
        <w:ind w:firstLine="480"/>
      </w:pPr>
      <w:r>
        <w:t>1、施工期对周围植被的影响分析</w:t>
      </w:r>
    </w:p>
    <w:p>
      <w:pPr>
        <w:pStyle w:val="2"/>
        <w:spacing w:after="0" w:line="360" w:lineRule="auto"/>
        <w:ind w:firstLine="480"/>
      </w:pPr>
      <w:r>
        <w:t>本项目在工程建设期，各项工程施工需进行场地平整、地表剥离等施工活动，造成施工区域内地表植被的全部破坏，还干扰和影响施工区周围植物生长环境。施工结束后，永久占用土地的植被破坏是不可逆的，使其原自然生态系统的所有功能完全损失。而临时占地及周围植被受到不同程度的破坏，对区域整个生态环境产生一定的不利影响。在自然状态下，植被难以恢复，必须通过人工措施加以恢复。</w:t>
      </w:r>
    </w:p>
    <w:p>
      <w:pPr>
        <w:pStyle w:val="2"/>
        <w:spacing w:after="0" w:line="360" w:lineRule="auto"/>
        <w:ind w:firstLine="480"/>
      </w:pPr>
      <w:r>
        <w:t>从植物种类来看，在施工期作业场地被破坏或影响的植物均为广布种和常见种，且分布也较均匀。因此，尽管项目建设会使原有植被遭到局部损失，但由于永久占地面积相对较小，因此不会使评价区植物群落的种类组成发生变化，也不会造成某一植物种在厂区范围内的消失。</w:t>
      </w:r>
    </w:p>
    <w:p>
      <w:pPr>
        <w:pStyle w:val="2"/>
        <w:spacing w:after="0" w:line="360" w:lineRule="auto"/>
        <w:ind w:firstLine="480"/>
      </w:pPr>
      <w:r>
        <w:t>2、施工期对土壤环境的影响分析</w:t>
      </w:r>
    </w:p>
    <w:p>
      <w:pPr>
        <w:pStyle w:val="2"/>
        <w:spacing w:after="0" w:line="360" w:lineRule="auto"/>
        <w:ind w:firstLine="480"/>
      </w:pPr>
      <w:r>
        <w:t>施工期各种施工活动将对项目区土壤环境造成局地性破坏和暂性干扰影响。</w:t>
      </w:r>
    </w:p>
    <w:p>
      <w:pPr>
        <w:pStyle w:val="2"/>
        <w:spacing w:after="0" w:line="360" w:lineRule="auto"/>
        <w:ind w:firstLine="480"/>
      </w:pPr>
      <w:r>
        <w:t>工程施工中场地平整、基地开挖、施工作业场地占地等，破坏和影响项目区不同区域的土壤环境，使项目区自然土壤结构受到破坏，改变土壤质地，土壤有机质和粘粒含量减少，降低土壤养份含量和蓄水保肥能力，其影响范围主要是对施工临时占地区。</w:t>
      </w:r>
    </w:p>
    <w:p>
      <w:pPr>
        <w:pStyle w:val="2"/>
        <w:spacing w:after="0" w:line="360" w:lineRule="auto"/>
        <w:ind w:firstLine="480"/>
      </w:pPr>
      <w:r>
        <w:t>另外，施工人员对土壤践踏及人行、车行便道的碾压、施工区土体翻出堆放地表与施工废渣堆放等，会造成一定区域内的土壤板结、改变土壤结构，使土壤生产能力降低，加剧项目区土壤环境的恶化。在项目建设期的基础工程施工中，挖、填土方作业还将带来一定的水土流失及植被破坏，将对工程区域生态环境造成短暂破坏。</w:t>
      </w:r>
    </w:p>
    <w:p>
      <w:pPr>
        <w:pStyle w:val="2"/>
        <w:spacing w:after="0" w:line="360" w:lineRule="auto"/>
        <w:ind w:firstLine="480"/>
      </w:pPr>
      <w:r>
        <w:t>为减少施工场地水土流失量，应采取如下措施：通过采取动土前在项目周边建临时围墙、及时清运弃土、及时夯实回填土、及时绿化、施工道路采用硬化路面；在施工场地建排水沟，防止雨水冲刷场地，并在排水沟出口设沉淀池，使雨水经沉淀池沉清后再排入市政雨水管网等措施，尽力减少施工期水土流失。工程竣工后，项目将尽可能进行绿化，以改善项目区的生态环境。厂区内空地应种植草种，定期洒水逸尘，避免土地裸露，用于减少水土流失。工程结束后，工程区永久占地被固化，绿化区种植植被。因此，施工期引起的水土流失现状有所改善。</w:t>
      </w:r>
    </w:p>
    <w:p>
      <w:pPr>
        <w:pStyle w:val="2"/>
        <w:spacing w:after="0" w:line="360" w:lineRule="auto"/>
        <w:ind w:firstLine="480"/>
      </w:pPr>
      <w:r>
        <w:t>从另一方面看，工程建设使得土地得到充分利用，提高土地利用价值，并对提高当地土地利用率起到积极重要的作用。</w:t>
      </w:r>
    </w:p>
    <w:p>
      <w:pPr>
        <w:pStyle w:val="2"/>
        <w:spacing w:after="0" w:line="360" w:lineRule="auto"/>
        <w:ind w:firstLine="480"/>
      </w:pPr>
    </w:p>
    <w:p>
      <w:pPr>
        <w:pStyle w:val="2"/>
        <w:spacing w:after="0" w:line="360" w:lineRule="auto"/>
        <w:ind w:firstLine="480"/>
      </w:pPr>
    </w:p>
    <w:p>
      <w:pPr>
        <w:spacing w:line="360" w:lineRule="auto"/>
        <w:ind w:firstLine="480" w:firstLineChars="200"/>
        <w:rPr>
          <w:sz w:val="24"/>
        </w:rPr>
      </w:pPr>
    </w:p>
    <w:p>
      <w:pPr>
        <w:autoSpaceDE w:val="0"/>
        <w:autoSpaceDN w:val="0"/>
        <w:adjustRightInd w:val="0"/>
        <w:spacing w:line="360" w:lineRule="auto"/>
        <w:ind w:firstLine="540"/>
        <w:rPr>
          <w:kern w:val="0"/>
          <w:sz w:val="24"/>
        </w:rPr>
        <w:sectPr>
          <w:footerReference r:id="rId11" w:type="first"/>
          <w:footerReference r:id="rId10" w:type="even"/>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4"/>
        <w:spacing w:before="240" w:after="240"/>
      </w:pPr>
      <w:bookmarkStart w:id="221" w:name="_Toc325652695"/>
      <w:bookmarkStart w:id="222" w:name="_Toc23598"/>
      <w:r>
        <w:t>运营期环境影响预测</w:t>
      </w:r>
      <w:bookmarkEnd w:id="221"/>
      <w:r>
        <w:rPr>
          <w:rFonts w:hint="eastAsia"/>
          <w:lang w:eastAsia="zh-CN"/>
        </w:rPr>
        <w:t>与评价</w:t>
      </w:r>
      <w:bookmarkEnd w:id="222"/>
    </w:p>
    <w:p>
      <w:pPr>
        <w:pStyle w:val="5"/>
        <w:spacing w:before="120" w:after="120"/>
        <w:rPr>
          <w:rFonts w:hint="eastAsia"/>
          <w:lang w:eastAsia="zh-CN"/>
        </w:rPr>
      </w:pPr>
      <w:bookmarkStart w:id="223" w:name="_Toc402446829"/>
      <w:bookmarkStart w:id="224" w:name="_Toc302383914"/>
      <w:bookmarkStart w:id="225" w:name="_Toc312677858"/>
      <w:bookmarkStart w:id="226" w:name="_Toc325652696"/>
      <w:bookmarkStart w:id="227" w:name="_Toc21829"/>
      <w:bookmarkStart w:id="228" w:name="_Toc312748738"/>
      <w:bookmarkStart w:id="229" w:name="_Toc325652704"/>
      <w:bookmarkStart w:id="230" w:name="_Toc302383921"/>
      <w:bookmarkStart w:id="231" w:name="_Toc302383927"/>
      <w:bookmarkStart w:id="232" w:name="_Toc312748742"/>
      <w:bookmarkStart w:id="233" w:name="_Toc325652705"/>
      <w:r>
        <w:rPr>
          <w:rFonts w:hint="eastAsia"/>
          <w:lang w:eastAsia="zh-CN"/>
        </w:rPr>
        <w:t>大气环境影响预测及评价</w:t>
      </w:r>
      <w:bookmarkEnd w:id="223"/>
      <w:bookmarkEnd w:id="224"/>
      <w:bookmarkEnd w:id="225"/>
      <w:bookmarkEnd w:id="226"/>
      <w:bookmarkEnd w:id="227"/>
    </w:p>
    <w:p>
      <w:pPr>
        <w:pStyle w:val="6"/>
      </w:pPr>
      <w:bookmarkStart w:id="234" w:name="_Toc9869"/>
      <w:r>
        <w:rPr>
          <w:rFonts w:hint="eastAsia"/>
          <w:lang w:eastAsia="zh-CN"/>
        </w:rPr>
        <w:t>大气环境影响预测</w:t>
      </w:r>
      <w:bookmarkEnd w:id="234"/>
    </w:p>
    <w:p>
      <w:pPr>
        <w:adjustRightInd w:val="0"/>
        <w:snapToGrid w:val="0"/>
        <w:spacing w:line="360" w:lineRule="auto"/>
        <w:ind w:firstLine="480"/>
        <w:rPr>
          <w:sz w:val="24"/>
        </w:rPr>
      </w:pPr>
      <w:r>
        <w:rPr>
          <w:sz w:val="24"/>
        </w:rPr>
        <w:t>根据《环境影响评价技术导则—大气环境》(HJ2.2-20</w:t>
      </w:r>
      <w:r>
        <w:rPr>
          <w:rFonts w:hint="eastAsia"/>
          <w:sz w:val="24"/>
          <w:lang w:val="en-US" w:eastAsia="zh-CN"/>
        </w:rPr>
        <w:t>1</w:t>
      </w:r>
      <w:r>
        <w:rPr>
          <w:sz w:val="24"/>
        </w:rPr>
        <w:t>8)中有关规定，本次环境影响预测评价采用《大气环境导则》推荐的具体模式进行预测分析。</w:t>
      </w:r>
    </w:p>
    <w:p>
      <w:pPr>
        <w:adjustRightInd w:val="0"/>
        <w:snapToGrid w:val="0"/>
        <w:spacing w:line="360" w:lineRule="auto"/>
        <w:ind w:firstLine="480"/>
        <w:rPr>
          <w:rFonts w:hint="default"/>
          <w:sz w:val="24"/>
        </w:rPr>
      </w:pPr>
      <w:r>
        <w:rPr>
          <w:rFonts w:hint="default"/>
          <w:sz w:val="24"/>
        </w:rPr>
        <w:t>（1）预测参数</w:t>
      </w:r>
    </w:p>
    <w:p>
      <w:pPr>
        <w:adjustRightInd w:val="0"/>
        <w:snapToGrid w:val="0"/>
        <w:spacing w:line="360" w:lineRule="auto"/>
        <w:ind w:firstLine="480"/>
        <w:rPr>
          <w:rFonts w:hint="default"/>
          <w:sz w:val="24"/>
        </w:rPr>
      </w:pPr>
      <w:r>
        <w:rPr>
          <w:rFonts w:hint="default"/>
          <w:sz w:val="24"/>
        </w:rPr>
        <w:t>①预测因子</w:t>
      </w:r>
    </w:p>
    <w:p>
      <w:pPr>
        <w:adjustRightInd w:val="0"/>
        <w:snapToGrid w:val="0"/>
        <w:spacing w:line="360" w:lineRule="auto"/>
        <w:ind w:firstLine="480"/>
        <w:rPr>
          <w:rFonts w:hint="default"/>
          <w:sz w:val="24"/>
        </w:rPr>
      </w:pPr>
      <w:r>
        <w:rPr>
          <w:rFonts w:hint="default"/>
          <w:sz w:val="24"/>
        </w:rPr>
        <w:t>项目选取锅炉燃烧产生的燃烧废气中二氧化硫、二氧化氮</w:t>
      </w:r>
      <w:r>
        <w:rPr>
          <w:rFonts w:hint="eastAsia"/>
          <w:sz w:val="24"/>
          <w:lang w:eastAsia="zh-CN"/>
        </w:rPr>
        <w:t>和</w:t>
      </w:r>
      <w:r>
        <w:rPr>
          <w:rFonts w:hint="default"/>
          <w:sz w:val="24"/>
        </w:rPr>
        <w:t>以待宰圈、屠宰区、污水处理站</w:t>
      </w:r>
      <w:r>
        <w:rPr>
          <w:rFonts w:hint="default"/>
          <w:sz w:val="24"/>
          <w:lang w:val="en-US" w:eastAsia="zh-CN"/>
        </w:rPr>
        <w:t>产生</w:t>
      </w:r>
      <w:r>
        <w:rPr>
          <w:rFonts w:hint="default"/>
          <w:sz w:val="24"/>
        </w:rPr>
        <w:t>的所有H</w:t>
      </w:r>
      <w:r>
        <w:rPr>
          <w:rFonts w:hint="default"/>
          <w:sz w:val="24"/>
          <w:vertAlign w:val="subscript"/>
        </w:rPr>
        <w:t>2</w:t>
      </w:r>
      <w:r>
        <w:rPr>
          <w:rFonts w:hint="default"/>
          <w:sz w:val="24"/>
        </w:rPr>
        <w:t>S、NH</w:t>
      </w:r>
      <w:r>
        <w:rPr>
          <w:rFonts w:hint="default"/>
          <w:sz w:val="24"/>
          <w:vertAlign w:val="subscript"/>
        </w:rPr>
        <w:t>3</w:t>
      </w:r>
      <w:r>
        <w:rPr>
          <w:rFonts w:hint="default"/>
          <w:sz w:val="24"/>
        </w:rPr>
        <w:t>作为预测因子。</w:t>
      </w:r>
    </w:p>
    <w:p>
      <w:pPr>
        <w:adjustRightInd w:val="0"/>
        <w:snapToGrid w:val="0"/>
        <w:spacing w:line="360" w:lineRule="auto"/>
        <w:ind w:firstLine="480"/>
        <w:rPr>
          <w:rFonts w:hint="default"/>
          <w:sz w:val="24"/>
        </w:rPr>
      </w:pPr>
      <w:r>
        <w:rPr>
          <w:rFonts w:hint="default"/>
          <w:sz w:val="24"/>
        </w:rPr>
        <w:t>②预测模式</w:t>
      </w:r>
    </w:p>
    <w:p>
      <w:pPr>
        <w:adjustRightInd w:val="0"/>
        <w:snapToGrid w:val="0"/>
        <w:spacing w:line="360" w:lineRule="auto"/>
        <w:ind w:firstLine="480"/>
        <w:rPr>
          <w:rFonts w:hint="default"/>
          <w:sz w:val="24"/>
        </w:rPr>
      </w:pPr>
      <w:r>
        <w:rPr>
          <w:rFonts w:hint="default"/>
          <w:sz w:val="24"/>
        </w:rPr>
        <w:t>评价采用《环境影响评价技术导则大气环境》（HJ2.2‐2018）中附录 A 中推荐的 AERSCREEN 估算模型进行计算。</w:t>
      </w:r>
    </w:p>
    <w:p>
      <w:pPr>
        <w:adjustRightInd w:val="0"/>
        <w:snapToGrid w:val="0"/>
        <w:spacing w:line="360" w:lineRule="auto"/>
        <w:ind w:firstLine="480"/>
        <w:rPr>
          <w:rFonts w:hint="default"/>
          <w:sz w:val="24"/>
        </w:rPr>
      </w:pPr>
      <w:r>
        <w:rPr>
          <w:rFonts w:hint="default"/>
          <w:sz w:val="24"/>
        </w:rPr>
        <w:t>③污染物评价标准</w:t>
      </w:r>
    </w:p>
    <w:p>
      <w:pPr>
        <w:adjustRightInd w:val="0"/>
        <w:snapToGrid w:val="0"/>
        <w:spacing w:line="360" w:lineRule="auto"/>
        <w:ind w:firstLine="480"/>
        <w:rPr>
          <w:sz w:val="24"/>
        </w:rPr>
      </w:pPr>
      <w:r>
        <w:rPr>
          <w:rFonts w:hint="default"/>
          <w:sz w:val="24"/>
        </w:rPr>
        <w:t>污染物评价标准和来源见下表。</w:t>
      </w:r>
    </w:p>
    <w:p>
      <w:pPr>
        <w:adjustRightInd w:val="0"/>
        <w:snapToGrid w:val="0"/>
        <w:spacing w:line="360" w:lineRule="auto"/>
        <w:ind w:firstLine="480"/>
        <w:jc w:val="center"/>
        <w:rPr>
          <w:rFonts w:hint="eastAsia" w:ascii="Times New Roman" w:hAnsi="Times New Roman" w:eastAsia="宋体" w:cs="Times New Roman"/>
          <w:sz w:val="24"/>
          <w:lang w:eastAsia="zh-CN"/>
        </w:rPr>
      </w:pPr>
      <w:r>
        <w:rPr>
          <w:rFonts w:hint="default" w:ascii="Times New Roman" w:hAnsi="Times New Roman" w:eastAsia="宋体" w:cs="Times New Roman"/>
          <w:sz w:val="24"/>
        </w:rPr>
        <w:t>表</w:t>
      </w:r>
      <w:r>
        <w:rPr>
          <w:rFonts w:hint="eastAsia" w:ascii="Times New Roman" w:hAnsi="Times New Roman" w:eastAsia="宋体" w:cs="Times New Roman"/>
          <w:sz w:val="24"/>
          <w:lang w:val="en-US" w:eastAsia="zh-CN"/>
        </w:rPr>
        <w:t>6</w:t>
      </w:r>
      <w:r>
        <w:rPr>
          <w:rFonts w:hint="default" w:ascii="Times New Roman" w:hAnsi="Times New Roman" w:eastAsia="宋体" w:cs="Times New Roman"/>
          <w:sz w:val="24"/>
        </w:rPr>
        <w:t>.1-</w:t>
      </w:r>
      <w:r>
        <w:rPr>
          <w:rFonts w:hint="eastAsia" w:ascii="Times New Roman" w:hAnsi="Times New Roman" w:eastAsia="宋体" w:cs="Times New Roman"/>
          <w:sz w:val="24"/>
          <w:lang w:val="en-US" w:eastAsia="zh-CN"/>
        </w:rPr>
        <w:t xml:space="preserve">1 </w:t>
      </w:r>
      <w:r>
        <w:rPr>
          <w:rFonts w:hint="default" w:ascii="Times New Roman" w:hAnsi="Times New Roman" w:eastAsia="宋体" w:cs="Times New Roman"/>
          <w:sz w:val="24"/>
        </w:rPr>
        <w:t xml:space="preserve">  </w:t>
      </w:r>
      <w:r>
        <w:rPr>
          <w:rFonts w:hint="eastAsia" w:ascii="Times New Roman" w:hAnsi="Times New Roman" w:eastAsia="宋体" w:cs="Times New Roman"/>
          <w:sz w:val="24"/>
          <w:lang w:eastAsia="zh-CN"/>
        </w:rPr>
        <w:t>污染物评价标准</w:t>
      </w:r>
    </w:p>
    <w:tbl>
      <w:tblPr>
        <w:tblStyle w:val="88"/>
        <w:tblW w:w="0" w:type="auto"/>
        <w:tblInd w:w="1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13"/>
        <w:gridCol w:w="1304"/>
        <w:gridCol w:w="1256"/>
        <w:gridCol w:w="1912"/>
        <w:gridCol w:w="271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exact"/>
        </w:trPr>
        <w:tc>
          <w:tcPr>
            <w:tcW w:w="1313" w:type="dxa"/>
            <w:tcBorders>
              <w:tl2br w:val="nil"/>
              <w:tr2bl w:val="nil"/>
            </w:tcBorders>
          </w:tcPr>
          <w:p>
            <w:pPr>
              <w:pStyle w:val="4069"/>
              <w:spacing w:before="5" w:line="240" w:lineRule="auto"/>
              <w:ind w:left="116" w:right="0"/>
              <w:jc w:val="left"/>
              <w:rPr>
                <w:rFonts w:ascii="宋体" w:hAnsi="宋体" w:eastAsia="宋体" w:cs="宋体"/>
                <w:sz w:val="21"/>
                <w:szCs w:val="21"/>
              </w:rPr>
            </w:pPr>
            <w:r>
              <w:rPr>
                <w:rFonts w:ascii="宋体" w:hAnsi="宋体" w:eastAsia="宋体" w:cs="宋体"/>
                <w:sz w:val="21"/>
                <w:szCs w:val="21"/>
              </w:rPr>
              <w:t>污染物名称</w:t>
            </w:r>
          </w:p>
        </w:tc>
        <w:tc>
          <w:tcPr>
            <w:tcW w:w="1304" w:type="dxa"/>
            <w:tcBorders>
              <w:tl2br w:val="nil"/>
              <w:tr2bl w:val="nil"/>
            </w:tcBorders>
          </w:tcPr>
          <w:p>
            <w:pPr>
              <w:pStyle w:val="4069"/>
              <w:spacing w:before="5" w:line="240" w:lineRule="auto"/>
              <w:ind w:left="332" w:right="0"/>
              <w:jc w:val="left"/>
              <w:rPr>
                <w:rFonts w:ascii="宋体" w:hAnsi="宋体" w:eastAsia="宋体" w:cs="宋体"/>
                <w:sz w:val="21"/>
                <w:szCs w:val="21"/>
              </w:rPr>
            </w:pPr>
            <w:r>
              <w:rPr>
                <w:rFonts w:ascii="宋体" w:hAnsi="宋体" w:eastAsia="宋体" w:cs="宋体"/>
                <w:sz w:val="21"/>
                <w:szCs w:val="21"/>
              </w:rPr>
              <w:t>功能区</w:t>
            </w:r>
          </w:p>
        </w:tc>
        <w:tc>
          <w:tcPr>
            <w:tcW w:w="1256" w:type="dxa"/>
            <w:tcBorders>
              <w:tl2br w:val="nil"/>
              <w:tr2bl w:val="nil"/>
            </w:tcBorders>
          </w:tcPr>
          <w:p>
            <w:pPr>
              <w:pStyle w:val="4069"/>
              <w:spacing w:before="5" w:line="240" w:lineRule="auto"/>
              <w:ind w:left="202" w:right="0"/>
              <w:jc w:val="left"/>
              <w:rPr>
                <w:rFonts w:ascii="宋体" w:hAnsi="宋体" w:eastAsia="宋体" w:cs="宋体"/>
                <w:sz w:val="21"/>
                <w:szCs w:val="21"/>
              </w:rPr>
            </w:pPr>
            <w:r>
              <w:rPr>
                <w:rFonts w:ascii="宋体" w:hAnsi="宋体" w:eastAsia="宋体" w:cs="宋体"/>
                <w:sz w:val="21"/>
                <w:szCs w:val="21"/>
              </w:rPr>
              <w:t>取值时间</w:t>
            </w:r>
          </w:p>
        </w:tc>
        <w:tc>
          <w:tcPr>
            <w:tcW w:w="1912" w:type="dxa"/>
            <w:tcBorders>
              <w:tl2br w:val="nil"/>
              <w:tr2bl w:val="nil"/>
            </w:tcBorders>
          </w:tcPr>
          <w:p>
            <w:pPr>
              <w:pStyle w:val="4069"/>
              <w:spacing w:before="5" w:line="240" w:lineRule="auto"/>
              <w:ind w:left="117" w:right="0"/>
              <w:jc w:val="left"/>
              <w:rPr>
                <w:rFonts w:ascii="宋体" w:hAnsi="宋体" w:eastAsia="宋体" w:cs="宋体"/>
                <w:sz w:val="21"/>
                <w:szCs w:val="21"/>
              </w:rPr>
            </w:pPr>
            <w:r>
              <w:rPr>
                <w:rFonts w:ascii="宋体" w:hAnsi="宋体" w:eastAsia="宋体" w:cs="宋体"/>
                <w:sz w:val="21"/>
                <w:szCs w:val="21"/>
              </w:rPr>
              <w:t>标准值（μ</w:t>
            </w:r>
            <w:r>
              <w:rPr>
                <w:rFonts w:ascii="Times New Roman" w:hAnsi="Times New Roman" w:eastAsia="Times New Roman" w:cs="Times New Roman"/>
                <w:b/>
                <w:bCs/>
                <w:sz w:val="21"/>
                <w:szCs w:val="21"/>
              </w:rPr>
              <w:t>g/m</w:t>
            </w:r>
            <w:r>
              <w:rPr>
                <w:rFonts w:ascii="Times New Roman" w:hAnsi="Times New Roman" w:eastAsia="Times New Roman" w:cs="Times New Roman"/>
                <w:b/>
                <w:bCs/>
                <w:position w:val="7"/>
                <w:sz w:val="13"/>
                <w:szCs w:val="13"/>
              </w:rPr>
              <w:t>3</w:t>
            </w:r>
            <w:r>
              <w:rPr>
                <w:rFonts w:ascii="宋体" w:hAnsi="宋体" w:eastAsia="宋体" w:cs="宋体"/>
                <w:sz w:val="21"/>
                <w:szCs w:val="21"/>
              </w:rPr>
              <w:t>）</w:t>
            </w:r>
          </w:p>
        </w:tc>
        <w:tc>
          <w:tcPr>
            <w:tcW w:w="2719" w:type="dxa"/>
            <w:tcBorders>
              <w:tl2br w:val="nil"/>
              <w:tr2bl w:val="nil"/>
            </w:tcBorders>
          </w:tcPr>
          <w:p>
            <w:pPr>
              <w:pStyle w:val="4069"/>
              <w:spacing w:before="5" w:line="240" w:lineRule="auto"/>
              <w:ind w:left="9" w:right="0"/>
              <w:jc w:val="center"/>
              <w:rPr>
                <w:rFonts w:ascii="宋体" w:hAnsi="宋体" w:eastAsia="宋体" w:cs="宋体"/>
                <w:sz w:val="21"/>
                <w:szCs w:val="21"/>
              </w:rPr>
            </w:pPr>
            <w:r>
              <w:rPr>
                <w:rFonts w:ascii="宋体" w:hAnsi="宋体" w:eastAsia="宋体" w:cs="宋体"/>
                <w:sz w:val="21"/>
                <w:szCs w:val="21"/>
              </w:rPr>
              <w:t>标准来源</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exact"/>
        </w:trPr>
        <w:tc>
          <w:tcPr>
            <w:tcW w:w="1313" w:type="dxa"/>
            <w:tcBorders>
              <w:tl2br w:val="nil"/>
              <w:tr2bl w:val="nil"/>
            </w:tcBorders>
          </w:tcPr>
          <w:p>
            <w:pPr>
              <w:pStyle w:val="4069"/>
              <w:spacing w:before="31" w:line="240" w:lineRule="auto"/>
              <w:ind w:right="9"/>
              <w:jc w:val="center"/>
              <w:rPr>
                <w:rFonts w:ascii="Times New Roman" w:hAnsi="Times New Roman" w:eastAsia="Times New Roman" w:cs="Times New Roman"/>
                <w:sz w:val="13"/>
                <w:szCs w:val="13"/>
              </w:rPr>
            </w:pPr>
            <w:r>
              <w:rPr>
                <w:rFonts w:ascii="Times New Roman"/>
                <w:spacing w:val="-1"/>
                <w:position w:val="2"/>
                <w:sz w:val="21"/>
              </w:rPr>
              <w:t>SO</w:t>
            </w:r>
            <w:r>
              <w:rPr>
                <w:rFonts w:ascii="Times New Roman"/>
                <w:spacing w:val="-1"/>
                <w:sz w:val="13"/>
              </w:rPr>
              <w:t>2</w:t>
            </w:r>
          </w:p>
        </w:tc>
        <w:tc>
          <w:tcPr>
            <w:tcW w:w="1304" w:type="dxa"/>
            <w:tcBorders>
              <w:tl2br w:val="nil"/>
              <w:tr2bl w:val="nil"/>
            </w:tcBorders>
          </w:tcPr>
          <w:p>
            <w:pPr>
              <w:pStyle w:val="4069"/>
              <w:spacing w:line="260" w:lineRule="exact"/>
              <w:ind w:left="226" w:right="0"/>
              <w:jc w:val="left"/>
              <w:rPr>
                <w:rFonts w:ascii="宋体" w:hAnsi="宋体" w:eastAsia="宋体" w:cs="宋体"/>
                <w:sz w:val="21"/>
                <w:szCs w:val="21"/>
              </w:rPr>
            </w:pPr>
            <w:r>
              <w:rPr>
                <w:rFonts w:ascii="宋体" w:hAnsi="宋体" w:eastAsia="宋体" w:cs="宋体"/>
                <w:sz w:val="21"/>
                <w:szCs w:val="21"/>
              </w:rPr>
              <w:t>二类限区</w:t>
            </w:r>
          </w:p>
        </w:tc>
        <w:tc>
          <w:tcPr>
            <w:tcW w:w="1256" w:type="dxa"/>
            <w:tcBorders>
              <w:tl2br w:val="nil"/>
              <w:tr2bl w:val="nil"/>
            </w:tcBorders>
          </w:tcPr>
          <w:p>
            <w:pPr>
              <w:pStyle w:val="4069"/>
              <w:spacing w:line="260" w:lineRule="exact"/>
              <w:ind w:left="307" w:right="0"/>
              <w:jc w:val="left"/>
              <w:rPr>
                <w:rFonts w:ascii="宋体" w:hAnsi="宋体" w:eastAsia="宋体" w:cs="宋体"/>
                <w:sz w:val="21"/>
                <w:szCs w:val="21"/>
              </w:rPr>
            </w:pPr>
            <w:r>
              <w:rPr>
                <w:rFonts w:ascii="宋体" w:hAnsi="宋体" w:eastAsia="宋体" w:cs="宋体"/>
                <w:sz w:val="21"/>
                <w:szCs w:val="21"/>
              </w:rPr>
              <w:t>一小时</w:t>
            </w:r>
          </w:p>
        </w:tc>
        <w:tc>
          <w:tcPr>
            <w:tcW w:w="1912" w:type="dxa"/>
            <w:tcBorders>
              <w:tl2br w:val="nil"/>
              <w:tr2bl w:val="nil"/>
            </w:tcBorders>
          </w:tcPr>
          <w:p>
            <w:pPr>
              <w:pStyle w:val="4069"/>
              <w:spacing w:before="34" w:line="240" w:lineRule="auto"/>
              <w:ind w:left="695" w:right="694"/>
              <w:jc w:val="center"/>
              <w:rPr>
                <w:rFonts w:ascii="Times New Roman" w:hAnsi="Times New Roman" w:eastAsia="Times New Roman" w:cs="Times New Roman"/>
                <w:sz w:val="21"/>
                <w:szCs w:val="21"/>
              </w:rPr>
            </w:pPr>
            <w:r>
              <w:rPr>
                <w:rFonts w:ascii="Times New Roman"/>
                <w:sz w:val="21"/>
              </w:rPr>
              <w:t>500.0</w:t>
            </w:r>
          </w:p>
        </w:tc>
        <w:tc>
          <w:tcPr>
            <w:tcW w:w="2719" w:type="dxa"/>
            <w:tcBorders>
              <w:tl2br w:val="nil"/>
              <w:tr2bl w:val="nil"/>
            </w:tcBorders>
          </w:tcPr>
          <w:p>
            <w:pPr>
              <w:pStyle w:val="4069"/>
              <w:spacing w:before="34" w:line="240" w:lineRule="auto"/>
              <w:ind w:left="727" w:right="0"/>
              <w:jc w:val="left"/>
              <w:rPr>
                <w:rFonts w:ascii="Times New Roman" w:hAnsi="Times New Roman" w:eastAsia="Times New Roman" w:cs="Times New Roman"/>
                <w:sz w:val="21"/>
                <w:szCs w:val="21"/>
              </w:rPr>
            </w:pPr>
            <w:r>
              <w:rPr>
                <w:rFonts w:ascii="Times New Roman"/>
                <w:spacing w:val="-1"/>
                <w:sz w:val="21"/>
              </w:rPr>
              <w:t>GB</w:t>
            </w:r>
            <w:r>
              <w:rPr>
                <w:rFonts w:ascii="Times New Roman"/>
                <w:spacing w:val="-2"/>
                <w:sz w:val="21"/>
              </w:rPr>
              <w:t xml:space="preserve"> </w:t>
            </w:r>
            <w:r>
              <w:rPr>
                <w:rFonts w:ascii="Times New Roman"/>
                <w:spacing w:val="-1"/>
                <w:sz w:val="21"/>
              </w:rPr>
              <w:t>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313" w:type="dxa"/>
            <w:tcBorders>
              <w:tl2br w:val="nil"/>
              <w:tr2bl w:val="nil"/>
            </w:tcBorders>
          </w:tcPr>
          <w:p>
            <w:pPr>
              <w:pStyle w:val="4069"/>
              <w:spacing w:before="30" w:line="240" w:lineRule="auto"/>
              <w:ind w:left="439" w:right="449"/>
              <w:jc w:val="center"/>
              <w:rPr>
                <w:rFonts w:ascii="Times New Roman" w:hAnsi="Times New Roman" w:eastAsia="Times New Roman" w:cs="Times New Roman"/>
                <w:sz w:val="13"/>
                <w:szCs w:val="13"/>
              </w:rPr>
            </w:pPr>
            <w:r>
              <w:rPr>
                <w:rFonts w:ascii="Times New Roman"/>
                <w:spacing w:val="-1"/>
                <w:position w:val="2"/>
                <w:sz w:val="21"/>
              </w:rPr>
              <w:t>NO</w:t>
            </w:r>
            <w:r>
              <w:rPr>
                <w:rFonts w:ascii="Times New Roman"/>
                <w:spacing w:val="-1"/>
                <w:sz w:val="13"/>
              </w:rPr>
              <w:t>2</w:t>
            </w:r>
          </w:p>
        </w:tc>
        <w:tc>
          <w:tcPr>
            <w:tcW w:w="1304" w:type="dxa"/>
            <w:tcBorders>
              <w:tl2br w:val="nil"/>
              <w:tr2bl w:val="nil"/>
            </w:tcBorders>
          </w:tcPr>
          <w:p>
            <w:pPr>
              <w:pStyle w:val="4069"/>
              <w:spacing w:line="259" w:lineRule="exact"/>
              <w:ind w:left="226" w:right="0"/>
              <w:jc w:val="left"/>
              <w:rPr>
                <w:rFonts w:ascii="宋体" w:hAnsi="宋体" w:eastAsia="宋体" w:cs="宋体"/>
                <w:sz w:val="21"/>
                <w:szCs w:val="21"/>
              </w:rPr>
            </w:pPr>
            <w:r>
              <w:rPr>
                <w:rFonts w:ascii="宋体" w:hAnsi="宋体" w:eastAsia="宋体" w:cs="宋体"/>
                <w:sz w:val="21"/>
                <w:szCs w:val="21"/>
              </w:rPr>
              <w:t>二类限区</w:t>
            </w:r>
          </w:p>
        </w:tc>
        <w:tc>
          <w:tcPr>
            <w:tcW w:w="1256" w:type="dxa"/>
            <w:tcBorders>
              <w:tl2br w:val="nil"/>
              <w:tr2bl w:val="nil"/>
            </w:tcBorders>
          </w:tcPr>
          <w:p>
            <w:pPr>
              <w:pStyle w:val="4069"/>
              <w:spacing w:line="259" w:lineRule="exact"/>
              <w:ind w:left="307" w:right="0"/>
              <w:jc w:val="left"/>
              <w:rPr>
                <w:rFonts w:ascii="宋体" w:hAnsi="宋体" w:eastAsia="宋体" w:cs="宋体"/>
                <w:sz w:val="21"/>
                <w:szCs w:val="21"/>
              </w:rPr>
            </w:pPr>
            <w:r>
              <w:rPr>
                <w:rFonts w:ascii="宋体" w:hAnsi="宋体" w:eastAsia="宋体" w:cs="宋体"/>
                <w:sz w:val="21"/>
                <w:szCs w:val="21"/>
              </w:rPr>
              <w:t>一小时</w:t>
            </w:r>
          </w:p>
        </w:tc>
        <w:tc>
          <w:tcPr>
            <w:tcW w:w="1912" w:type="dxa"/>
            <w:tcBorders>
              <w:tl2br w:val="nil"/>
              <w:tr2bl w:val="nil"/>
            </w:tcBorders>
          </w:tcPr>
          <w:p>
            <w:pPr>
              <w:pStyle w:val="4069"/>
              <w:spacing w:before="33" w:line="240" w:lineRule="auto"/>
              <w:ind w:left="695" w:right="694"/>
              <w:jc w:val="center"/>
              <w:rPr>
                <w:rFonts w:ascii="Times New Roman" w:hAnsi="Times New Roman" w:eastAsia="Times New Roman" w:cs="Times New Roman"/>
                <w:sz w:val="21"/>
                <w:szCs w:val="21"/>
              </w:rPr>
            </w:pPr>
            <w:r>
              <w:rPr>
                <w:rFonts w:ascii="Times New Roman"/>
                <w:sz w:val="21"/>
              </w:rPr>
              <w:t>200.0</w:t>
            </w:r>
          </w:p>
        </w:tc>
        <w:tc>
          <w:tcPr>
            <w:tcW w:w="2719" w:type="dxa"/>
            <w:tcBorders>
              <w:tl2br w:val="nil"/>
              <w:tr2bl w:val="nil"/>
            </w:tcBorders>
          </w:tcPr>
          <w:p>
            <w:pPr>
              <w:pStyle w:val="4069"/>
              <w:spacing w:before="33" w:line="240" w:lineRule="auto"/>
              <w:ind w:left="727" w:right="0"/>
              <w:jc w:val="left"/>
              <w:rPr>
                <w:rFonts w:ascii="Times New Roman" w:hAnsi="Times New Roman" w:eastAsia="Times New Roman" w:cs="Times New Roman"/>
                <w:sz w:val="21"/>
                <w:szCs w:val="21"/>
              </w:rPr>
            </w:pPr>
            <w:r>
              <w:rPr>
                <w:rFonts w:ascii="Times New Roman"/>
                <w:spacing w:val="-1"/>
                <w:sz w:val="21"/>
              </w:rPr>
              <w:t>GB</w:t>
            </w:r>
            <w:r>
              <w:rPr>
                <w:rFonts w:ascii="Times New Roman"/>
                <w:spacing w:val="-2"/>
                <w:sz w:val="21"/>
              </w:rPr>
              <w:t xml:space="preserve"> </w:t>
            </w:r>
            <w:r>
              <w:rPr>
                <w:rFonts w:ascii="Times New Roman"/>
                <w:spacing w:val="-1"/>
                <w:sz w:val="21"/>
              </w:rPr>
              <w:t>3095-2012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6" w:hRule="exact"/>
        </w:trPr>
        <w:tc>
          <w:tcPr>
            <w:tcW w:w="1313" w:type="dxa"/>
            <w:tcBorders>
              <w:tl2br w:val="nil"/>
              <w:tr2bl w:val="nil"/>
            </w:tcBorders>
          </w:tcPr>
          <w:p>
            <w:pPr>
              <w:pStyle w:val="4069"/>
              <w:spacing w:before="163" w:line="240" w:lineRule="auto"/>
              <w:ind w:left="439" w:right="449"/>
              <w:jc w:val="center"/>
              <w:rPr>
                <w:rFonts w:ascii="Times New Roman" w:hAnsi="Times New Roman" w:eastAsia="Times New Roman" w:cs="Times New Roman"/>
                <w:sz w:val="13"/>
                <w:szCs w:val="13"/>
              </w:rPr>
            </w:pPr>
            <w:r>
              <w:rPr>
                <w:rFonts w:ascii="Times New Roman"/>
                <w:spacing w:val="-1"/>
                <w:position w:val="2"/>
                <w:sz w:val="21"/>
              </w:rPr>
              <w:t>NH</w:t>
            </w:r>
            <w:r>
              <w:rPr>
                <w:rFonts w:ascii="Times New Roman"/>
                <w:spacing w:val="-1"/>
                <w:sz w:val="13"/>
              </w:rPr>
              <w:t>3</w:t>
            </w:r>
          </w:p>
        </w:tc>
        <w:tc>
          <w:tcPr>
            <w:tcW w:w="1304" w:type="dxa"/>
            <w:tcBorders>
              <w:tl2br w:val="nil"/>
              <w:tr2bl w:val="nil"/>
            </w:tcBorders>
          </w:tcPr>
          <w:p>
            <w:pPr>
              <w:pStyle w:val="4069"/>
              <w:spacing w:before="120" w:line="240" w:lineRule="auto"/>
              <w:ind w:left="226" w:right="0"/>
              <w:jc w:val="left"/>
              <w:rPr>
                <w:rFonts w:ascii="宋体" w:hAnsi="宋体" w:eastAsia="宋体" w:cs="宋体"/>
                <w:sz w:val="21"/>
                <w:szCs w:val="21"/>
              </w:rPr>
            </w:pPr>
            <w:r>
              <w:rPr>
                <w:rFonts w:ascii="宋体" w:hAnsi="宋体" w:eastAsia="宋体" w:cs="宋体"/>
                <w:sz w:val="21"/>
                <w:szCs w:val="21"/>
              </w:rPr>
              <w:t>二类限区</w:t>
            </w:r>
          </w:p>
        </w:tc>
        <w:tc>
          <w:tcPr>
            <w:tcW w:w="1256" w:type="dxa"/>
            <w:tcBorders>
              <w:tl2br w:val="nil"/>
              <w:tr2bl w:val="nil"/>
            </w:tcBorders>
          </w:tcPr>
          <w:p>
            <w:pPr>
              <w:pStyle w:val="4069"/>
              <w:spacing w:before="120" w:line="240" w:lineRule="auto"/>
              <w:ind w:left="307" w:right="0"/>
              <w:jc w:val="left"/>
              <w:rPr>
                <w:rFonts w:ascii="宋体" w:hAnsi="宋体" w:eastAsia="宋体" w:cs="宋体"/>
                <w:sz w:val="21"/>
                <w:szCs w:val="21"/>
              </w:rPr>
            </w:pPr>
            <w:r>
              <w:rPr>
                <w:rFonts w:ascii="宋体" w:hAnsi="宋体" w:eastAsia="宋体" w:cs="宋体"/>
                <w:sz w:val="21"/>
                <w:szCs w:val="21"/>
              </w:rPr>
              <w:t>一小时</w:t>
            </w:r>
          </w:p>
        </w:tc>
        <w:tc>
          <w:tcPr>
            <w:tcW w:w="1912" w:type="dxa"/>
            <w:tcBorders>
              <w:tl2br w:val="nil"/>
              <w:tr2bl w:val="nil"/>
            </w:tcBorders>
          </w:tcPr>
          <w:p>
            <w:pPr>
              <w:pStyle w:val="4069"/>
              <w:spacing w:before="166" w:line="240" w:lineRule="auto"/>
              <w:ind w:right="3"/>
              <w:jc w:val="center"/>
              <w:rPr>
                <w:rFonts w:ascii="Times New Roman" w:hAnsi="Times New Roman" w:eastAsia="Times New Roman" w:cs="Times New Roman"/>
                <w:sz w:val="21"/>
                <w:szCs w:val="21"/>
              </w:rPr>
            </w:pPr>
            <w:r>
              <w:rPr>
                <w:rFonts w:ascii="Times New Roman"/>
                <w:spacing w:val="-1"/>
                <w:sz w:val="21"/>
              </w:rPr>
              <w:t>200</w:t>
            </w:r>
          </w:p>
        </w:tc>
        <w:tc>
          <w:tcPr>
            <w:tcW w:w="2719" w:type="dxa"/>
            <w:vMerge w:val="restart"/>
            <w:tcBorders>
              <w:tl2br w:val="nil"/>
              <w:tr2bl w:val="nil"/>
            </w:tcBorders>
          </w:tcPr>
          <w:p>
            <w:pPr>
              <w:pStyle w:val="4069"/>
              <w:spacing w:before="101" w:line="279" w:lineRule="auto"/>
              <w:ind w:left="104" w:right="92" w:hanging="4"/>
              <w:jc w:val="center"/>
              <w:rPr>
                <w:rFonts w:ascii="Times New Roman" w:hAnsi="Times New Roman" w:eastAsia="Times New Roman" w:cs="Times New Roman"/>
                <w:sz w:val="21"/>
                <w:szCs w:val="21"/>
              </w:rPr>
            </w:pPr>
            <w:r>
              <w:rPr>
                <w:rFonts w:ascii="宋体" w:hAnsi="宋体" w:eastAsia="宋体" w:cs="宋体"/>
                <w:sz w:val="21"/>
                <w:szCs w:val="21"/>
              </w:rPr>
              <w:t>《环境影响评价技术导则</w:t>
            </w:r>
            <w:r>
              <w:rPr>
                <w:rFonts w:ascii="Times New Roman" w:hAnsi="Times New Roman" w:eastAsia="Times New Roman" w:cs="Times New Roman"/>
                <w:sz w:val="21"/>
                <w:szCs w:val="21"/>
              </w:rPr>
              <w:t xml:space="preserve">- </w:t>
            </w:r>
            <w:r>
              <w:rPr>
                <w:rFonts w:ascii="宋体" w:hAnsi="宋体" w:eastAsia="宋体" w:cs="宋体"/>
                <w:sz w:val="21"/>
                <w:szCs w:val="21"/>
              </w:rPr>
              <w:t>大气环境</w:t>
            </w:r>
            <w:r>
              <w:rPr>
                <w:rFonts w:ascii="宋体" w:hAnsi="宋体" w:eastAsia="宋体" w:cs="宋体"/>
                <w:spacing w:val="-58"/>
                <w:sz w:val="21"/>
                <w:szCs w:val="21"/>
              </w:rPr>
              <w:t>》</w:t>
            </w:r>
            <w:r>
              <w:rPr>
                <w:rFonts w:ascii="Times New Roman" w:hAnsi="Times New Roman" w:eastAsia="Times New Roman" w:cs="Times New Roman"/>
                <w:spacing w:val="-1"/>
                <w:sz w:val="21"/>
                <w:szCs w:val="21"/>
              </w:rPr>
              <w:t>H</w:t>
            </w:r>
            <w:r>
              <w:rPr>
                <w:rFonts w:ascii="Times New Roman" w:hAnsi="Times New Roman" w:eastAsia="Times New Roman" w:cs="Times New Roman"/>
                <w:sz w:val="21"/>
                <w:szCs w:val="21"/>
              </w:rPr>
              <w:t xml:space="preserve">J </w:t>
            </w:r>
            <w:r>
              <w:rPr>
                <w:rFonts w:ascii="Times New Roman" w:hAnsi="Times New Roman" w:eastAsia="Times New Roman" w:cs="Times New Roman"/>
                <w:spacing w:val="1"/>
                <w:sz w:val="21"/>
                <w:szCs w:val="21"/>
              </w:rPr>
              <w:t>2</w:t>
            </w:r>
            <w:r>
              <w:rPr>
                <w:rFonts w:ascii="Times New Roman" w:hAnsi="Times New Roman" w:eastAsia="Times New Roman" w:cs="Times New Roman"/>
                <w:sz w:val="21"/>
                <w:szCs w:val="21"/>
              </w:rPr>
              <w:t>.</w:t>
            </w:r>
            <w:r>
              <w:rPr>
                <w:rFonts w:ascii="Times New Roman" w:hAnsi="Times New Roman" w:eastAsia="Times New Roman" w:cs="Times New Roman"/>
                <w:spacing w:val="-2"/>
                <w:sz w:val="21"/>
                <w:szCs w:val="21"/>
              </w:rPr>
              <w:t>2</w:t>
            </w:r>
            <w:r>
              <w:rPr>
                <w:rFonts w:ascii="Times New Roman" w:hAnsi="Times New Roman" w:eastAsia="Times New Roman" w:cs="Times New Roman"/>
                <w:sz w:val="21"/>
                <w:szCs w:val="21"/>
              </w:rPr>
              <w:t>-20</w:t>
            </w:r>
            <w:r>
              <w:rPr>
                <w:rFonts w:ascii="Times New Roman" w:hAnsi="Times New Roman" w:eastAsia="Times New Roman" w:cs="Times New Roman"/>
                <w:spacing w:val="-1"/>
                <w:sz w:val="21"/>
                <w:szCs w:val="21"/>
              </w:rPr>
              <w:t>1</w:t>
            </w:r>
            <w:r>
              <w:rPr>
                <w:rFonts w:ascii="Times New Roman" w:hAnsi="Times New Roman" w:eastAsia="Times New Roman" w:cs="Times New Roman"/>
                <w:sz w:val="21"/>
                <w:szCs w:val="21"/>
              </w:rPr>
              <w:t>8</w:t>
            </w:r>
            <w:r>
              <w:rPr>
                <w:rFonts w:ascii="Times New Roman" w:hAnsi="Times New Roman" w:eastAsia="Times New Roman" w:cs="Times New Roman"/>
                <w:spacing w:val="-2"/>
                <w:sz w:val="21"/>
                <w:szCs w:val="21"/>
              </w:rPr>
              <w:t xml:space="preserve"> </w:t>
            </w:r>
            <w:r>
              <w:rPr>
                <w:rFonts w:ascii="宋体" w:hAnsi="宋体" w:eastAsia="宋体" w:cs="宋体"/>
                <w:sz w:val="21"/>
                <w:szCs w:val="21"/>
              </w:rPr>
              <w:t xml:space="preserve">附录 </w:t>
            </w:r>
            <w:r>
              <w:rPr>
                <w:rFonts w:ascii="Times New Roman" w:hAnsi="Times New Roman" w:eastAsia="Times New Roman" w:cs="Times New Roman"/>
                <w:sz w:val="21"/>
                <w:szCs w:val="21"/>
              </w:rPr>
              <w:t>D</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11" w:hRule="exact"/>
        </w:trPr>
        <w:tc>
          <w:tcPr>
            <w:tcW w:w="1313" w:type="dxa"/>
            <w:tcBorders>
              <w:tl2br w:val="nil"/>
              <w:tr2bl w:val="nil"/>
            </w:tcBorders>
          </w:tcPr>
          <w:p>
            <w:pPr>
              <w:pStyle w:val="4069"/>
              <w:spacing w:before="163" w:line="240" w:lineRule="auto"/>
              <w:ind w:right="9"/>
              <w:jc w:val="center"/>
              <w:rPr>
                <w:rFonts w:ascii="Times New Roman" w:hAnsi="Times New Roman" w:eastAsia="Times New Roman" w:cs="Times New Roman"/>
                <w:sz w:val="21"/>
                <w:szCs w:val="21"/>
              </w:rPr>
            </w:pPr>
            <w:r>
              <w:rPr>
                <w:rFonts w:ascii="Times New Roman"/>
                <w:spacing w:val="-1"/>
                <w:position w:val="2"/>
                <w:sz w:val="21"/>
              </w:rPr>
              <w:t>H</w:t>
            </w:r>
            <w:r>
              <w:rPr>
                <w:rFonts w:ascii="Times New Roman"/>
                <w:spacing w:val="-1"/>
                <w:sz w:val="13"/>
              </w:rPr>
              <w:t>2</w:t>
            </w:r>
            <w:r>
              <w:rPr>
                <w:rFonts w:ascii="Times New Roman"/>
                <w:spacing w:val="-1"/>
                <w:position w:val="2"/>
                <w:sz w:val="21"/>
              </w:rPr>
              <w:t>S</w:t>
            </w:r>
          </w:p>
        </w:tc>
        <w:tc>
          <w:tcPr>
            <w:tcW w:w="1304" w:type="dxa"/>
            <w:tcBorders>
              <w:tl2br w:val="nil"/>
              <w:tr2bl w:val="nil"/>
            </w:tcBorders>
          </w:tcPr>
          <w:p>
            <w:pPr>
              <w:pStyle w:val="4069"/>
              <w:spacing w:before="120" w:line="240" w:lineRule="auto"/>
              <w:ind w:left="226" w:right="0"/>
              <w:jc w:val="left"/>
              <w:rPr>
                <w:rFonts w:ascii="宋体" w:hAnsi="宋体" w:eastAsia="宋体" w:cs="宋体"/>
                <w:sz w:val="21"/>
                <w:szCs w:val="21"/>
              </w:rPr>
            </w:pPr>
            <w:r>
              <w:rPr>
                <w:rFonts w:ascii="宋体" w:hAnsi="宋体" w:eastAsia="宋体" w:cs="宋体"/>
                <w:sz w:val="21"/>
                <w:szCs w:val="21"/>
              </w:rPr>
              <w:t>二类限区</w:t>
            </w:r>
          </w:p>
        </w:tc>
        <w:tc>
          <w:tcPr>
            <w:tcW w:w="1256" w:type="dxa"/>
            <w:tcBorders>
              <w:tl2br w:val="nil"/>
              <w:tr2bl w:val="nil"/>
            </w:tcBorders>
          </w:tcPr>
          <w:p>
            <w:pPr>
              <w:pStyle w:val="4069"/>
              <w:spacing w:before="120" w:line="240" w:lineRule="auto"/>
              <w:ind w:left="307" w:right="0"/>
              <w:jc w:val="left"/>
              <w:rPr>
                <w:rFonts w:ascii="宋体" w:hAnsi="宋体" w:eastAsia="宋体" w:cs="宋体"/>
                <w:sz w:val="21"/>
                <w:szCs w:val="21"/>
              </w:rPr>
            </w:pPr>
            <w:r>
              <w:rPr>
                <w:rFonts w:ascii="宋体" w:hAnsi="宋体" w:eastAsia="宋体" w:cs="宋体"/>
                <w:sz w:val="21"/>
                <w:szCs w:val="21"/>
              </w:rPr>
              <w:t>一小时</w:t>
            </w:r>
          </w:p>
        </w:tc>
        <w:tc>
          <w:tcPr>
            <w:tcW w:w="1912" w:type="dxa"/>
            <w:tcBorders>
              <w:tl2br w:val="nil"/>
              <w:tr2bl w:val="nil"/>
            </w:tcBorders>
          </w:tcPr>
          <w:p>
            <w:pPr>
              <w:pStyle w:val="4069"/>
              <w:spacing w:before="166" w:line="240" w:lineRule="auto"/>
              <w:ind w:left="1" w:right="0"/>
              <w:jc w:val="center"/>
              <w:rPr>
                <w:rFonts w:ascii="Times New Roman" w:hAnsi="Times New Roman" w:eastAsia="Times New Roman" w:cs="Times New Roman"/>
                <w:sz w:val="21"/>
                <w:szCs w:val="21"/>
              </w:rPr>
            </w:pPr>
            <w:r>
              <w:rPr>
                <w:rFonts w:ascii="Times New Roman"/>
                <w:spacing w:val="1"/>
                <w:sz w:val="21"/>
              </w:rPr>
              <w:t>10</w:t>
            </w:r>
          </w:p>
        </w:tc>
        <w:tc>
          <w:tcPr>
            <w:tcW w:w="2719" w:type="dxa"/>
            <w:vMerge w:val="continue"/>
            <w:tcBorders>
              <w:tl2br w:val="nil"/>
              <w:tr2bl w:val="nil"/>
            </w:tcBorders>
          </w:tcPr>
          <w:p/>
        </w:tc>
      </w:tr>
    </w:tbl>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④项目参数</w:t>
      </w:r>
    </w:p>
    <w:p>
      <w:pPr>
        <w:adjustRightInd w:val="0"/>
        <w:snapToGrid w:val="0"/>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估算模式所用参数见表。</w:t>
      </w:r>
    </w:p>
    <w:p>
      <w:pPr>
        <w:adjustRightInd w:val="0"/>
        <w:snapToGrid w:val="0"/>
        <w:spacing w:line="360" w:lineRule="auto"/>
        <w:ind w:firstLine="480"/>
        <w:jc w:val="center"/>
        <w:rPr>
          <w:rFonts w:hint="eastAsia" w:ascii="Times New Roman" w:hAnsi="Times New Roman" w:eastAsia="宋体" w:cs="Times New Roman"/>
          <w:sz w:val="24"/>
          <w:lang w:eastAsia="zh-CN"/>
        </w:rPr>
      </w:pPr>
      <w:r>
        <w:rPr>
          <w:rFonts w:hint="default" w:ascii="Times New Roman" w:hAnsi="Times New Roman" w:eastAsia="宋体" w:cs="Times New Roman"/>
          <w:sz w:val="24"/>
        </w:rPr>
        <w:t>表</w:t>
      </w:r>
      <w:r>
        <w:rPr>
          <w:rFonts w:hint="eastAsia" w:ascii="Times New Roman" w:hAnsi="Times New Roman" w:eastAsia="宋体" w:cs="Times New Roman"/>
          <w:sz w:val="24"/>
          <w:lang w:val="en-US" w:eastAsia="zh-CN"/>
        </w:rPr>
        <w:t>6</w:t>
      </w:r>
      <w:r>
        <w:rPr>
          <w:rFonts w:hint="default" w:ascii="Times New Roman" w:hAnsi="Times New Roman" w:eastAsia="宋体" w:cs="Times New Roman"/>
          <w:sz w:val="24"/>
        </w:rPr>
        <w:t>.1-</w:t>
      </w:r>
      <w:r>
        <w:rPr>
          <w:rFonts w:hint="eastAsia" w:ascii="Times New Roman" w:hAnsi="Times New Roman" w:eastAsia="宋体" w:cs="Times New Roman"/>
          <w:sz w:val="24"/>
          <w:lang w:val="en-US" w:eastAsia="zh-CN"/>
        </w:rPr>
        <w:t xml:space="preserve">2 </w:t>
      </w:r>
      <w:r>
        <w:rPr>
          <w:rFonts w:hint="default" w:ascii="Times New Roman" w:hAnsi="Times New Roman" w:eastAsia="宋体" w:cs="Times New Roman"/>
          <w:sz w:val="24"/>
        </w:rPr>
        <w:t xml:space="preserve">  估算模型参数表</w:t>
      </w:r>
    </w:p>
    <w:tbl>
      <w:tblPr>
        <w:tblStyle w:val="88"/>
        <w:tblW w:w="0" w:type="auto"/>
        <w:tblInd w:w="10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988"/>
        <w:gridCol w:w="2339"/>
        <w:gridCol w:w="41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exact"/>
        </w:trPr>
        <w:tc>
          <w:tcPr>
            <w:tcW w:w="4327" w:type="dxa"/>
            <w:gridSpan w:val="2"/>
            <w:tcBorders>
              <w:tl2br w:val="nil"/>
              <w:tr2bl w:val="nil"/>
            </w:tcBorders>
          </w:tcPr>
          <w:p>
            <w:pPr>
              <w:pStyle w:val="4069"/>
              <w:spacing w:before="18" w:line="240" w:lineRule="auto"/>
              <w:ind w:right="9"/>
              <w:jc w:val="center"/>
              <w:rPr>
                <w:rFonts w:ascii="宋体" w:hAnsi="宋体" w:eastAsia="宋体" w:cs="宋体"/>
                <w:sz w:val="21"/>
                <w:szCs w:val="21"/>
              </w:rPr>
            </w:pPr>
            <w:r>
              <w:rPr>
                <w:rFonts w:ascii="宋体" w:hAnsi="宋体" w:eastAsia="宋体" w:cs="宋体"/>
                <w:spacing w:val="1"/>
                <w:sz w:val="21"/>
                <w:szCs w:val="21"/>
              </w:rPr>
              <w:t>参数</w:t>
            </w:r>
          </w:p>
        </w:tc>
        <w:tc>
          <w:tcPr>
            <w:tcW w:w="4177" w:type="dxa"/>
            <w:tcBorders>
              <w:tl2br w:val="nil"/>
              <w:tr2bl w:val="nil"/>
            </w:tcBorders>
          </w:tcPr>
          <w:p>
            <w:pPr>
              <w:pStyle w:val="4069"/>
              <w:spacing w:before="18" w:line="240" w:lineRule="auto"/>
              <w:ind w:left="8" w:right="0"/>
              <w:jc w:val="center"/>
              <w:rPr>
                <w:rFonts w:ascii="宋体" w:hAnsi="宋体" w:eastAsia="宋体" w:cs="宋体"/>
                <w:sz w:val="21"/>
                <w:szCs w:val="21"/>
              </w:rPr>
            </w:pPr>
            <w:r>
              <w:rPr>
                <w:rFonts w:ascii="宋体" w:hAnsi="宋体" w:eastAsia="宋体" w:cs="宋体"/>
                <w:spacing w:val="1"/>
                <w:sz w:val="21"/>
                <w:szCs w:val="21"/>
              </w:rPr>
              <w:t>取值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988" w:type="dxa"/>
            <w:vMerge w:val="restart"/>
            <w:tcBorders>
              <w:tl2br w:val="nil"/>
              <w:tr2bl w:val="nil"/>
            </w:tcBorders>
          </w:tcPr>
          <w:p>
            <w:pPr>
              <w:pStyle w:val="4069"/>
              <w:spacing w:before="176" w:line="240" w:lineRule="auto"/>
              <w:ind w:left="320" w:right="0"/>
              <w:jc w:val="left"/>
              <w:rPr>
                <w:rFonts w:ascii="宋体" w:hAnsi="宋体" w:eastAsia="宋体" w:cs="宋体"/>
                <w:sz w:val="21"/>
                <w:szCs w:val="21"/>
              </w:rPr>
            </w:pPr>
            <w:r>
              <w:rPr>
                <w:rFonts w:ascii="宋体" w:hAnsi="宋体" w:eastAsia="宋体" w:cs="宋体"/>
                <w:spacing w:val="-1"/>
                <w:sz w:val="21"/>
                <w:szCs w:val="21"/>
              </w:rPr>
              <w:t>城市农村</w:t>
            </w:r>
            <w:r>
              <w:rPr>
                <w:rFonts w:ascii="Times New Roman" w:hAnsi="Times New Roman" w:eastAsia="Times New Roman" w:cs="Times New Roman"/>
                <w:spacing w:val="-1"/>
                <w:sz w:val="21"/>
                <w:szCs w:val="21"/>
              </w:rPr>
              <w:t>/</w:t>
            </w:r>
            <w:r>
              <w:rPr>
                <w:rFonts w:ascii="宋体" w:hAnsi="宋体" w:eastAsia="宋体" w:cs="宋体"/>
                <w:spacing w:val="-1"/>
                <w:sz w:val="21"/>
                <w:szCs w:val="21"/>
              </w:rPr>
              <w:t>选项</w:t>
            </w:r>
          </w:p>
        </w:tc>
        <w:tc>
          <w:tcPr>
            <w:tcW w:w="2339" w:type="dxa"/>
            <w:tcBorders>
              <w:tl2br w:val="nil"/>
              <w:tr2bl w:val="nil"/>
            </w:tcBorders>
          </w:tcPr>
          <w:p>
            <w:pPr>
              <w:pStyle w:val="4069"/>
              <w:spacing w:before="1" w:line="240" w:lineRule="auto"/>
              <w:ind w:left="714" w:right="0"/>
              <w:jc w:val="left"/>
              <w:rPr>
                <w:rFonts w:ascii="宋体" w:hAnsi="宋体" w:eastAsia="宋体" w:cs="宋体"/>
                <w:sz w:val="21"/>
                <w:szCs w:val="21"/>
              </w:rPr>
            </w:pPr>
            <w:r>
              <w:rPr>
                <w:rFonts w:ascii="宋体" w:hAnsi="宋体" w:eastAsia="宋体" w:cs="宋体"/>
                <w:sz w:val="21"/>
                <w:szCs w:val="21"/>
              </w:rPr>
              <w:t>城市</w:t>
            </w:r>
            <w:r>
              <w:rPr>
                <w:rFonts w:ascii="Times New Roman" w:hAnsi="Times New Roman" w:eastAsia="Times New Roman" w:cs="Times New Roman"/>
                <w:sz w:val="21"/>
                <w:szCs w:val="21"/>
              </w:rPr>
              <w:t>/</w:t>
            </w:r>
            <w:r>
              <w:rPr>
                <w:rFonts w:ascii="宋体" w:hAnsi="宋体" w:eastAsia="宋体" w:cs="宋体"/>
                <w:sz w:val="21"/>
                <w:szCs w:val="21"/>
              </w:rPr>
              <w:t>农村</w:t>
            </w:r>
          </w:p>
        </w:tc>
        <w:tc>
          <w:tcPr>
            <w:tcW w:w="4177" w:type="dxa"/>
            <w:tcBorders>
              <w:tl2br w:val="nil"/>
              <w:tr2bl w:val="nil"/>
            </w:tcBorders>
          </w:tcPr>
          <w:p>
            <w:pPr>
              <w:pStyle w:val="4069"/>
              <w:spacing w:before="1" w:line="240" w:lineRule="auto"/>
              <w:ind w:left="6" w:right="0"/>
              <w:jc w:val="center"/>
              <w:rPr>
                <w:rFonts w:ascii="宋体" w:hAnsi="宋体" w:eastAsia="宋体" w:cs="宋体"/>
                <w:sz w:val="21"/>
                <w:szCs w:val="21"/>
              </w:rPr>
            </w:pPr>
            <w:r>
              <w:rPr>
                <w:rFonts w:ascii="宋体" w:hAnsi="宋体" w:eastAsia="宋体" w:cs="宋体"/>
                <w:sz w:val="21"/>
                <w:szCs w:val="21"/>
              </w:rPr>
              <w:t>农村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988" w:type="dxa"/>
            <w:vMerge w:val="continue"/>
            <w:tcBorders>
              <w:tl2br w:val="nil"/>
              <w:tr2bl w:val="nil"/>
            </w:tcBorders>
          </w:tcPr>
          <w:p/>
        </w:tc>
        <w:tc>
          <w:tcPr>
            <w:tcW w:w="2339" w:type="dxa"/>
            <w:tcBorders>
              <w:tl2br w:val="nil"/>
              <w:tr2bl w:val="nil"/>
            </w:tcBorders>
          </w:tcPr>
          <w:p>
            <w:pPr>
              <w:pStyle w:val="4069"/>
              <w:spacing w:before="1" w:line="240" w:lineRule="auto"/>
              <w:ind w:left="254" w:right="0"/>
              <w:jc w:val="left"/>
              <w:rPr>
                <w:rFonts w:ascii="Times New Roman" w:hAnsi="Times New Roman" w:eastAsia="Times New Roman" w:cs="Times New Roman"/>
                <w:sz w:val="21"/>
                <w:szCs w:val="21"/>
              </w:rPr>
            </w:pPr>
            <w:r>
              <w:rPr>
                <w:rFonts w:ascii="宋体" w:hAnsi="宋体" w:eastAsia="宋体" w:cs="宋体"/>
                <w:spacing w:val="-1"/>
                <w:sz w:val="21"/>
                <w:szCs w:val="21"/>
              </w:rPr>
              <w:t>人口数</w:t>
            </w:r>
            <w:r>
              <w:rPr>
                <w:rFonts w:ascii="Times New Roman" w:hAnsi="Times New Roman" w:eastAsia="Times New Roman" w:cs="Times New Roman"/>
                <w:spacing w:val="-1"/>
                <w:sz w:val="21"/>
                <w:szCs w:val="21"/>
              </w:rPr>
              <w:t>(</w:t>
            </w:r>
            <w:r>
              <w:rPr>
                <w:rFonts w:ascii="宋体" w:hAnsi="宋体" w:eastAsia="宋体" w:cs="宋体"/>
                <w:spacing w:val="-1"/>
                <w:sz w:val="21"/>
                <w:szCs w:val="21"/>
              </w:rPr>
              <w:t>城市人口数</w:t>
            </w:r>
            <w:r>
              <w:rPr>
                <w:rFonts w:ascii="Times New Roman" w:hAnsi="Times New Roman" w:eastAsia="Times New Roman" w:cs="Times New Roman"/>
                <w:spacing w:val="-1"/>
                <w:sz w:val="21"/>
                <w:szCs w:val="21"/>
              </w:rPr>
              <w:t>)</w:t>
            </w:r>
          </w:p>
        </w:tc>
        <w:tc>
          <w:tcPr>
            <w:tcW w:w="4177" w:type="dxa"/>
            <w:tcBorders>
              <w:tl2br w:val="nil"/>
              <w:tr2bl w:val="nil"/>
            </w:tcBorders>
          </w:tcPr>
          <w:p>
            <w:pPr>
              <w:pStyle w:val="4069"/>
              <w:spacing w:before="47" w:line="240" w:lineRule="auto"/>
              <w:ind w:left="8" w:right="0"/>
              <w:jc w:val="center"/>
              <w:rPr>
                <w:rFonts w:ascii="Times New Roman" w:hAnsi="Times New Roman" w:eastAsia="Times New Roman" w:cs="Times New Roman"/>
                <w:sz w:val="21"/>
                <w:szCs w:val="21"/>
              </w:rPr>
            </w:pPr>
            <w:r>
              <w:rPr>
                <w:rFonts w:ascii="Times New Roman"/>
                <w:spacing w:val="-1"/>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4327" w:type="dxa"/>
            <w:gridSpan w:val="2"/>
            <w:tcBorders>
              <w:tl2br w:val="nil"/>
              <w:tr2bl w:val="nil"/>
            </w:tcBorders>
          </w:tcPr>
          <w:p>
            <w:pPr>
              <w:pStyle w:val="4069"/>
              <w:spacing w:before="3" w:line="240" w:lineRule="auto"/>
              <w:ind w:left="1498" w:right="1509"/>
              <w:jc w:val="center"/>
              <w:rPr>
                <w:rFonts w:ascii="宋体" w:hAnsi="宋体" w:eastAsia="宋体" w:cs="宋体"/>
                <w:sz w:val="21"/>
                <w:szCs w:val="21"/>
              </w:rPr>
            </w:pPr>
            <w:r>
              <w:rPr>
                <w:rFonts w:ascii="宋体" w:hAnsi="宋体" w:eastAsia="宋体" w:cs="宋体"/>
                <w:sz w:val="21"/>
                <w:szCs w:val="21"/>
              </w:rPr>
              <w:t>最高环境温度</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Times New Roman" w:cs="Times New Roman"/>
                <w:sz w:val="21"/>
                <w:szCs w:val="21"/>
              </w:rPr>
            </w:pPr>
            <w:r>
              <w:rPr>
                <w:rFonts w:hint="default" w:ascii="Times New Roman" w:hAnsi="Times New Roman" w:cs="Times New Roman"/>
                <w:spacing w:val="0"/>
                <w:w w:val="100"/>
                <w:position w:val="0"/>
                <w:sz w:val="21"/>
              </w:rPr>
              <w:t>3</w:t>
            </w:r>
            <w:r>
              <w:rPr>
                <w:rFonts w:hint="default" w:ascii="Times New Roman" w:hAnsi="Times New Roman" w:cs="Times New Roman"/>
                <w:spacing w:val="0"/>
                <w:w w:val="100"/>
                <w:position w:val="0"/>
                <w:sz w:val="21"/>
                <w:lang w:val="en-US" w:eastAsia="zh-CN"/>
              </w:rPr>
              <w:t>6</w:t>
            </w:r>
            <w:r>
              <w:rPr>
                <w:rFonts w:hint="default" w:ascii="Times New Roman" w:hAnsi="Times New Roman" w:cs="Times New Roman"/>
                <w:spacing w:val="0"/>
                <w:w w:val="100"/>
                <w:position w:val="0"/>
                <w:sz w:val="21"/>
              </w:rPr>
              <w:t>.</w:t>
            </w:r>
            <w:r>
              <w:rPr>
                <w:rFonts w:hint="default" w:ascii="Times New Roman" w:hAnsi="Times New Roman" w:cs="Times New Roman"/>
                <w:spacing w:val="0"/>
                <w:w w:val="100"/>
                <w:position w:val="0"/>
                <w:sz w:val="21"/>
                <w:lang w:val="en-US" w:eastAsia="zh-CN"/>
              </w:rPr>
              <w:t>2</w:t>
            </w:r>
            <w:r>
              <w:rPr>
                <w:rFonts w:hint="default" w:ascii="Times New Roman" w:hAnsi="Times New Roman" w:cs="Times New Roman"/>
                <w:spacing w:val="0"/>
                <w:w w:val="100"/>
                <w:position w:val="0"/>
                <w:sz w:val="21"/>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4327" w:type="dxa"/>
            <w:gridSpan w:val="2"/>
            <w:tcBorders>
              <w:tl2br w:val="nil"/>
              <w:tr2bl w:val="nil"/>
            </w:tcBorders>
          </w:tcPr>
          <w:p>
            <w:pPr>
              <w:pStyle w:val="4069"/>
              <w:spacing w:before="1" w:line="240" w:lineRule="auto"/>
              <w:ind w:right="11"/>
              <w:jc w:val="center"/>
              <w:rPr>
                <w:rFonts w:ascii="宋体" w:hAnsi="宋体" w:eastAsia="宋体" w:cs="宋体"/>
                <w:sz w:val="21"/>
                <w:szCs w:val="21"/>
              </w:rPr>
            </w:pPr>
            <w:r>
              <w:rPr>
                <w:rFonts w:ascii="宋体" w:hAnsi="宋体" w:eastAsia="宋体" w:cs="宋体"/>
                <w:sz w:val="21"/>
                <w:szCs w:val="21"/>
              </w:rPr>
              <w:t>最低环境温度</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Times New Roman" w:cs="Times New Roman"/>
                <w:sz w:val="21"/>
                <w:szCs w:val="21"/>
              </w:rPr>
            </w:pPr>
            <w:r>
              <w:rPr>
                <w:rFonts w:hint="default" w:ascii="Times New Roman" w:hAnsi="Times New Roman" w:cs="Times New Roman"/>
                <w:spacing w:val="0"/>
                <w:w w:val="100"/>
                <w:position w:val="0"/>
                <w:sz w:val="21"/>
              </w:rPr>
              <w:t>-</w:t>
            </w:r>
            <w:r>
              <w:rPr>
                <w:rFonts w:hint="default" w:ascii="Times New Roman" w:hAnsi="Times New Roman" w:cs="Times New Roman"/>
                <w:spacing w:val="0"/>
                <w:w w:val="100"/>
                <w:position w:val="0"/>
                <w:sz w:val="21"/>
                <w:lang w:val="en-US" w:eastAsia="zh-CN"/>
              </w:rPr>
              <w:t>3.3</w:t>
            </w:r>
            <w:r>
              <w:rPr>
                <w:rFonts w:hint="default" w:ascii="Times New Roman" w:hAnsi="Times New Roman" w:cs="Times New Roman"/>
                <w:spacing w:val="0"/>
                <w:w w:val="100"/>
                <w:position w:val="0"/>
                <w:sz w:val="21"/>
              </w:rPr>
              <w:t>°C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4327" w:type="dxa"/>
            <w:gridSpan w:val="2"/>
            <w:tcBorders>
              <w:tl2br w:val="nil"/>
              <w:tr2bl w:val="nil"/>
            </w:tcBorders>
          </w:tcPr>
          <w:p>
            <w:pPr>
              <w:pStyle w:val="4069"/>
              <w:spacing w:before="1" w:line="240" w:lineRule="auto"/>
              <w:ind w:left="1498" w:right="1510"/>
              <w:jc w:val="center"/>
              <w:rPr>
                <w:rFonts w:ascii="宋体" w:hAnsi="宋体" w:eastAsia="宋体" w:cs="宋体"/>
                <w:sz w:val="21"/>
                <w:szCs w:val="21"/>
              </w:rPr>
            </w:pPr>
            <w:r>
              <w:rPr>
                <w:rFonts w:ascii="宋体" w:hAnsi="宋体" w:eastAsia="宋体" w:cs="宋体"/>
                <w:sz w:val="21"/>
                <w:szCs w:val="21"/>
              </w:rPr>
              <w:t>土地利用类型</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宋体" w:hAnsi="宋体" w:eastAsia="宋体" w:cs="宋体"/>
                <w:sz w:val="21"/>
                <w:szCs w:val="21"/>
              </w:rPr>
            </w:pPr>
            <w:r>
              <w:rPr>
                <w:rFonts w:hint="default" w:ascii="Times New Roman" w:hAnsi="Times New Roman" w:cs="Times New Roman"/>
                <w:spacing w:val="0"/>
                <w:w w:val="100"/>
                <w:position w:val="0"/>
                <w:sz w:val="21"/>
              </w:rPr>
              <w:t>阔叶林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4327" w:type="dxa"/>
            <w:gridSpan w:val="2"/>
            <w:tcBorders>
              <w:tl2br w:val="nil"/>
              <w:tr2bl w:val="nil"/>
            </w:tcBorders>
          </w:tcPr>
          <w:p>
            <w:pPr>
              <w:pStyle w:val="4069"/>
              <w:spacing w:before="3" w:line="240" w:lineRule="auto"/>
              <w:ind w:left="1498" w:right="1510"/>
              <w:jc w:val="center"/>
              <w:rPr>
                <w:rFonts w:ascii="宋体" w:hAnsi="宋体" w:eastAsia="宋体" w:cs="宋体"/>
                <w:sz w:val="21"/>
                <w:szCs w:val="21"/>
              </w:rPr>
            </w:pPr>
            <w:r>
              <w:rPr>
                <w:rFonts w:ascii="宋体" w:hAnsi="宋体" w:eastAsia="宋体" w:cs="宋体"/>
                <w:sz w:val="21"/>
                <w:szCs w:val="21"/>
              </w:rPr>
              <w:t>区域湿度条件</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宋体" w:hAnsi="宋体" w:eastAsia="宋体" w:cs="宋体"/>
                <w:sz w:val="21"/>
                <w:szCs w:val="21"/>
              </w:rPr>
            </w:pPr>
            <w:r>
              <w:rPr>
                <w:rFonts w:hint="default" w:ascii="Times New Roman" w:hAnsi="Times New Roman" w:cs="Times New Roman"/>
                <w:spacing w:val="0"/>
                <w:w w:val="100"/>
                <w:position w:val="0"/>
                <w:sz w:val="21"/>
              </w:rPr>
              <w:t>潮湿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988" w:type="dxa"/>
            <w:vMerge w:val="restart"/>
            <w:tcBorders>
              <w:tl2br w:val="nil"/>
              <w:tr2bl w:val="nil"/>
            </w:tcBorders>
          </w:tcPr>
          <w:p>
            <w:pPr>
              <w:pStyle w:val="4069"/>
              <w:spacing w:before="177" w:line="240" w:lineRule="auto"/>
              <w:ind w:left="349" w:right="0"/>
              <w:jc w:val="left"/>
              <w:rPr>
                <w:rFonts w:ascii="宋体" w:hAnsi="宋体" w:eastAsia="宋体" w:cs="宋体"/>
                <w:sz w:val="21"/>
                <w:szCs w:val="21"/>
              </w:rPr>
            </w:pPr>
            <w:r>
              <w:rPr>
                <w:rFonts w:ascii="宋体" w:hAnsi="宋体" w:eastAsia="宋体" w:cs="宋体"/>
                <w:sz w:val="21"/>
                <w:szCs w:val="21"/>
              </w:rPr>
              <w:t>是否考虑地形</w:t>
            </w:r>
          </w:p>
        </w:tc>
        <w:tc>
          <w:tcPr>
            <w:tcW w:w="2339" w:type="dxa"/>
            <w:tcBorders>
              <w:tl2br w:val="nil"/>
              <w:tr2bl w:val="nil"/>
            </w:tcBorders>
          </w:tcPr>
          <w:p>
            <w:pPr>
              <w:pStyle w:val="4069"/>
              <w:spacing w:before="1" w:line="240" w:lineRule="auto"/>
              <w:ind w:left="742" w:right="0"/>
              <w:jc w:val="left"/>
              <w:rPr>
                <w:rFonts w:ascii="宋体" w:hAnsi="宋体" w:eastAsia="宋体" w:cs="宋体"/>
                <w:sz w:val="21"/>
                <w:szCs w:val="21"/>
              </w:rPr>
            </w:pPr>
            <w:r>
              <w:rPr>
                <w:rFonts w:ascii="宋体" w:hAnsi="宋体" w:eastAsia="宋体" w:cs="宋体"/>
                <w:sz w:val="21"/>
                <w:szCs w:val="21"/>
              </w:rPr>
              <w:t>考虑地形</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宋体" w:hAnsi="宋体" w:eastAsia="宋体" w:cs="宋体"/>
                <w:sz w:val="21"/>
                <w:szCs w:val="21"/>
              </w:rPr>
            </w:pPr>
            <w:r>
              <w:rPr>
                <w:rFonts w:hint="default" w:ascii="Times New Roman" w:hAnsi="Times New Roman" w:cs="Times New Roman"/>
                <w:spacing w:val="0"/>
                <w:w w:val="100"/>
                <w:position w:val="0"/>
                <w:sz w:val="21"/>
                <w:lang w:val="en-US" w:eastAsia="zh-CN"/>
              </w:rPr>
              <w:t>是</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988" w:type="dxa"/>
            <w:vMerge w:val="continue"/>
            <w:tcBorders>
              <w:tl2br w:val="nil"/>
              <w:tr2bl w:val="nil"/>
            </w:tcBorders>
          </w:tcPr>
          <w:p/>
        </w:tc>
        <w:tc>
          <w:tcPr>
            <w:tcW w:w="2339" w:type="dxa"/>
            <w:tcBorders>
              <w:tl2br w:val="nil"/>
              <w:tr2bl w:val="nil"/>
            </w:tcBorders>
          </w:tcPr>
          <w:p>
            <w:pPr>
              <w:pStyle w:val="4069"/>
              <w:spacing w:before="1" w:line="240" w:lineRule="auto"/>
              <w:ind w:left="278" w:right="0"/>
              <w:jc w:val="left"/>
              <w:rPr>
                <w:rFonts w:ascii="Times New Roman" w:hAnsi="Times New Roman" w:eastAsia="Times New Roman" w:cs="Times New Roman"/>
                <w:sz w:val="21"/>
                <w:szCs w:val="21"/>
              </w:rPr>
            </w:pPr>
            <w:r>
              <w:rPr>
                <w:rFonts w:ascii="宋体" w:hAnsi="宋体" w:eastAsia="宋体" w:cs="宋体"/>
                <w:spacing w:val="-1"/>
                <w:sz w:val="21"/>
                <w:szCs w:val="21"/>
              </w:rPr>
              <w:t>地形数据分辨率</w:t>
            </w:r>
            <w:r>
              <w:rPr>
                <w:rFonts w:ascii="Times New Roman" w:hAnsi="Times New Roman" w:eastAsia="Times New Roman" w:cs="Times New Roman"/>
                <w:spacing w:val="-1"/>
                <w:sz w:val="21"/>
                <w:szCs w:val="21"/>
              </w:rPr>
              <w:t>(m)</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Times New Roman" w:hAnsi="Times New Roman" w:eastAsia="Times New Roman" w:cs="Times New Roman"/>
                <w:sz w:val="21"/>
                <w:szCs w:val="21"/>
              </w:rPr>
            </w:pPr>
            <w:r>
              <w:rPr>
                <w:rFonts w:hint="default" w:ascii="Times New Roman" w:hAnsi="Times New Roman" w:cs="Times New Roman"/>
                <w:spacing w:val="0"/>
                <w:w w:val="100"/>
                <w:position w:val="0"/>
                <w:sz w:val="21"/>
                <w:lang w:val="en-US" w:eastAsia="zh-CN"/>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988" w:type="dxa"/>
            <w:vMerge w:val="restart"/>
            <w:tcBorders>
              <w:tl2br w:val="nil"/>
              <w:tr2bl w:val="nil"/>
            </w:tcBorders>
          </w:tcPr>
          <w:p>
            <w:pPr>
              <w:pStyle w:val="4069"/>
              <w:spacing w:before="6" w:line="190" w:lineRule="exact"/>
              <w:ind w:right="0"/>
              <w:jc w:val="left"/>
              <w:rPr>
                <w:sz w:val="19"/>
                <w:szCs w:val="19"/>
              </w:rPr>
            </w:pPr>
          </w:p>
          <w:p>
            <w:pPr>
              <w:pStyle w:val="4069"/>
              <w:spacing w:line="275" w:lineRule="auto"/>
              <w:ind w:left="873" w:right="149" w:hanging="735"/>
              <w:jc w:val="left"/>
              <w:rPr>
                <w:rFonts w:ascii="宋体" w:hAnsi="宋体" w:eastAsia="宋体" w:cs="宋体"/>
                <w:sz w:val="21"/>
                <w:szCs w:val="21"/>
              </w:rPr>
            </w:pPr>
            <w:r>
              <w:rPr>
                <w:rFonts w:ascii="宋体" w:hAnsi="宋体" w:eastAsia="宋体" w:cs="宋体"/>
                <w:sz w:val="21"/>
                <w:szCs w:val="21"/>
              </w:rPr>
              <w:t>是否考虑海岸线熏 烟</w:t>
            </w:r>
          </w:p>
        </w:tc>
        <w:tc>
          <w:tcPr>
            <w:tcW w:w="2339" w:type="dxa"/>
            <w:tcBorders>
              <w:tl2br w:val="nil"/>
              <w:tr2bl w:val="nil"/>
            </w:tcBorders>
          </w:tcPr>
          <w:p>
            <w:pPr>
              <w:pStyle w:val="4069"/>
              <w:spacing w:before="3" w:line="240" w:lineRule="auto"/>
              <w:ind w:left="428" w:right="0"/>
              <w:jc w:val="left"/>
              <w:rPr>
                <w:rFonts w:ascii="宋体" w:hAnsi="宋体" w:eastAsia="宋体" w:cs="宋体"/>
                <w:sz w:val="21"/>
                <w:szCs w:val="21"/>
              </w:rPr>
            </w:pPr>
            <w:r>
              <w:rPr>
                <w:rFonts w:ascii="宋体" w:hAnsi="宋体" w:eastAsia="宋体" w:cs="宋体"/>
                <w:sz w:val="21"/>
                <w:szCs w:val="21"/>
              </w:rPr>
              <w:t>考虑海岸线熏烟</w:t>
            </w:r>
          </w:p>
        </w:tc>
        <w:tc>
          <w:tcPr>
            <w:tcW w:w="417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leftChars="0" w:right="0" w:rightChars="0" w:firstLine="0" w:firstLineChars="0"/>
              <w:jc w:val="center"/>
              <w:textAlignment w:val="auto"/>
              <w:rPr>
                <w:rFonts w:ascii="宋体" w:hAnsi="宋体" w:eastAsia="宋体" w:cs="宋体"/>
                <w:sz w:val="21"/>
                <w:szCs w:val="21"/>
              </w:rPr>
            </w:pPr>
            <w:r>
              <w:rPr>
                <w:rFonts w:hint="default" w:ascii="Times New Roman" w:hAnsi="Times New Roman" w:cs="Times New Roman"/>
                <w:spacing w:val="0"/>
                <w:w w:val="100"/>
                <w:position w:val="0"/>
                <w:sz w:val="21"/>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988" w:type="dxa"/>
            <w:vMerge w:val="continue"/>
            <w:tcBorders>
              <w:tl2br w:val="nil"/>
              <w:tr2bl w:val="nil"/>
            </w:tcBorders>
          </w:tcPr>
          <w:p/>
        </w:tc>
        <w:tc>
          <w:tcPr>
            <w:tcW w:w="2339" w:type="dxa"/>
            <w:tcBorders>
              <w:tl2br w:val="nil"/>
              <w:tr2bl w:val="nil"/>
            </w:tcBorders>
          </w:tcPr>
          <w:p>
            <w:pPr>
              <w:pStyle w:val="4069"/>
              <w:spacing w:before="1" w:line="240" w:lineRule="auto"/>
              <w:ind w:left="475" w:right="0"/>
              <w:jc w:val="left"/>
              <w:rPr>
                <w:rFonts w:ascii="Times New Roman" w:hAnsi="Times New Roman" w:eastAsia="Times New Roman" w:cs="Times New Roman"/>
                <w:sz w:val="21"/>
                <w:szCs w:val="21"/>
              </w:rPr>
            </w:pPr>
            <w:r>
              <w:rPr>
                <w:rFonts w:ascii="宋体" w:hAnsi="宋体" w:eastAsia="宋体" w:cs="宋体"/>
                <w:sz w:val="21"/>
                <w:szCs w:val="21"/>
              </w:rPr>
              <w:t>海岸线距离</w:t>
            </w:r>
            <w:r>
              <w:rPr>
                <w:rFonts w:ascii="Times New Roman" w:hAnsi="Times New Roman" w:eastAsia="Times New Roman" w:cs="Times New Roman"/>
                <w:sz w:val="21"/>
                <w:szCs w:val="21"/>
              </w:rPr>
              <w:t>/km</w:t>
            </w:r>
          </w:p>
        </w:tc>
        <w:tc>
          <w:tcPr>
            <w:tcW w:w="4177" w:type="dxa"/>
            <w:tcBorders>
              <w:tl2br w:val="nil"/>
              <w:tr2bl w:val="nil"/>
            </w:tcBorders>
          </w:tcPr>
          <w:p>
            <w:pPr>
              <w:pStyle w:val="4069"/>
              <w:spacing w:before="47" w:line="240" w:lineRule="auto"/>
              <w:ind w:left="9" w:right="0"/>
              <w:jc w:val="center"/>
              <w:rPr>
                <w:rFonts w:ascii="Times New Roman" w:hAnsi="Times New Roman" w:eastAsia="Times New Roman" w:cs="Times New Roman"/>
                <w:sz w:val="21"/>
                <w:szCs w:val="21"/>
              </w:rPr>
            </w:pPr>
            <w:r>
              <w:rPr>
                <w:rFonts w:ascii="Times New Roman"/>
                <w:spacing w:val="-1"/>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3" w:hRule="exact"/>
        </w:trPr>
        <w:tc>
          <w:tcPr>
            <w:tcW w:w="1988" w:type="dxa"/>
            <w:vMerge w:val="continue"/>
            <w:tcBorders>
              <w:tl2br w:val="nil"/>
              <w:tr2bl w:val="nil"/>
            </w:tcBorders>
          </w:tcPr>
          <w:p/>
        </w:tc>
        <w:tc>
          <w:tcPr>
            <w:tcW w:w="2339" w:type="dxa"/>
            <w:tcBorders>
              <w:tl2br w:val="nil"/>
              <w:tr2bl w:val="nil"/>
            </w:tcBorders>
          </w:tcPr>
          <w:p>
            <w:pPr>
              <w:pStyle w:val="4069"/>
              <w:spacing w:before="1" w:line="240" w:lineRule="auto"/>
              <w:ind w:left="556" w:right="0"/>
              <w:jc w:val="left"/>
              <w:rPr>
                <w:rFonts w:ascii="Times New Roman" w:hAnsi="Times New Roman" w:eastAsia="Times New Roman" w:cs="Times New Roman"/>
                <w:sz w:val="21"/>
                <w:szCs w:val="21"/>
              </w:rPr>
            </w:pPr>
            <w:r>
              <w:rPr>
                <w:rFonts w:ascii="宋体" w:hAnsi="宋体" w:eastAsia="宋体" w:cs="宋体"/>
                <w:sz w:val="21"/>
                <w:szCs w:val="21"/>
              </w:rPr>
              <w:t>海岸线方向</w:t>
            </w:r>
            <w:r>
              <w:rPr>
                <w:rFonts w:ascii="Times New Roman" w:hAnsi="Times New Roman" w:eastAsia="Times New Roman" w:cs="Times New Roman"/>
                <w:sz w:val="21"/>
                <w:szCs w:val="21"/>
              </w:rPr>
              <w:t>/o</w:t>
            </w:r>
          </w:p>
        </w:tc>
        <w:tc>
          <w:tcPr>
            <w:tcW w:w="4177" w:type="dxa"/>
            <w:tcBorders>
              <w:tl2br w:val="nil"/>
              <w:tr2bl w:val="nil"/>
            </w:tcBorders>
          </w:tcPr>
          <w:p>
            <w:pPr>
              <w:pStyle w:val="4069"/>
              <w:spacing w:before="47" w:line="240" w:lineRule="auto"/>
              <w:ind w:left="8" w:right="0"/>
              <w:jc w:val="center"/>
              <w:rPr>
                <w:rFonts w:ascii="Times New Roman" w:hAnsi="Times New Roman" w:eastAsia="Times New Roman" w:cs="Times New Roman"/>
                <w:sz w:val="21"/>
                <w:szCs w:val="21"/>
              </w:rPr>
            </w:pPr>
            <w:r>
              <w:rPr>
                <w:rFonts w:ascii="Times New Roman"/>
                <w:sz w:val="21"/>
              </w:rPr>
              <w:t>--</w:t>
            </w:r>
          </w:p>
        </w:tc>
      </w:tr>
    </w:tbl>
    <w:p>
      <w:pPr>
        <w:pStyle w:val="2"/>
        <w:rPr>
          <w:rFonts w:hint="default" w:ascii="Times New Roman" w:hAnsi="Times New Roman" w:eastAsia="宋体" w:cs="Times New Roman"/>
          <w:sz w:val="24"/>
        </w:rPr>
      </w:pPr>
      <w:r>
        <w:rPr>
          <w:rFonts w:hint="default" w:ascii="Times New Roman" w:hAnsi="Times New Roman" w:eastAsia="宋体" w:cs="Times New Roman"/>
          <w:sz w:val="24"/>
        </w:rPr>
        <w:t>⑤污染源参数</w:t>
      </w:r>
    </w:p>
    <w:p>
      <w:pPr>
        <w:pStyle w:val="2"/>
        <w:rPr>
          <w:rFonts w:hint="default" w:ascii="Times New Roman" w:hAnsi="Times New Roman" w:eastAsia="宋体" w:cs="Times New Roman"/>
          <w:sz w:val="24"/>
        </w:rPr>
      </w:pPr>
      <w:r>
        <w:rPr>
          <w:rFonts w:hint="default" w:ascii="Times New Roman" w:hAnsi="Times New Roman" w:eastAsia="宋体" w:cs="Times New Roman"/>
          <w:sz w:val="24"/>
        </w:rPr>
        <w:t>以污水处理站、屠宰区、待宰圈为面源对H</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S及NH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进行预测，各废气排放源强及参数见表</w:t>
      </w:r>
      <w:r>
        <w:rPr>
          <w:rFonts w:hint="eastAsia" w:ascii="Times New Roman" w:hAnsi="Times New Roman" w:eastAsia="宋体" w:cs="Times New Roman"/>
          <w:sz w:val="24"/>
          <w:lang w:val="en-US" w:eastAsia="zh-CN"/>
        </w:rPr>
        <w:t>6.1-3</w:t>
      </w:r>
      <w:r>
        <w:rPr>
          <w:rFonts w:hint="default" w:ascii="Times New Roman" w:hAnsi="Times New Roman" w:eastAsia="宋体" w:cs="Times New Roman"/>
          <w:sz w:val="24"/>
        </w:rPr>
        <w:t>。锅炉烟气排放源强及参数</w:t>
      </w:r>
      <w:r>
        <w:rPr>
          <w:rFonts w:hint="eastAsia" w:ascii="Times New Roman" w:hAnsi="Times New Roman" w:eastAsia="宋体" w:cs="Times New Roman"/>
          <w:sz w:val="24"/>
          <w:lang w:eastAsia="zh-CN"/>
        </w:rPr>
        <w:t>见</w:t>
      </w:r>
      <w:r>
        <w:rPr>
          <w:rFonts w:hint="default" w:ascii="Times New Roman" w:hAnsi="Times New Roman" w:eastAsia="宋体" w:cs="Times New Roman"/>
          <w:sz w:val="24"/>
        </w:rPr>
        <w:t>表</w:t>
      </w:r>
      <w:r>
        <w:rPr>
          <w:rFonts w:hint="eastAsia" w:ascii="Times New Roman" w:hAnsi="Times New Roman" w:eastAsia="宋体" w:cs="Times New Roman"/>
          <w:sz w:val="24"/>
          <w:lang w:val="en-US" w:eastAsia="zh-CN"/>
        </w:rPr>
        <w:t>6.1-4</w:t>
      </w:r>
      <w:r>
        <w:rPr>
          <w:rFonts w:hint="default" w:ascii="Times New Roman" w:hAnsi="Times New Roman" w:eastAsia="宋体" w:cs="Times New Roman"/>
          <w:sz w:val="24"/>
        </w:rPr>
        <w:t>。</w:t>
      </w:r>
    </w:p>
    <w:p>
      <w:pPr>
        <w:pStyle w:val="2"/>
        <w:spacing w:before="18" w:line="240" w:lineRule="auto"/>
        <w:ind w:right="0"/>
        <w:jc w:val="center"/>
      </w:pPr>
      <w:r>
        <w:t>表</w:t>
      </w:r>
      <w:r>
        <w:rPr>
          <w:rFonts w:hint="eastAsia"/>
          <w:lang w:val="en-US" w:eastAsia="zh-CN"/>
        </w:rPr>
        <w:t xml:space="preserve">6.1-3  </w:t>
      </w:r>
      <w:r>
        <w:t>污水处理站、屠宰区、待宰圈预测因子及面源参数一览表</w:t>
      </w:r>
    </w:p>
    <w:tbl>
      <w:tblPr>
        <w:tblStyle w:val="88"/>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26"/>
        <w:gridCol w:w="1658"/>
        <w:gridCol w:w="1276"/>
        <w:gridCol w:w="1474"/>
        <w:gridCol w:w="1348"/>
        <w:gridCol w:w="134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7" w:hRule="exact"/>
        </w:trPr>
        <w:tc>
          <w:tcPr>
            <w:tcW w:w="1426" w:type="dxa"/>
            <w:vMerge w:val="restart"/>
            <w:tcBorders>
              <w:tl2br w:val="nil"/>
              <w:tr2bl w:val="nil"/>
            </w:tcBorders>
          </w:tcPr>
          <w:p>
            <w:pPr>
              <w:pStyle w:val="4069"/>
              <w:spacing w:before="4" w:line="190" w:lineRule="exact"/>
              <w:ind w:right="0"/>
              <w:jc w:val="left"/>
              <w:rPr>
                <w:sz w:val="19"/>
                <w:szCs w:val="19"/>
              </w:rPr>
            </w:pPr>
          </w:p>
          <w:p>
            <w:pPr>
              <w:pStyle w:val="4069"/>
              <w:spacing w:line="240" w:lineRule="auto"/>
              <w:ind w:left="172" w:right="0"/>
              <w:jc w:val="left"/>
              <w:rPr>
                <w:rFonts w:ascii="宋体" w:hAnsi="宋体" w:eastAsia="宋体" w:cs="宋体"/>
                <w:sz w:val="21"/>
                <w:szCs w:val="21"/>
              </w:rPr>
            </w:pPr>
            <w:r>
              <w:rPr>
                <w:rFonts w:ascii="宋体" w:hAnsi="宋体" w:eastAsia="宋体" w:cs="宋体"/>
                <w:sz w:val="21"/>
                <w:szCs w:val="21"/>
              </w:rPr>
              <w:t>构筑物名称</w:t>
            </w:r>
          </w:p>
        </w:tc>
        <w:tc>
          <w:tcPr>
            <w:tcW w:w="1658" w:type="dxa"/>
            <w:vMerge w:val="restart"/>
            <w:tcBorders>
              <w:tl2br w:val="nil"/>
              <w:tr2bl w:val="nil"/>
            </w:tcBorders>
          </w:tcPr>
          <w:p>
            <w:pPr>
              <w:pStyle w:val="4069"/>
              <w:spacing w:before="194" w:line="240" w:lineRule="auto"/>
              <w:ind w:left="108" w:right="0"/>
              <w:jc w:val="left"/>
              <w:rPr>
                <w:rFonts w:ascii="宋体" w:hAnsi="宋体" w:eastAsia="宋体" w:cs="宋体"/>
                <w:sz w:val="21"/>
                <w:szCs w:val="21"/>
              </w:rPr>
            </w:pPr>
            <w:r>
              <w:rPr>
                <w:rFonts w:ascii="宋体" w:hAnsi="宋体" w:eastAsia="宋体" w:cs="宋体"/>
                <w:sz w:val="21"/>
                <w:szCs w:val="21"/>
              </w:rPr>
              <w:t>面源长度（</w:t>
            </w:r>
            <w:r>
              <w:rPr>
                <w:rFonts w:ascii="Calibri" w:hAnsi="Calibri" w:eastAsia="Calibri" w:cs="Calibri"/>
                <w:b/>
                <w:bCs/>
                <w:sz w:val="21"/>
                <w:szCs w:val="21"/>
              </w:rPr>
              <w:t>m</w:t>
            </w:r>
            <w:r>
              <w:rPr>
                <w:rFonts w:ascii="宋体" w:hAnsi="宋体" w:eastAsia="宋体" w:cs="宋体"/>
                <w:sz w:val="21"/>
                <w:szCs w:val="21"/>
              </w:rPr>
              <w:t>）</w:t>
            </w:r>
          </w:p>
        </w:tc>
        <w:tc>
          <w:tcPr>
            <w:tcW w:w="1276" w:type="dxa"/>
            <w:vMerge w:val="restart"/>
            <w:tcBorders>
              <w:tl2br w:val="nil"/>
              <w:tr2bl w:val="nil"/>
            </w:tcBorders>
          </w:tcPr>
          <w:p>
            <w:pPr>
              <w:pStyle w:val="4069"/>
              <w:spacing w:before="37" w:line="240" w:lineRule="auto"/>
              <w:ind w:left="2" w:right="0"/>
              <w:jc w:val="center"/>
              <w:rPr>
                <w:rFonts w:ascii="宋体" w:hAnsi="宋体" w:eastAsia="宋体" w:cs="宋体"/>
                <w:sz w:val="21"/>
                <w:szCs w:val="21"/>
              </w:rPr>
            </w:pPr>
            <w:r>
              <w:rPr>
                <w:rFonts w:ascii="宋体" w:hAnsi="宋体" w:eastAsia="宋体" w:cs="宋体"/>
                <w:sz w:val="21"/>
                <w:szCs w:val="21"/>
              </w:rPr>
              <w:t>面源宽度</w:t>
            </w:r>
          </w:p>
          <w:p>
            <w:pPr>
              <w:pStyle w:val="4069"/>
              <w:spacing w:before="41" w:line="240" w:lineRule="auto"/>
              <w:ind w:right="1"/>
              <w:jc w:val="center"/>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b/>
                <w:bCs/>
                <w:spacing w:val="-1"/>
                <w:sz w:val="21"/>
                <w:szCs w:val="21"/>
              </w:rPr>
              <w:t>m</w:t>
            </w:r>
            <w:r>
              <w:rPr>
                <w:rFonts w:ascii="宋体" w:hAnsi="宋体" w:eastAsia="宋体" w:cs="宋体"/>
                <w:spacing w:val="-1"/>
                <w:sz w:val="21"/>
                <w:szCs w:val="21"/>
              </w:rPr>
              <w:t>）</w:t>
            </w:r>
          </w:p>
        </w:tc>
        <w:tc>
          <w:tcPr>
            <w:tcW w:w="1474" w:type="dxa"/>
            <w:vMerge w:val="restart"/>
            <w:tcBorders>
              <w:tl2br w:val="nil"/>
              <w:tr2bl w:val="nil"/>
            </w:tcBorders>
          </w:tcPr>
          <w:p>
            <w:pPr>
              <w:pStyle w:val="4069"/>
              <w:spacing w:before="37" w:line="276" w:lineRule="auto"/>
              <w:ind w:left="121" w:right="118" w:firstLine="85"/>
              <w:jc w:val="left"/>
              <w:rPr>
                <w:rFonts w:ascii="宋体" w:hAnsi="宋体" w:eastAsia="宋体" w:cs="宋体"/>
                <w:sz w:val="21"/>
                <w:szCs w:val="21"/>
              </w:rPr>
            </w:pPr>
            <w:r>
              <w:rPr>
                <w:rFonts w:ascii="宋体" w:hAnsi="宋体" w:eastAsia="宋体" w:cs="宋体"/>
                <w:sz w:val="21"/>
                <w:szCs w:val="21"/>
              </w:rPr>
              <w:t>面源初始排</w:t>
            </w:r>
            <w:r>
              <w:rPr>
                <w:rFonts w:ascii="宋体" w:hAnsi="宋体" w:eastAsia="宋体" w:cs="宋体"/>
                <w:spacing w:val="25"/>
                <w:sz w:val="21"/>
                <w:szCs w:val="21"/>
              </w:rPr>
              <w:t xml:space="preserve"> </w:t>
            </w:r>
            <w:r>
              <w:rPr>
                <w:rFonts w:ascii="宋体" w:hAnsi="宋体" w:eastAsia="宋体" w:cs="宋体"/>
                <w:sz w:val="21"/>
                <w:szCs w:val="21"/>
              </w:rPr>
              <w:t>放高度（</w:t>
            </w:r>
            <w:r>
              <w:rPr>
                <w:rFonts w:ascii="Calibri" w:hAnsi="Calibri" w:eastAsia="Calibri" w:cs="Calibri"/>
                <w:b/>
                <w:bCs/>
                <w:sz w:val="21"/>
                <w:szCs w:val="21"/>
              </w:rPr>
              <w:t>m</w:t>
            </w:r>
            <w:r>
              <w:rPr>
                <w:rFonts w:ascii="宋体" w:hAnsi="宋体" w:eastAsia="宋体" w:cs="宋体"/>
                <w:sz w:val="21"/>
                <w:szCs w:val="21"/>
              </w:rPr>
              <w:t>）</w:t>
            </w:r>
          </w:p>
        </w:tc>
        <w:tc>
          <w:tcPr>
            <w:tcW w:w="2694" w:type="dxa"/>
            <w:gridSpan w:val="2"/>
            <w:tcBorders>
              <w:tl2br w:val="nil"/>
              <w:tr2bl w:val="nil"/>
            </w:tcBorders>
          </w:tcPr>
          <w:p>
            <w:pPr>
              <w:pStyle w:val="4069"/>
              <w:spacing w:before="19" w:line="240" w:lineRule="auto"/>
              <w:ind w:left="297" w:right="0"/>
              <w:jc w:val="left"/>
              <w:rPr>
                <w:rFonts w:ascii="宋体" w:hAnsi="宋体" w:eastAsia="宋体" w:cs="宋体"/>
                <w:sz w:val="21"/>
                <w:szCs w:val="21"/>
              </w:rPr>
            </w:pPr>
            <w:r>
              <w:rPr>
                <w:rFonts w:ascii="宋体" w:hAnsi="宋体" w:eastAsia="宋体" w:cs="宋体"/>
                <w:sz w:val="21"/>
                <w:szCs w:val="21"/>
              </w:rPr>
              <w:t>评价因子源强（</w:t>
            </w:r>
            <w:r>
              <w:rPr>
                <w:rFonts w:ascii="Calibri" w:hAnsi="Calibri" w:eastAsia="Calibri" w:cs="Calibri"/>
                <w:b/>
                <w:bCs/>
                <w:sz w:val="21"/>
                <w:szCs w:val="21"/>
              </w:rPr>
              <w:t>kg/h</w:t>
            </w:r>
            <w:r>
              <w:rPr>
                <w:rFonts w:ascii="宋体" w:hAnsi="宋体" w:eastAsia="宋体" w:cs="宋体"/>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426" w:type="dxa"/>
            <w:vMerge w:val="continue"/>
            <w:tcBorders>
              <w:tl2br w:val="nil"/>
              <w:tr2bl w:val="nil"/>
            </w:tcBorders>
          </w:tcPr>
          <w:p/>
        </w:tc>
        <w:tc>
          <w:tcPr>
            <w:tcW w:w="1658" w:type="dxa"/>
            <w:vMerge w:val="continue"/>
            <w:tcBorders>
              <w:tl2br w:val="nil"/>
              <w:tr2bl w:val="nil"/>
            </w:tcBorders>
          </w:tcPr>
          <w:p/>
        </w:tc>
        <w:tc>
          <w:tcPr>
            <w:tcW w:w="1276" w:type="dxa"/>
            <w:vMerge w:val="continue"/>
            <w:tcBorders>
              <w:tl2br w:val="nil"/>
              <w:tr2bl w:val="nil"/>
            </w:tcBorders>
          </w:tcPr>
          <w:p/>
        </w:tc>
        <w:tc>
          <w:tcPr>
            <w:tcW w:w="1474" w:type="dxa"/>
            <w:vMerge w:val="continue"/>
            <w:tcBorders>
              <w:tl2br w:val="nil"/>
              <w:tr2bl w:val="nil"/>
            </w:tcBorders>
          </w:tcPr>
          <w:p/>
        </w:tc>
        <w:tc>
          <w:tcPr>
            <w:tcW w:w="1348" w:type="dxa"/>
            <w:tcBorders>
              <w:tl2br w:val="nil"/>
              <w:tr2bl w:val="nil"/>
            </w:tcBorders>
          </w:tcPr>
          <w:p>
            <w:pPr>
              <w:pStyle w:val="4069"/>
              <w:spacing w:before="40" w:line="240" w:lineRule="auto"/>
              <w:ind w:right="69"/>
              <w:jc w:val="center"/>
              <w:rPr>
                <w:rFonts w:ascii="Calibri" w:hAnsi="Calibri" w:eastAsia="Calibri" w:cs="Calibri"/>
                <w:sz w:val="21"/>
                <w:szCs w:val="21"/>
              </w:rPr>
            </w:pPr>
            <w:r>
              <w:rPr>
                <w:rFonts w:ascii="Calibri"/>
                <w:b/>
                <w:spacing w:val="-1"/>
                <w:sz w:val="21"/>
              </w:rPr>
              <w:t>NH</w:t>
            </w:r>
          </w:p>
        </w:tc>
        <w:tc>
          <w:tcPr>
            <w:tcW w:w="1346" w:type="dxa"/>
            <w:tcBorders>
              <w:tl2br w:val="nil"/>
              <w:tr2bl w:val="nil"/>
            </w:tcBorders>
          </w:tcPr>
          <w:p>
            <w:pPr>
              <w:pStyle w:val="4069"/>
              <w:spacing w:before="40" w:line="240" w:lineRule="auto"/>
              <w:ind w:left="9" w:right="0"/>
              <w:jc w:val="center"/>
              <w:rPr>
                <w:rFonts w:ascii="Calibri" w:hAnsi="Calibri" w:eastAsia="Calibri" w:cs="Calibri"/>
                <w:sz w:val="21"/>
                <w:szCs w:val="21"/>
              </w:rPr>
            </w:pPr>
            <w:r>
              <w:rPr>
                <w:rFonts w:ascii="Calibri"/>
                <w:b/>
                <w:sz w:val="21"/>
              </w:rPr>
              <w:t>H</w:t>
            </w:r>
            <w:r>
              <w:rPr>
                <w:rFonts w:ascii="Calibri"/>
                <w:b/>
                <w:spacing w:val="17"/>
                <w:sz w:val="21"/>
              </w:rPr>
              <w:t xml:space="preserve"> </w:t>
            </w:r>
            <w:r>
              <w:rPr>
                <w:rFonts w:ascii="Calibri"/>
                <w:b/>
                <w:sz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1" w:hRule="exact"/>
        </w:trPr>
        <w:tc>
          <w:tcPr>
            <w:tcW w:w="1426" w:type="dxa"/>
            <w:tcBorders>
              <w:tl2br w:val="nil"/>
              <w:tr2bl w:val="nil"/>
            </w:tcBorders>
          </w:tcPr>
          <w:p>
            <w:pPr>
              <w:pStyle w:val="4069"/>
              <w:spacing w:line="260" w:lineRule="exact"/>
              <w:ind w:left="277" w:right="0"/>
              <w:jc w:val="left"/>
              <w:rPr>
                <w:rFonts w:ascii="宋体" w:hAnsi="宋体" w:eastAsia="宋体" w:cs="宋体"/>
                <w:sz w:val="21"/>
                <w:szCs w:val="21"/>
              </w:rPr>
            </w:pPr>
            <w:r>
              <w:rPr>
                <w:rFonts w:ascii="宋体" w:hAnsi="宋体" w:eastAsia="宋体" w:cs="宋体"/>
                <w:sz w:val="21"/>
                <w:szCs w:val="21"/>
              </w:rPr>
              <w:t>屠宰区、</w:t>
            </w:r>
          </w:p>
          <w:p>
            <w:pPr>
              <w:pStyle w:val="4069"/>
              <w:spacing w:before="40" w:line="275" w:lineRule="auto"/>
              <w:ind w:left="382" w:right="53" w:hanging="291"/>
              <w:jc w:val="left"/>
              <w:rPr>
                <w:rFonts w:ascii="宋体" w:hAnsi="宋体" w:eastAsia="宋体" w:cs="宋体"/>
                <w:sz w:val="21"/>
                <w:szCs w:val="21"/>
              </w:rPr>
            </w:pPr>
            <w:r>
              <w:rPr>
                <w:rFonts w:ascii="宋体" w:hAnsi="宋体" w:eastAsia="宋体" w:cs="宋体"/>
                <w:sz w:val="21"/>
                <w:szCs w:val="21"/>
              </w:rPr>
              <w:t>污水处理站、 待宰圈</w:t>
            </w:r>
          </w:p>
        </w:tc>
        <w:tc>
          <w:tcPr>
            <w:tcW w:w="1658" w:type="dxa"/>
            <w:tcBorders>
              <w:tl2br w:val="nil"/>
              <w:tr2bl w:val="nil"/>
            </w:tcBorders>
          </w:tcPr>
          <w:p>
            <w:pPr>
              <w:pStyle w:val="4069"/>
              <w:spacing w:before="9" w:line="130" w:lineRule="exact"/>
              <w:ind w:right="0"/>
              <w:jc w:val="left"/>
              <w:rPr>
                <w:sz w:val="13"/>
                <w:szCs w:val="13"/>
              </w:rPr>
            </w:pPr>
          </w:p>
          <w:p>
            <w:pPr>
              <w:pStyle w:val="4069"/>
              <w:spacing w:line="200" w:lineRule="exact"/>
              <w:ind w:right="0"/>
              <w:jc w:val="left"/>
              <w:rPr>
                <w:sz w:val="20"/>
                <w:szCs w:val="20"/>
              </w:rPr>
            </w:pPr>
          </w:p>
          <w:p>
            <w:pPr>
              <w:pStyle w:val="4069"/>
              <w:spacing w:line="240" w:lineRule="auto"/>
              <w:ind w:left="0" w:right="0"/>
              <w:jc w:val="center"/>
              <w:rPr>
                <w:rFonts w:hint="default" w:ascii="Calibri" w:hAnsi="Calibri" w:eastAsia="宋体" w:cs="Calibri"/>
                <w:sz w:val="21"/>
                <w:szCs w:val="21"/>
                <w:lang w:val="en-US" w:eastAsia="zh-CN"/>
              </w:rPr>
            </w:pPr>
            <w:r>
              <w:rPr>
                <w:rFonts w:hint="eastAsia" w:ascii="Calibri" w:eastAsia="宋体"/>
                <w:sz w:val="21"/>
                <w:lang w:val="en-US" w:eastAsia="zh-CN"/>
              </w:rPr>
              <w:t>336</w:t>
            </w:r>
          </w:p>
        </w:tc>
        <w:tc>
          <w:tcPr>
            <w:tcW w:w="1276" w:type="dxa"/>
            <w:tcBorders>
              <w:tl2br w:val="nil"/>
              <w:tr2bl w:val="nil"/>
            </w:tcBorders>
          </w:tcPr>
          <w:p>
            <w:pPr>
              <w:pStyle w:val="4069"/>
              <w:spacing w:before="9" w:line="130" w:lineRule="exact"/>
              <w:ind w:right="0"/>
              <w:jc w:val="left"/>
              <w:rPr>
                <w:sz w:val="13"/>
                <w:szCs w:val="13"/>
              </w:rPr>
            </w:pPr>
          </w:p>
          <w:p>
            <w:pPr>
              <w:pStyle w:val="4069"/>
              <w:spacing w:line="200" w:lineRule="exact"/>
              <w:ind w:right="0"/>
              <w:jc w:val="left"/>
              <w:rPr>
                <w:sz w:val="20"/>
                <w:szCs w:val="20"/>
              </w:rPr>
            </w:pPr>
          </w:p>
          <w:p>
            <w:pPr>
              <w:pStyle w:val="4069"/>
              <w:spacing w:line="240" w:lineRule="auto"/>
              <w:ind w:left="0" w:right="0"/>
              <w:jc w:val="center"/>
              <w:rPr>
                <w:rFonts w:ascii="Calibri" w:hAnsi="Calibri" w:eastAsia="Calibri" w:cs="Calibri"/>
                <w:sz w:val="21"/>
                <w:szCs w:val="21"/>
              </w:rPr>
            </w:pPr>
            <w:r>
              <w:rPr>
                <w:rFonts w:hint="eastAsia" w:ascii="Calibri" w:eastAsia="宋体"/>
                <w:sz w:val="21"/>
                <w:lang w:val="en-US" w:eastAsia="zh-CN"/>
              </w:rPr>
              <w:t>2</w:t>
            </w:r>
            <w:r>
              <w:rPr>
                <w:rFonts w:ascii="Calibri"/>
                <w:sz w:val="21"/>
              </w:rPr>
              <w:t>08</w:t>
            </w:r>
          </w:p>
        </w:tc>
        <w:tc>
          <w:tcPr>
            <w:tcW w:w="1474" w:type="dxa"/>
            <w:tcBorders>
              <w:tl2br w:val="nil"/>
              <w:tr2bl w:val="nil"/>
            </w:tcBorders>
          </w:tcPr>
          <w:p>
            <w:pPr>
              <w:pStyle w:val="4069"/>
              <w:spacing w:before="9" w:line="130" w:lineRule="exact"/>
              <w:ind w:right="0"/>
              <w:jc w:val="left"/>
              <w:rPr>
                <w:sz w:val="13"/>
                <w:szCs w:val="13"/>
              </w:rPr>
            </w:pPr>
          </w:p>
          <w:p>
            <w:pPr>
              <w:pStyle w:val="4069"/>
              <w:spacing w:line="200" w:lineRule="exact"/>
              <w:ind w:right="0"/>
              <w:jc w:val="left"/>
              <w:rPr>
                <w:sz w:val="20"/>
                <w:szCs w:val="20"/>
              </w:rPr>
            </w:pPr>
          </w:p>
          <w:p>
            <w:pPr>
              <w:pStyle w:val="4069"/>
              <w:spacing w:line="240" w:lineRule="auto"/>
              <w:ind w:right="1"/>
              <w:jc w:val="center"/>
              <w:rPr>
                <w:rFonts w:ascii="Calibri" w:hAnsi="Calibri" w:eastAsia="Calibri" w:cs="Calibri"/>
                <w:sz w:val="21"/>
                <w:szCs w:val="21"/>
              </w:rPr>
            </w:pPr>
            <w:r>
              <w:rPr>
                <w:rFonts w:ascii="Calibri"/>
                <w:sz w:val="21"/>
              </w:rPr>
              <w:t>5</w:t>
            </w:r>
          </w:p>
        </w:tc>
        <w:tc>
          <w:tcPr>
            <w:tcW w:w="1348" w:type="dxa"/>
            <w:tcBorders>
              <w:tl2br w:val="nil"/>
              <w:tr2bl w:val="nil"/>
            </w:tcBorders>
          </w:tcPr>
          <w:p>
            <w:pPr>
              <w:pStyle w:val="4069"/>
              <w:spacing w:before="9" w:line="130" w:lineRule="exact"/>
              <w:ind w:right="0"/>
              <w:jc w:val="left"/>
              <w:rPr>
                <w:sz w:val="13"/>
                <w:szCs w:val="13"/>
              </w:rPr>
            </w:pPr>
          </w:p>
          <w:p>
            <w:pPr>
              <w:pStyle w:val="4069"/>
              <w:spacing w:line="200" w:lineRule="exact"/>
              <w:ind w:right="0"/>
              <w:jc w:val="left"/>
              <w:rPr>
                <w:sz w:val="20"/>
                <w:szCs w:val="20"/>
              </w:rPr>
            </w:pPr>
          </w:p>
          <w:p>
            <w:pPr>
              <w:pStyle w:val="4069"/>
              <w:spacing w:line="240" w:lineRule="auto"/>
              <w:ind w:left="323" w:right="0"/>
              <w:jc w:val="left"/>
              <w:rPr>
                <w:rFonts w:hint="default" w:ascii="Calibri" w:hAnsi="Calibri" w:eastAsia="宋体" w:cs="Calibri"/>
                <w:sz w:val="21"/>
                <w:szCs w:val="21"/>
                <w:lang w:val="en-US" w:eastAsia="zh-CN"/>
              </w:rPr>
            </w:pPr>
            <w:r>
              <w:rPr>
                <w:rFonts w:hint="eastAsia" w:ascii="Calibri" w:eastAsia="宋体"/>
                <w:sz w:val="21"/>
                <w:lang w:val="en-US" w:eastAsia="zh-CN"/>
              </w:rPr>
              <w:t>0.00422</w:t>
            </w:r>
          </w:p>
        </w:tc>
        <w:tc>
          <w:tcPr>
            <w:tcW w:w="1346" w:type="dxa"/>
            <w:tcBorders>
              <w:tl2br w:val="nil"/>
              <w:tr2bl w:val="nil"/>
            </w:tcBorders>
          </w:tcPr>
          <w:p>
            <w:pPr>
              <w:pStyle w:val="4069"/>
              <w:spacing w:before="9" w:line="130" w:lineRule="exact"/>
              <w:ind w:right="0"/>
              <w:jc w:val="left"/>
              <w:rPr>
                <w:sz w:val="13"/>
                <w:szCs w:val="13"/>
              </w:rPr>
            </w:pPr>
          </w:p>
          <w:p>
            <w:pPr>
              <w:pStyle w:val="4069"/>
              <w:spacing w:line="200" w:lineRule="exact"/>
              <w:ind w:right="0"/>
              <w:jc w:val="left"/>
              <w:rPr>
                <w:sz w:val="20"/>
                <w:szCs w:val="20"/>
              </w:rPr>
            </w:pPr>
          </w:p>
          <w:p>
            <w:pPr>
              <w:pStyle w:val="4069"/>
              <w:spacing w:line="240" w:lineRule="auto"/>
              <w:ind w:left="270" w:right="0"/>
              <w:jc w:val="left"/>
              <w:rPr>
                <w:rFonts w:hint="default" w:ascii="Calibri" w:hAnsi="Calibri" w:eastAsia="宋体" w:cs="Calibri"/>
                <w:sz w:val="21"/>
                <w:szCs w:val="21"/>
                <w:lang w:val="en-US" w:eastAsia="zh-CN"/>
              </w:rPr>
            </w:pPr>
            <w:r>
              <w:rPr>
                <w:rFonts w:ascii="Calibri"/>
                <w:sz w:val="21"/>
              </w:rPr>
              <w:t>0.00</w:t>
            </w:r>
            <w:r>
              <w:rPr>
                <w:rFonts w:hint="eastAsia" w:ascii="Calibri" w:eastAsia="宋体"/>
                <w:sz w:val="21"/>
                <w:lang w:val="en-US" w:eastAsia="zh-CN"/>
              </w:rPr>
              <w:t>0192</w:t>
            </w:r>
          </w:p>
        </w:tc>
      </w:tr>
    </w:tbl>
    <w:p>
      <w:pPr>
        <w:pStyle w:val="2"/>
        <w:spacing w:before="18" w:line="240" w:lineRule="auto"/>
        <w:ind w:right="0"/>
        <w:jc w:val="cente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
        <w:spacing w:before="18" w:line="240" w:lineRule="auto"/>
        <w:ind w:right="0"/>
        <w:jc w:val="center"/>
      </w:pPr>
      <w:r>
        <w:t>表</w:t>
      </w:r>
      <w:r>
        <w:rPr>
          <w:rFonts w:hint="eastAsia"/>
          <w:lang w:val="en-US" w:eastAsia="zh-CN"/>
        </w:rPr>
        <w:t xml:space="preserve">6.1-4  </w:t>
      </w:r>
      <w:r>
        <w:rPr>
          <w:rFonts w:hint="eastAsia"/>
          <w:lang w:eastAsia="zh-CN"/>
        </w:rPr>
        <w:t>锅炉预测</w:t>
      </w:r>
      <w:r>
        <w:t>参数一览表</w:t>
      </w:r>
    </w:p>
    <w:tbl>
      <w:tblPr>
        <w:tblStyle w:val="88"/>
        <w:tblW w:w="0" w:type="auto"/>
        <w:tblInd w:w="99" w:type="dxa"/>
        <w:tblLayout w:type="fixed"/>
        <w:tblCellMar>
          <w:top w:w="0" w:type="dxa"/>
          <w:left w:w="0" w:type="dxa"/>
          <w:bottom w:w="0" w:type="dxa"/>
          <w:right w:w="0" w:type="dxa"/>
        </w:tblCellMar>
      </w:tblPr>
      <w:tblGrid>
        <w:gridCol w:w="776"/>
        <w:gridCol w:w="719"/>
        <w:gridCol w:w="1230"/>
        <w:gridCol w:w="1262"/>
        <w:gridCol w:w="1111"/>
        <w:gridCol w:w="1080"/>
        <w:gridCol w:w="926"/>
        <w:gridCol w:w="1202"/>
        <w:gridCol w:w="913"/>
        <w:gridCol w:w="836"/>
        <w:gridCol w:w="638"/>
        <w:gridCol w:w="862"/>
      </w:tblGrid>
      <w:tr>
        <w:tblPrEx>
          <w:tblCellMar>
            <w:top w:w="0" w:type="dxa"/>
            <w:left w:w="0" w:type="dxa"/>
            <w:bottom w:w="0" w:type="dxa"/>
            <w:right w:w="0" w:type="dxa"/>
          </w:tblCellMar>
        </w:tblPrEx>
        <w:trPr>
          <w:trHeight w:val="738" w:hRule="exact"/>
        </w:trPr>
        <w:tc>
          <w:tcPr>
            <w:tcW w:w="776" w:type="dxa"/>
            <w:vMerge w:val="restart"/>
            <w:tcBorders>
              <w:top w:val="single" w:color="000000" w:sz="12" w:space="0"/>
              <w:left w:val="single" w:color="000000" w:sz="12" w:space="0"/>
              <w:right w:val="single" w:color="000000" w:sz="4" w:space="0"/>
            </w:tcBorders>
          </w:tcPr>
          <w:p>
            <w:pPr>
              <w:pStyle w:val="4069"/>
              <w:spacing w:line="361" w:lineRule="auto"/>
              <w:ind w:right="141"/>
              <w:jc w:val="left"/>
              <w:rPr>
                <w:rFonts w:ascii="宋体" w:hAnsi="宋体" w:eastAsia="宋体" w:cs="宋体"/>
                <w:sz w:val="24"/>
                <w:szCs w:val="24"/>
              </w:rPr>
            </w:pPr>
            <w:r>
              <w:rPr>
                <w:rFonts w:ascii="宋体" w:hAnsi="宋体" w:eastAsia="宋体" w:cs="宋体"/>
                <w:spacing w:val="1"/>
                <w:sz w:val="24"/>
                <w:szCs w:val="24"/>
              </w:rPr>
              <w:t>污染</w:t>
            </w:r>
            <w:r>
              <w:rPr>
                <w:rFonts w:ascii="宋体" w:hAnsi="宋体" w:eastAsia="宋体" w:cs="宋体"/>
                <w:sz w:val="24"/>
                <w:szCs w:val="24"/>
              </w:rPr>
              <w:t>源</w:t>
            </w:r>
          </w:p>
        </w:tc>
        <w:tc>
          <w:tcPr>
            <w:tcW w:w="719" w:type="dxa"/>
            <w:vMerge w:val="restart"/>
            <w:tcBorders>
              <w:top w:val="single" w:color="000000" w:sz="12" w:space="0"/>
              <w:left w:val="single" w:color="000000" w:sz="4" w:space="0"/>
              <w:right w:val="single" w:color="000000" w:sz="4" w:space="0"/>
            </w:tcBorders>
          </w:tcPr>
          <w:p>
            <w:pPr>
              <w:pStyle w:val="4069"/>
              <w:spacing w:line="240" w:lineRule="auto"/>
              <w:ind w:right="0"/>
              <w:jc w:val="left"/>
              <w:rPr>
                <w:rFonts w:ascii="宋体" w:hAnsi="宋体" w:eastAsia="宋体" w:cs="宋体"/>
                <w:sz w:val="21"/>
                <w:szCs w:val="21"/>
              </w:rPr>
            </w:pPr>
            <w:r>
              <w:rPr>
                <w:rFonts w:ascii="宋体" w:hAnsi="宋体" w:eastAsia="宋体" w:cs="宋体"/>
                <w:spacing w:val="1"/>
                <w:sz w:val="21"/>
                <w:szCs w:val="21"/>
              </w:rPr>
              <w:t>编号</w:t>
            </w:r>
          </w:p>
        </w:tc>
        <w:tc>
          <w:tcPr>
            <w:tcW w:w="1230" w:type="dxa"/>
            <w:vMerge w:val="restart"/>
            <w:tcBorders>
              <w:top w:val="single" w:color="000000" w:sz="12" w:space="0"/>
              <w:left w:val="single" w:color="000000" w:sz="4" w:space="0"/>
              <w:right w:val="single" w:color="000000" w:sz="4" w:space="0"/>
            </w:tcBorders>
          </w:tcPr>
          <w:p>
            <w:pPr>
              <w:pStyle w:val="4069"/>
              <w:spacing w:before="82" w:line="413" w:lineRule="auto"/>
              <w:ind w:left="189" w:right="189"/>
              <w:jc w:val="center"/>
              <w:rPr>
                <w:rFonts w:ascii="宋体" w:hAnsi="宋体" w:eastAsia="宋体" w:cs="宋体"/>
                <w:sz w:val="21"/>
                <w:szCs w:val="21"/>
              </w:rPr>
            </w:pPr>
            <w:r>
              <w:rPr>
                <w:rFonts w:ascii="宋体" w:hAnsi="宋体" w:eastAsia="宋体" w:cs="宋体"/>
                <w:sz w:val="21"/>
                <w:szCs w:val="21"/>
              </w:rPr>
              <w:t>排气筒底</w:t>
            </w:r>
            <w:r>
              <w:rPr>
                <w:rFonts w:ascii="宋体" w:hAnsi="宋体" w:eastAsia="宋体" w:cs="宋体"/>
                <w:spacing w:val="21"/>
                <w:sz w:val="21"/>
                <w:szCs w:val="21"/>
              </w:rPr>
              <w:t xml:space="preserve"> </w:t>
            </w:r>
            <w:r>
              <w:rPr>
                <w:rFonts w:ascii="宋体" w:hAnsi="宋体" w:eastAsia="宋体" w:cs="宋体"/>
                <w:sz w:val="21"/>
                <w:szCs w:val="21"/>
              </w:rPr>
              <w:t>部海拔高</w:t>
            </w:r>
          </w:p>
          <w:p>
            <w:pPr>
              <w:pStyle w:val="4069"/>
              <w:spacing w:before="45" w:line="240" w:lineRule="auto"/>
              <w:ind w:right="0"/>
              <w:jc w:val="center"/>
              <w:rPr>
                <w:rFonts w:ascii="Calibri" w:hAnsi="Calibri" w:eastAsia="Calibri" w:cs="Calibri"/>
                <w:sz w:val="21"/>
                <w:szCs w:val="21"/>
              </w:rPr>
            </w:pPr>
            <w:r>
              <w:rPr>
                <w:rFonts w:ascii="宋体" w:hAnsi="宋体" w:eastAsia="宋体" w:cs="宋体"/>
                <w:spacing w:val="-1"/>
                <w:sz w:val="21"/>
                <w:szCs w:val="21"/>
              </w:rPr>
              <w:t>度</w:t>
            </w:r>
            <w:r>
              <w:rPr>
                <w:rFonts w:ascii="Calibri" w:hAnsi="Calibri" w:eastAsia="Calibri" w:cs="Calibri"/>
                <w:b/>
                <w:bCs/>
                <w:spacing w:val="-1"/>
                <w:sz w:val="21"/>
                <w:szCs w:val="21"/>
              </w:rPr>
              <w:t>/m</w:t>
            </w:r>
          </w:p>
        </w:tc>
        <w:tc>
          <w:tcPr>
            <w:tcW w:w="1262" w:type="dxa"/>
            <w:vMerge w:val="restart"/>
            <w:tcBorders>
              <w:top w:val="single" w:color="000000" w:sz="12" w:space="0"/>
              <w:left w:val="single" w:color="000000" w:sz="4" w:space="0"/>
              <w:right w:val="single" w:color="000000" w:sz="4" w:space="0"/>
            </w:tcBorders>
          </w:tcPr>
          <w:p>
            <w:pPr>
              <w:pStyle w:val="4069"/>
              <w:spacing w:before="16" w:line="300" w:lineRule="exact"/>
              <w:ind w:right="0"/>
              <w:jc w:val="left"/>
              <w:rPr>
                <w:sz w:val="30"/>
                <w:szCs w:val="30"/>
              </w:rPr>
            </w:pPr>
          </w:p>
          <w:p>
            <w:pPr>
              <w:pStyle w:val="4069"/>
              <w:spacing w:line="414" w:lineRule="auto"/>
              <w:ind w:left="391" w:right="202" w:hanging="185"/>
              <w:jc w:val="left"/>
              <w:rPr>
                <w:rFonts w:ascii="Calibri" w:hAnsi="Calibri" w:eastAsia="Calibri" w:cs="Calibri"/>
                <w:sz w:val="21"/>
                <w:szCs w:val="21"/>
              </w:rPr>
            </w:pPr>
            <w:r>
              <w:rPr>
                <w:rFonts w:ascii="宋体" w:hAnsi="宋体" w:eastAsia="宋体" w:cs="宋体"/>
                <w:sz w:val="21"/>
                <w:szCs w:val="21"/>
              </w:rPr>
              <w:t>排气筒高</w:t>
            </w:r>
            <w:r>
              <w:rPr>
                <w:rFonts w:ascii="宋体" w:hAnsi="宋体" w:eastAsia="宋体" w:cs="宋体"/>
                <w:spacing w:val="24"/>
                <w:sz w:val="21"/>
                <w:szCs w:val="21"/>
              </w:rPr>
              <w:t xml:space="preserve"> </w:t>
            </w:r>
            <w:r>
              <w:rPr>
                <w:rFonts w:ascii="宋体" w:hAnsi="宋体" w:eastAsia="宋体" w:cs="宋体"/>
                <w:spacing w:val="-1"/>
                <w:sz w:val="21"/>
                <w:szCs w:val="21"/>
              </w:rPr>
              <w:t>度</w:t>
            </w:r>
            <w:r>
              <w:rPr>
                <w:rFonts w:ascii="Calibri" w:hAnsi="Calibri" w:eastAsia="Calibri" w:cs="Calibri"/>
                <w:b/>
                <w:bCs/>
                <w:spacing w:val="-1"/>
                <w:sz w:val="21"/>
                <w:szCs w:val="21"/>
              </w:rPr>
              <w:t>/m</w:t>
            </w:r>
          </w:p>
        </w:tc>
        <w:tc>
          <w:tcPr>
            <w:tcW w:w="1111" w:type="dxa"/>
            <w:vMerge w:val="restart"/>
            <w:tcBorders>
              <w:top w:val="single" w:color="000000" w:sz="12" w:space="0"/>
              <w:left w:val="single" w:color="000000" w:sz="4" w:space="0"/>
              <w:right w:val="single" w:color="000000" w:sz="4" w:space="0"/>
            </w:tcBorders>
          </w:tcPr>
          <w:p>
            <w:pPr>
              <w:pStyle w:val="4069"/>
              <w:spacing w:before="16" w:line="300" w:lineRule="exact"/>
              <w:ind w:right="0"/>
              <w:jc w:val="left"/>
              <w:rPr>
                <w:sz w:val="30"/>
                <w:szCs w:val="30"/>
              </w:rPr>
            </w:pPr>
          </w:p>
          <w:p>
            <w:pPr>
              <w:pStyle w:val="4069"/>
              <w:spacing w:line="414" w:lineRule="auto"/>
              <w:ind w:left="104" w:right="104" w:firstLine="25"/>
              <w:jc w:val="left"/>
              <w:rPr>
                <w:rFonts w:ascii="Calibri" w:hAnsi="Calibri" w:eastAsia="Calibri" w:cs="Calibri"/>
                <w:sz w:val="21"/>
                <w:szCs w:val="21"/>
              </w:rPr>
            </w:pPr>
            <w:r>
              <w:rPr>
                <w:rFonts w:ascii="宋体" w:hAnsi="宋体" w:eastAsia="宋体" w:cs="宋体"/>
                <w:sz w:val="21"/>
                <w:szCs w:val="21"/>
              </w:rPr>
              <w:t>排气筒出</w:t>
            </w:r>
            <w:r>
              <w:rPr>
                <w:rFonts w:ascii="宋体" w:hAnsi="宋体" w:eastAsia="宋体" w:cs="宋体"/>
                <w:spacing w:val="24"/>
                <w:sz w:val="21"/>
                <w:szCs w:val="21"/>
              </w:rPr>
              <w:t xml:space="preserve"> </w:t>
            </w:r>
            <w:r>
              <w:rPr>
                <w:rFonts w:ascii="宋体" w:hAnsi="宋体" w:eastAsia="宋体" w:cs="宋体"/>
                <w:sz w:val="21"/>
                <w:szCs w:val="21"/>
              </w:rPr>
              <w:t>口内径</w:t>
            </w:r>
            <w:r>
              <w:rPr>
                <w:rFonts w:ascii="Calibri" w:hAnsi="Calibri" w:eastAsia="Calibri" w:cs="Calibri"/>
                <w:b/>
                <w:bCs/>
                <w:sz w:val="21"/>
                <w:szCs w:val="21"/>
              </w:rPr>
              <w:t>/m</w:t>
            </w:r>
          </w:p>
        </w:tc>
        <w:tc>
          <w:tcPr>
            <w:tcW w:w="1080" w:type="dxa"/>
            <w:vMerge w:val="restart"/>
            <w:tcBorders>
              <w:top w:val="single" w:color="000000" w:sz="12" w:space="0"/>
              <w:left w:val="single" w:color="000000" w:sz="4" w:space="0"/>
              <w:right w:val="single" w:color="000000" w:sz="4" w:space="0"/>
            </w:tcBorders>
          </w:tcPr>
          <w:p>
            <w:pPr>
              <w:pStyle w:val="4069"/>
              <w:spacing w:before="6" w:line="110" w:lineRule="exact"/>
              <w:ind w:right="0"/>
              <w:jc w:val="left"/>
              <w:rPr>
                <w:sz w:val="11"/>
                <w:szCs w:val="11"/>
              </w:rPr>
            </w:pPr>
          </w:p>
          <w:p>
            <w:pPr>
              <w:pStyle w:val="4069"/>
              <w:spacing w:line="200" w:lineRule="exact"/>
              <w:ind w:right="0"/>
              <w:jc w:val="left"/>
              <w:rPr>
                <w:sz w:val="20"/>
                <w:szCs w:val="20"/>
              </w:rPr>
            </w:pPr>
          </w:p>
          <w:p>
            <w:pPr>
              <w:pStyle w:val="4069"/>
              <w:spacing w:line="240" w:lineRule="auto"/>
              <w:ind w:left="113" w:right="0"/>
              <w:jc w:val="left"/>
              <w:rPr>
                <w:rFonts w:ascii="宋体" w:hAnsi="宋体" w:eastAsia="宋体" w:cs="宋体"/>
                <w:sz w:val="21"/>
                <w:szCs w:val="21"/>
              </w:rPr>
            </w:pPr>
            <w:r>
              <w:rPr>
                <w:rFonts w:ascii="宋体" w:hAnsi="宋体" w:eastAsia="宋体" w:cs="宋体"/>
                <w:sz w:val="21"/>
                <w:szCs w:val="21"/>
              </w:rPr>
              <w:t>烟气流速</w:t>
            </w:r>
          </w:p>
          <w:p>
            <w:pPr>
              <w:pStyle w:val="4069"/>
              <w:spacing w:before="8" w:line="190" w:lineRule="exact"/>
              <w:ind w:right="0"/>
              <w:jc w:val="left"/>
              <w:rPr>
                <w:sz w:val="19"/>
                <w:szCs w:val="19"/>
              </w:rPr>
            </w:pPr>
          </w:p>
          <w:p>
            <w:pPr>
              <w:pStyle w:val="4069"/>
              <w:spacing w:line="240" w:lineRule="auto"/>
              <w:ind w:left="152" w:right="0"/>
              <w:jc w:val="left"/>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b/>
                <w:bCs/>
                <w:spacing w:val="-1"/>
                <w:sz w:val="21"/>
                <w:szCs w:val="21"/>
              </w:rPr>
              <w:t>m/s</w:t>
            </w:r>
            <w:r>
              <w:rPr>
                <w:rFonts w:ascii="宋体" w:hAnsi="宋体" w:eastAsia="宋体" w:cs="宋体"/>
                <w:spacing w:val="-1"/>
                <w:sz w:val="21"/>
                <w:szCs w:val="21"/>
              </w:rPr>
              <w:t>）</w:t>
            </w:r>
          </w:p>
        </w:tc>
        <w:tc>
          <w:tcPr>
            <w:tcW w:w="926" w:type="dxa"/>
            <w:vMerge w:val="restart"/>
            <w:tcBorders>
              <w:top w:val="single" w:color="000000" w:sz="12" w:space="0"/>
              <w:left w:val="single" w:color="000000" w:sz="4" w:space="0"/>
              <w:right w:val="single" w:color="000000" w:sz="4" w:space="0"/>
            </w:tcBorders>
          </w:tcPr>
          <w:p>
            <w:pPr>
              <w:pStyle w:val="4069"/>
              <w:spacing w:before="16" w:line="300" w:lineRule="exact"/>
              <w:ind w:right="0"/>
              <w:jc w:val="left"/>
              <w:rPr>
                <w:sz w:val="30"/>
                <w:szCs w:val="30"/>
              </w:rPr>
            </w:pPr>
          </w:p>
          <w:p>
            <w:pPr>
              <w:pStyle w:val="4069"/>
              <w:spacing w:line="414" w:lineRule="auto"/>
              <w:ind w:left="202" w:right="142" w:hanging="60"/>
              <w:jc w:val="left"/>
              <w:rPr>
                <w:rFonts w:ascii="宋体" w:hAnsi="宋体" w:eastAsia="宋体" w:cs="宋体"/>
                <w:sz w:val="21"/>
                <w:szCs w:val="21"/>
              </w:rPr>
            </w:pPr>
            <w:r>
              <w:rPr>
                <w:rFonts w:ascii="宋体" w:hAnsi="宋体" w:eastAsia="宋体" w:cs="宋体"/>
                <w:sz w:val="21"/>
                <w:szCs w:val="21"/>
              </w:rPr>
              <w:t>烟气温</w:t>
            </w:r>
            <w:r>
              <w:rPr>
                <w:rFonts w:ascii="宋体" w:hAnsi="宋体" w:eastAsia="宋体" w:cs="宋体"/>
                <w:spacing w:val="21"/>
                <w:sz w:val="21"/>
                <w:szCs w:val="21"/>
              </w:rPr>
              <w:t xml:space="preserve"> </w:t>
            </w:r>
            <w:r>
              <w:rPr>
                <w:rFonts w:ascii="宋体" w:hAnsi="宋体" w:eastAsia="宋体" w:cs="宋体"/>
                <w:sz w:val="21"/>
                <w:szCs w:val="21"/>
              </w:rPr>
              <w:t>度</w:t>
            </w:r>
            <w:r>
              <w:rPr>
                <w:rFonts w:ascii="Calibri" w:hAnsi="Calibri" w:eastAsia="Calibri" w:cs="Calibri"/>
                <w:b/>
                <w:bCs/>
                <w:sz w:val="21"/>
                <w:szCs w:val="21"/>
              </w:rPr>
              <w:t>/</w:t>
            </w:r>
            <w:r>
              <w:rPr>
                <w:rFonts w:ascii="宋体" w:hAnsi="宋体" w:eastAsia="宋体" w:cs="宋体"/>
                <w:sz w:val="21"/>
                <w:szCs w:val="21"/>
              </w:rPr>
              <w:t>℃</w:t>
            </w:r>
          </w:p>
        </w:tc>
        <w:tc>
          <w:tcPr>
            <w:tcW w:w="1202" w:type="dxa"/>
            <w:vMerge w:val="restart"/>
            <w:tcBorders>
              <w:top w:val="single" w:color="000000" w:sz="12" w:space="0"/>
              <w:left w:val="single" w:color="000000" w:sz="4" w:space="0"/>
              <w:right w:val="single" w:color="000000" w:sz="4" w:space="0"/>
            </w:tcBorders>
          </w:tcPr>
          <w:p>
            <w:pPr>
              <w:pStyle w:val="4069"/>
              <w:spacing w:before="82" w:line="413" w:lineRule="auto"/>
              <w:ind w:left="386" w:right="172" w:hanging="210"/>
              <w:jc w:val="left"/>
              <w:rPr>
                <w:rFonts w:ascii="宋体" w:hAnsi="宋体" w:eastAsia="宋体" w:cs="宋体"/>
                <w:sz w:val="21"/>
                <w:szCs w:val="21"/>
              </w:rPr>
            </w:pPr>
            <w:r>
              <w:rPr>
                <w:rFonts w:ascii="宋体" w:hAnsi="宋体" w:eastAsia="宋体" w:cs="宋体"/>
                <w:sz w:val="21"/>
                <w:szCs w:val="21"/>
              </w:rPr>
              <w:t>年排放小</w:t>
            </w:r>
            <w:r>
              <w:rPr>
                <w:rFonts w:ascii="宋体" w:hAnsi="宋体" w:eastAsia="宋体" w:cs="宋体"/>
                <w:spacing w:val="24"/>
                <w:sz w:val="21"/>
                <w:szCs w:val="21"/>
              </w:rPr>
              <w:t xml:space="preserve"> </w:t>
            </w:r>
            <w:r>
              <w:rPr>
                <w:rFonts w:ascii="宋体" w:hAnsi="宋体" w:eastAsia="宋体" w:cs="宋体"/>
                <w:spacing w:val="1"/>
                <w:sz w:val="21"/>
                <w:szCs w:val="21"/>
              </w:rPr>
              <w:t>时数</w:t>
            </w:r>
          </w:p>
          <w:p>
            <w:pPr>
              <w:pStyle w:val="4069"/>
              <w:spacing w:before="45" w:line="240" w:lineRule="auto"/>
              <w:ind w:left="184" w:right="0"/>
              <w:jc w:val="left"/>
              <w:rPr>
                <w:rFonts w:ascii="宋体" w:hAnsi="宋体" w:eastAsia="宋体" w:cs="宋体"/>
                <w:sz w:val="21"/>
                <w:szCs w:val="21"/>
              </w:rPr>
            </w:pPr>
            <w:r>
              <w:rPr>
                <w:rFonts w:ascii="宋体" w:hAnsi="宋体" w:eastAsia="宋体" w:cs="宋体"/>
                <w:sz w:val="21"/>
                <w:szCs w:val="21"/>
              </w:rPr>
              <w:t>（</w:t>
            </w:r>
            <w:r>
              <w:rPr>
                <w:rFonts w:ascii="Calibri" w:hAnsi="Calibri" w:eastAsia="Calibri" w:cs="Calibri"/>
                <w:b/>
                <w:bCs/>
                <w:sz w:val="21"/>
                <w:szCs w:val="21"/>
              </w:rPr>
              <w:t>kg/h</w:t>
            </w:r>
            <w:r>
              <w:rPr>
                <w:rFonts w:ascii="宋体" w:hAnsi="宋体" w:eastAsia="宋体" w:cs="宋体"/>
                <w:sz w:val="21"/>
                <w:szCs w:val="21"/>
              </w:rPr>
              <w:t>）</w:t>
            </w:r>
          </w:p>
        </w:tc>
        <w:tc>
          <w:tcPr>
            <w:tcW w:w="913" w:type="dxa"/>
            <w:vMerge w:val="restart"/>
            <w:tcBorders>
              <w:top w:val="single" w:color="000000" w:sz="12" w:space="0"/>
              <w:left w:val="single" w:color="000000" w:sz="4" w:space="0"/>
              <w:right w:val="single" w:color="000000" w:sz="4" w:space="0"/>
            </w:tcBorders>
          </w:tcPr>
          <w:p>
            <w:pPr>
              <w:pStyle w:val="4069"/>
              <w:spacing w:before="6" w:line="110" w:lineRule="exact"/>
              <w:ind w:right="0"/>
              <w:jc w:val="left"/>
              <w:rPr>
                <w:sz w:val="11"/>
                <w:szCs w:val="11"/>
              </w:rPr>
            </w:pPr>
          </w:p>
          <w:p>
            <w:pPr>
              <w:pStyle w:val="4069"/>
              <w:spacing w:line="200" w:lineRule="exact"/>
              <w:ind w:right="0"/>
              <w:jc w:val="left"/>
              <w:rPr>
                <w:sz w:val="20"/>
                <w:szCs w:val="20"/>
              </w:rPr>
            </w:pPr>
          </w:p>
          <w:p>
            <w:pPr>
              <w:pStyle w:val="4069"/>
              <w:spacing w:line="413" w:lineRule="auto"/>
              <w:ind w:left="345" w:right="0" w:hanging="210"/>
              <w:jc w:val="left"/>
              <w:rPr>
                <w:rFonts w:ascii="宋体" w:hAnsi="宋体" w:eastAsia="宋体" w:cs="宋体"/>
                <w:sz w:val="21"/>
                <w:szCs w:val="21"/>
              </w:rPr>
            </w:pPr>
            <w:r>
              <w:rPr>
                <w:rFonts w:ascii="宋体" w:hAnsi="宋体" w:eastAsia="宋体" w:cs="宋体"/>
                <w:sz w:val="21"/>
                <w:szCs w:val="21"/>
              </w:rPr>
              <w:t>排放工</w:t>
            </w:r>
            <w:r>
              <w:rPr>
                <w:rFonts w:ascii="宋体" w:hAnsi="宋体" w:eastAsia="宋体" w:cs="宋体"/>
                <w:spacing w:val="21"/>
                <w:sz w:val="21"/>
                <w:szCs w:val="21"/>
              </w:rPr>
              <w:t xml:space="preserve"> </w:t>
            </w:r>
            <w:r>
              <w:rPr>
                <w:rFonts w:ascii="宋体" w:hAnsi="宋体" w:eastAsia="宋体" w:cs="宋体"/>
                <w:sz w:val="21"/>
                <w:szCs w:val="21"/>
              </w:rPr>
              <w:t>况</w:t>
            </w:r>
          </w:p>
        </w:tc>
        <w:tc>
          <w:tcPr>
            <w:tcW w:w="2336" w:type="dxa"/>
            <w:gridSpan w:val="3"/>
            <w:tcBorders>
              <w:top w:val="single" w:color="000000" w:sz="12" w:space="0"/>
              <w:left w:val="single" w:color="000000" w:sz="4" w:space="0"/>
              <w:bottom w:val="single" w:color="000000" w:sz="4" w:space="0"/>
              <w:right w:val="single" w:color="000000" w:sz="12" w:space="0"/>
            </w:tcBorders>
          </w:tcPr>
          <w:p>
            <w:pPr>
              <w:pStyle w:val="4069"/>
              <w:spacing w:before="10" w:line="190" w:lineRule="exact"/>
              <w:ind w:right="0"/>
              <w:jc w:val="left"/>
              <w:rPr>
                <w:sz w:val="19"/>
                <w:szCs w:val="19"/>
              </w:rPr>
            </w:pPr>
          </w:p>
          <w:p>
            <w:pPr>
              <w:pStyle w:val="4069"/>
              <w:spacing w:line="240" w:lineRule="auto"/>
              <w:ind w:left="106" w:right="-16"/>
              <w:jc w:val="left"/>
              <w:rPr>
                <w:rFonts w:ascii="宋体" w:hAnsi="宋体" w:eastAsia="宋体" w:cs="宋体"/>
                <w:sz w:val="21"/>
                <w:szCs w:val="21"/>
              </w:rPr>
            </w:pPr>
            <w:r>
              <w:rPr>
                <w:rFonts w:ascii="宋体" w:hAnsi="宋体" w:eastAsia="宋体" w:cs="宋体"/>
                <w:spacing w:val="1"/>
                <w:sz w:val="21"/>
                <w:szCs w:val="21"/>
              </w:rPr>
              <w:t>污</w:t>
            </w:r>
            <w:r>
              <w:rPr>
                <w:rFonts w:ascii="宋体" w:hAnsi="宋体" w:eastAsia="宋体" w:cs="宋体"/>
                <w:sz w:val="21"/>
                <w:szCs w:val="21"/>
              </w:rPr>
              <w:t>染</w:t>
            </w:r>
            <w:r>
              <w:rPr>
                <w:rFonts w:ascii="宋体" w:hAnsi="宋体" w:eastAsia="宋体" w:cs="宋体"/>
                <w:spacing w:val="1"/>
                <w:sz w:val="21"/>
                <w:szCs w:val="21"/>
              </w:rPr>
              <w:t>物</w:t>
            </w:r>
            <w:r>
              <w:rPr>
                <w:rFonts w:ascii="宋体" w:hAnsi="宋体" w:eastAsia="宋体" w:cs="宋体"/>
                <w:sz w:val="21"/>
                <w:szCs w:val="21"/>
              </w:rPr>
              <w:t>排放</w:t>
            </w:r>
            <w:r>
              <w:rPr>
                <w:rFonts w:ascii="宋体" w:hAnsi="宋体" w:eastAsia="宋体" w:cs="宋体"/>
                <w:spacing w:val="1"/>
                <w:sz w:val="21"/>
                <w:szCs w:val="21"/>
              </w:rPr>
              <w:t>速</w:t>
            </w:r>
            <w:r>
              <w:rPr>
                <w:rFonts w:ascii="宋体" w:hAnsi="宋体" w:eastAsia="宋体" w:cs="宋体"/>
                <w:spacing w:val="-72"/>
                <w:sz w:val="21"/>
                <w:szCs w:val="21"/>
              </w:rPr>
              <w:t>率</w:t>
            </w:r>
            <w:r>
              <w:rPr>
                <w:rFonts w:ascii="宋体" w:hAnsi="宋体" w:eastAsia="宋体" w:cs="宋体"/>
                <w:spacing w:val="1"/>
                <w:sz w:val="21"/>
                <w:szCs w:val="21"/>
              </w:rPr>
              <w:t>（</w:t>
            </w:r>
            <w:r>
              <w:rPr>
                <w:rFonts w:ascii="Calibri" w:hAnsi="Calibri" w:eastAsia="Calibri" w:cs="Calibri"/>
                <w:b/>
                <w:bCs/>
                <w:spacing w:val="-1"/>
                <w:sz w:val="21"/>
                <w:szCs w:val="21"/>
              </w:rPr>
              <w:t>k</w:t>
            </w:r>
            <w:r>
              <w:rPr>
                <w:rFonts w:ascii="Calibri" w:hAnsi="Calibri" w:eastAsia="Calibri" w:cs="Calibri"/>
                <w:b/>
                <w:bCs/>
                <w:spacing w:val="1"/>
                <w:sz w:val="21"/>
                <w:szCs w:val="21"/>
              </w:rPr>
              <w:t>g</w:t>
            </w:r>
            <w:r>
              <w:rPr>
                <w:rFonts w:ascii="Calibri" w:hAnsi="Calibri" w:eastAsia="Calibri" w:cs="Calibri"/>
                <w:b/>
                <w:bCs/>
                <w:spacing w:val="-1"/>
                <w:sz w:val="21"/>
                <w:szCs w:val="21"/>
              </w:rPr>
              <w:t>/</w:t>
            </w:r>
            <w:r>
              <w:rPr>
                <w:rFonts w:ascii="Calibri" w:hAnsi="Calibri" w:eastAsia="Calibri" w:cs="Calibri"/>
                <w:b/>
                <w:bCs/>
                <w:spacing w:val="-2"/>
                <w:sz w:val="21"/>
                <w:szCs w:val="21"/>
              </w:rPr>
              <w:t>h</w:t>
            </w:r>
            <w:r>
              <w:rPr>
                <w:rFonts w:ascii="宋体" w:hAnsi="宋体" w:eastAsia="宋体" w:cs="宋体"/>
                <w:sz w:val="21"/>
                <w:szCs w:val="21"/>
              </w:rPr>
              <w:t>）</w:t>
            </w:r>
          </w:p>
        </w:tc>
      </w:tr>
      <w:tr>
        <w:tblPrEx>
          <w:tblCellMar>
            <w:top w:w="0" w:type="dxa"/>
            <w:left w:w="0" w:type="dxa"/>
            <w:bottom w:w="0" w:type="dxa"/>
            <w:right w:w="0" w:type="dxa"/>
          </w:tblCellMar>
        </w:tblPrEx>
        <w:trPr>
          <w:trHeight w:val="702" w:hRule="exact"/>
        </w:trPr>
        <w:tc>
          <w:tcPr>
            <w:tcW w:w="776" w:type="dxa"/>
            <w:vMerge w:val="continue"/>
            <w:tcBorders>
              <w:left w:val="single" w:color="000000" w:sz="12" w:space="0"/>
              <w:bottom w:val="single" w:color="000000" w:sz="4" w:space="0"/>
              <w:right w:val="single" w:color="000000" w:sz="4" w:space="0"/>
            </w:tcBorders>
          </w:tcPr>
          <w:p/>
        </w:tc>
        <w:tc>
          <w:tcPr>
            <w:tcW w:w="719" w:type="dxa"/>
            <w:vMerge w:val="continue"/>
            <w:tcBorders>
              <w:left w:val="single" w:color="000000" w:sz="4" w:space="0"/>
              <w:bottom w:val="single" w:color="000000" w:sz="4" w:space="0"/>
              <w:right w:val="single" w:color="000000" w:sz="4" w:space="0"/>
            </w:tcBorders>
          </w:tcPr>
          <w:p/>
        </w:tc>
        <w:tc>
          <w:tcPr>
            <w:tcW w:w="1230" w:type="dxa"/>
            <w:vMerge w:val="continue"/>
            <w:tcBorders>
              <w:left w:val="single" w:color="000000" w:sz="4" w:space="0"/>
              <w:bottom w:val="single" w:color="000000" w:sz="4" w:space="0"/>
              <w:right w:val="single" w:color="000000" w:sz="4" w:space="0"/>
            </w:tcBorders>
          </w:tcPr>
          <w:p/>
        </w:tc>
        <w:tc>
          <w:tcPr>
            <w:tcW w:w="1262" w:type="dxa"/>
            <w:vMerge w:val="continue"/>
            <w:tcBorders>
              <w:left w:val="single" w:color="000000" w:sz="4" w:space="0"/>
              <w:bottom w:val="single" w:color="000000" w:sz="4" w:space="0"/>
              <w:right w:val="single" w:color="000000" w:sz="4" w:space="0"/>
            </w:tcBorders>
          </w:tcPr>
          <w:p/>
        </w:tc>
        <w:tc>
          <w:tcPr>
            <w:tcW w:w="1111" w:type="dxa"/>
            <w:vMerge w:val="continue"/>
            <w:tcBorders>
              <w:left w:val="single" w:color="000000" w:sz="4" w:space="0"/>
              <w:bottom w:val="single" w:color="000000" w:sz="4" w:space="0"/>
              <w:right w:val="single" w:color="000000" w:sz="4" w:space="0"/>
            </w:tcBorders>
          </w:tcPr>
          <w:p/>
        </w:tc>
        <w:tc>
          <w:tcPr>
            <w:tcW w:w="1080" w:type="dxa"/>
            <w:vMerge w:val="continue"/>
            <w:tcBorders>
              <w:left w:val="single" w:color="000000" w:sz="4" w:space="0"/>
              <w:bottom w:val="single" w:color="000000" w:sz="4" w:space="0"/>
              <w:right w:val="single" w:color="000000" w:sz="4" w:space="0"/>
            </w:tcBorders>
          </w:tcPr>
          <w:p/>
        </w:tc>
        <w:tc>
          <w:tcPr>
            <w:tcW w:w="926" w:type="dxa"/>
            <w:vMerge w:val="continue"/>
            <w:tcBorders>
              <w:left w:val="single" w:color="000000" w:sz="4" w:space="0"/>
              <w:bottom w:val="single" w:color="000000" w:sz="4" w:space="0"/>
              <w:right w:val="single" w:color="000000" w:sz="4" w:space="0"/>
            </w:tcBorders>
          </w:tcPr>
          <w:p/>
        </w:tc>
        <w:tc>
          <w:tcPr>
            <w:tcW w:w="1202" w:type="dxa"/>
            <w:vMerge w:val="continue"/>
            <w:tcBorders>
              <w:left w:val="single" w:color="000000" w:sz="4" w:space="0"/>
              <w:bottom w:val="single" w:color="000000" w:sz="4" w:space="0"/>
              <w:right w:val="single" w:color="000000" w:sz="4" w:space="0"/>
            </w:tcBorders>
          </w:tcPr>
          <w:p/>
        </w:tc>
        <w:tc>
          <w:tcPr>
            <w:tcW w:w="913" w:type="dxa"/>
            <w:vMerge w:val="continue"/>
            <w:tcBorders>
              <w:left w:val="single" w:color="000000" w:sz="4" w:space="0"/>
              <w:bottom w:val="single" w:color="000000" w:sz="4" w:space="0"/>
              <w:right w:val="single" w:color="000000" w:sz="4" w:space="0"/>
            </w:tcBorders>
          </w:tcPr>
          <w:p/>
        </w:tc>
        <w:tc>
          <w:tcPr>
            <w:tcW w:w="836" w:type="dxa"/>
            <w:tcBorders>
              <w:top w:val="single" w:color="000000" w:sz="4" w:space="0"/>
              <w:left w:val="single" w:color="000000" w:sz="4" w:space="0"/>
              <w:bottom w:val="single" w:color="000000" w:sz="4" w:space="0"/>
              <w:right w:val="single" w:color="000000" w:sz="4" w:space="0"/>
            </w:tcBorders>
          </w:tcPr>
          <w:p>
            <w:pPr>
              <w:pStyle w:val="4069"/>
              <w:spacing w:before="16" w:line="200" w:lineRule="exact"/>
              <w:ind w:right="0"/>
              <w:jc w:val="left"/>
              <w:rPr>
                <w:sz w:val="20"/>
                <w:szCs w:val="20"/>
              </w:rPr>
            </w:pPr>
          </w:p>
          <w:p>
            <w:pPr>
              <w:pStyle w:val="4069"/>
              <w:spacing w:line="240" w:lineRule="auto"/>
              <w:ind w:left="260" w:right="0"/>
              <w:jc w:val="left"/>
              <w:rPr>
                <w:rFonts w:ascii="Calibri" w:hAnsi="Calibri" w:eastAsia="Calibri" w:cs="Calibri"/>
                <w:sz w:val="13"/>
                <w:szCs w:val="13"/>
              </w:rPr>
            </w:pPr>
            <w:r>
              <w:rPr>
                <w:rFonts w:ascii="Calibri"/>
                <w:spacing w:val="-1"/>
                <w:position w:val="2"/>
                <w:sz w:val="21"/>
              </w:rPr>
              <w:t>SO</w:t>
            </w:r>
            <w:r>
              <w:rPr>
                <w:rFonts w:ascii="Calibri"/>
                <w:spacing w:val="-1"/>
                <w:sz w:val="13"/>
              </w:rPr>
              <w:t>2</w:t>
            </w:r>
          </w:p>
        </w:tc>
        <w:tc>
          <w:tcPr>
            <w:tcW w:w="638" w:type="dxa"/>
            <w:tcBorders>
              <w:top w:val="single" w:color="000000" w:sz="4" w:space="0"/>
              <w:left w:val="single" w:color="000000" w:sz="4" w:space="0"/>
              <w:bottom w:val="single" w:color="000000" w:sz="4" w:space="0"/>
              <w:right w:val="single" w:color="000000" w:sz="4" w:space="0"/>
            </w:tcBorders>
          </w:tcPr>
          <w:p>
            <w:pPr>
              <w:pStyle w:val="4069"/>
              <w:spacing w:before="16" w:line="200" w:lineRule="exact"/>
              <w:ind w:right="0"/>
              <w:jc w:val="left"/>
              <w:rPr>
                <w:sz w:val="20"/>
                <w:szCs w:val="20"/>
              </w:rPr>
            </w:pPr>
          </w:p>
          <w:p>
            <w:pPr>
              <w:pStyle w:val="4069"/>
              <w:spacing w:line="240" w:lineRule="auto"/>
              <w:ind w:left="141" w:right="0"/>
              <w:jc w:val="left"/>
              <w:rPr>
                <w:rFonts w:ascii="Calibri" w:hAnsi="Calibri" w:eastAsia="Calibri" w:cs="Calibri"/>
                <w:sz w:val="13"/>
                <w:szCs w:val="13"/>
              </w:rPr>
            </w:pPr>
            <w:r>
              <w:rPr>
                <w:rFonts w:ascii="Calibri"/>
                <w:position w:val="2"/>
                <w:sz w:val="21"/>
              </w:rPr>
              <w:t>NO</w:t>
            </w:r>
            <w:r>
              <w:rPr>
                <w:rFonts w:ascii="Calibri"/>
                <w:sz w:val="13"/>
              </w:rPr>
              <w:t>2</w:t>
            </w:r>
          </w:p>
        </w:tc>
        <w:tc>
          <w:tcPr>
            <w:tcW w:w="862" w:type="dxa"/>
            <w:tcBorders>
              <w:top w:val="single" w:color="000000" w:sz="4" w:space="0"/>
              <w:left w:val="single" w:color="000000" w:sz="4" w:space="0"/>
              <w:bottom w:val="single" w:color="000000" w:sz="4" w:space="0"/>
              <w:right w:val="single" w:color="000000" w:sz="12" w:space="0"/>
            </w:tcBorders>
          </w:tcPr>
          <w:p>
            <w:pPr>
              <w:pStyle w:val="4069"/>
              <w:spacing w:before="177" w:line="240" w:lineRule="auto"/>
              <w:ind w:left="214" w:right="0"/>
              <w:jc w:val="left"/>
              <w:rPr>
                <w:rFonts w:ascii="宋体" w:hAnsi="宋体" w:eastAsia="宋体" w:cs="宋体"/>
                <w:sz w:val="21"/>
                <w:szCs w:val="21"/>
              </w:rPr>
            </w:pPr>
            <w:r>
              <w:rPr>
                <w:rFonts w:ascii="宋体" w:hAnsi="宋体" w:eastAsia="宋体" w:cs="宋体"/>
                <w:sz w:val="21"/>
                <w:szCs w:val="21"/>
              </w:rPr>
              <w:t>烟尘</w:t>
            </w:r>
          </w:p>
        </w:tc>
      </w:tr>
      <w:tr>
        <w:tblPrEx>
          <w:tblCellMar>
            <w:top w:w="0" w:type="dxa"/>
            <w:left w:w="0" w:type="dxa"/>
            <w:bottom w:w="0" w:type="dxa"/>
            <w:right w:w="0" w:type="dxa"/>
          </w:tblCellMar>
        </w:tblPrEx>
        <w:trPr>
          <w:trHeight w:val="1241" w:hRule="exact"/>
        </w:trPr>
        <w:tc>
          <w:tcPr>
            <w:tcW w:w="776" w:type="dxa"/>
            <w:tcBorders>
              <w:top w:val="single" w:color="000000" w:sz="4" w:space="0"/>
              <w:left w:val="single" w:color="000000" w:sz="12" w:space="0"/>
              <w:bottom w:val="single" w:color="000000" w:sz="12" w:space="0"/>
              <w:right w:val="single" w:color="000000" w:sz="4" w:space="0"/>
            </w:tcBorders>
          </w:tcPr>
          <w:p>
            <w:pPr>
              <w:pStyle w:val="4069"/>
              <w:spacing w:line="413" w:lineRule="auto"/>
              <w:ind w:right="174"/>
              <w:jc w:val="left"/>
              <w:rPr>
                <w:rFonts w:ascii="宋体" w:hAnsi="宋体" w:eastAsia="宋体" w:cs="宋体"/>
                <w:sz w:val="21"/>
                <w:szCs w:val="21"/>
              </w:rPr>
            </w:pPr>
            <w:r>
              <w:rPr>
                <w:rFonts w:ascii="宋体" w:hAnsi="宋体" w:eastAsia="宋体" w:cs="宋体"/>
                <w:sz w:val="21"/>
                <w:szCs w:val="21"/>
              </w:rPr>
              <w:t>锅炉 房</w:t>
            </w:r>
          </w:p>
        </w:tc>
        <w:tc>
          <w:tcPr>
            <w:tcW w:w="719" w:type="dxa"/>
            <w:tcBorders>
              <w:top w:val="single" w:color="000000" w:sz="4" w:space="0"/>
              <w:left w:val="single" w:color="000000" w:sz="4" w:space="0"/>
              <w:bottom w:val="single" w:color="000000" w:sz="12" w:space="0"/>
              <w:right w:val="single" w:color="000000" w:sz="4" w:space="0"/>
            </w:tcBorders>
          </w:tcPr>
          <w:p>
            <w:pPr>
              <w:pStyle w:val="4069"/>
              <w:spacing w:line="390" w:lineRule="auto"/>
              <w:ind w:right="145"/>
              <w:jc w:val="left"/>
              <w:rPr>
                <w:rFonts w:ascii="宋体" w:hAnsi="宋体" w:eastAsia="宋体" w:cs="宋体"/>
                <w:sz w:val="21"/>
                <w:szCs w:val="21"/>
              </w:rPr>
            </w:pPr>
            <w:r>
              <w:rPr>
                <w:rFonts w:ascii="Times New Roman" w:hAnsi="Times New Roman" w:eastAsia="Times New Roman" w:cs="Times New Roman"/>
                <w:spacing w:val="-1"/>
                <w:sz w:val="21"/>
                <w:szCs w:val="21"/>
              </w:rPr>
              <w:t>1#</w:t>
            </w:r>
            <w:r>
              <w:rPr>
                <w:rFonts w:ascii="宋体" w:hAnsi="宋体" w:eastAsia="宋体" w:cs="宋体"/>
                <w:spacing w:val="-1"/>
                <w:sz w:val="21"/>
                <w:szCs w:val="21"/>
              </w:rPr>
              <w:t>排</w:t>
            </w:r>
            <w:r>
              <w:rPr>
                <w:rFonts w:ascii="宋体" w:hAnsi="宋体" w:eastAsia="宋体" w:cs="宋体"/>
                <w:spacing w:val="22"/>
                <w:sz w:val="21"/>
                <w:szCs w:val="21"/>
              </w:rPr>
              <w:t xml:space="preserve"> </w:t>
            </w:r>
            <w:r>
              <w:rPr>
                <w:rFonts w:ascii="宋体" w:hAnsi="宋体" w:eastAsia="宋体" w:cs="宋体"/>
                <w:sz w:val="21"/>
                <w:szCs w:val="21"/>
              </w:rPr>
              <w:t>气筒</w:t>
            </w:r>
          </w:p>
        </w:tc>
        <w:tc>
          <w:tcPr>
            <w:tcW w:w="1230"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 w:line="280" w:lineRule="exact"/>
              <w:ind w:right="0"/>
              <w:jc w:val="left"/>
              <w:rPr>
                <w:sz w:val="28"/>
                <w:szCs w:val="28"/>
              </w:rPr>
            </w:pPr>
          </w:p>
          <w:p>
            <w:pPr>
              <w:pStyle w:val="4069"/>
              <w:spacing w:line="240" w:lineRule="auto"/>
              <w:ind w:right="0"/>
              <w:jc w:val="center"/>
              <w:rPr>
                <w:rFonts w:ascii="Times New Roman" w:hAnsi="Times New Roman" w:eastAsia="Times New Roman" w:cs="Times New Roman"/>
                <w:sz w:val="21"/>
                <w:szCs w:val="21"/>
              </w:rPr>
            </w:pPr>
            <w:r>
              <w:rPr>
                <w:rFonts w:ascii="Times New Roman"/>
                <w:spacing w:val="-1"/>
                <w:sz w:val="21"/>
              </w:rPr>
              <w:t>905</w:t>
            </w:r>
          </w:p>
        </w:tc>
        <w:tc>
          <w:tcPr>
            <w:tcW w:w="1262"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 w:line="280" w:lineRule="exact"/>
              <w:ind w:right="0"/>
              <w:jc w:val="left"/>
              <w:rPr>
                <w:sz w:val="28"/>
                <w:szCs w:val="28"/>
              </w:rPr>
            </w:pPr>
          </w:p>
          <w:p>
            <w:pPr>
              <w:pStyle w:val="4069"/>
              <w:spacing w:line="240" w:lineRule="auto"/>
              <w:ind w:left="1" w:right="0"/>
              <w:jc w:val="center"/>
              <w:rPr>
                <w:rFonts w:ascii="Times New Roman" w:hAnsi="Times New Roman" w:eastAsia="Times New Roman" w:cs="Times New Roman"/>
                <w:sz w:val="21"/>
                <w:szCs w:val="21"/>
              </w:rPr>
            </w:pPr>
            <w:r>
              <w:rPr>
                <w:rFonts w:ascii="Times New Roman"/>
                <w:sz w:val="21"/>
              </w:rPr>
              <w:t>15</w:t>
            </w:r>
          </w:p>
        </w:tc>
        <w:tc>
          <w:tcPr>
            <w:tcW w:w="1111"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 w:line="280" w:lineRule="exact"/>
              <w:ind w:right="0"/>
              <w:jc w:val="left"/>
              <w:rPr>
                <w:sz w:val="28"/>
                <w:szCs w:val="28"/>
              </w:rPr>
            </w:pPr>
          </w:p>
          <w:p>
            <w:pPr>
              <w:pStyle w:val="4069"/>
              <w:spacing w:line="240" w:lineRule="auto"/>
              <w:ind w:left="1" w:right="0"/>
              <w:jc w:val="center"/>
              <w:rPr>
                <w:rFonts w:ascii="Times New Roman" w:hAnsi="Times New Roman" w:eastAsia="Times New Roman" w:cs="Times New Roman"/>
                <w:sz w:val="21"/>
                <w:szCs w:val="21"/>
              </w:rPr>
            </w:pPr>
            <w:r>
              <w:rPr>
                <w:rFonts w:ascii="Times New Roman"/>
                <w:sz w:val="21"/>
              </w:rPr>
              <w:t>0.6</w:t>
            </w:r>
          </w:p>
        </w:tc>
        <w:tc>
          <w:tcPr>
            <w:tcW w:w="1080"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 w:line="280" w:lineRule="exact"/>
              <w:ind w:right="0"/>
              <w:jc w:val="left"/>
              <w:rPr>
                <w:sz w:val="28"/>
                <w:szCs w:val="28"/>
              </w:rPr>
            </w:pPr>
          </w:p>
          <w:p>
            <w:pPr>
              <w:pStyle w:val="4069"/>
              <w:spacing w:line="240" w:lineRule="auto"/>
              <w:ind w:left="350" w:right="0"/>
              <w:jc w:val="left"/>
              <w:rPr>
                <w:rFonts w:ascii="Times New Roman" w:hAnsi="Times New Roman" w:eastAsia="Times New Roman" w:cs="Times New Roman"/>
                <w:sz w:val="21"/>
                <w:szCs w:val="21"/>
              </w:rPr>
            </w:pPr>
            <w:r>
              <w:rPr>
                <w:rFonts w:ascii="Times New Roman"/>
                <w:spacing w:val="-1"/>
                <w:sz w:val="21"/>
              </w:rPr>
              <w:t>0.99</w:t>
            </w:r>
          </w:p>
        </w:tc>
        <w:tc>
          <w:tcPr>
            <w:tcW w:w="926"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 w:line="280" w:lineRule="exact"/>
              <w:ind w:right="0"/>
              <w:jc w:val="left"/>
              <w:rPr>
                <w:sz w:val="28"/>
                <w:szCs w:val="28"/>
              </w:rPr>
            </w:pPr>
          </w:p>
          <w:p>
            <w:pPr>
              <w:pStyle w:val="4069"/>
              <w:spacing w:line="240" w:lineRule="auto"/>
              <w:ind w:right="1"/>
              <w:jc w:val="center"/>
              <w:rPr>
                <w:rFonts w:ascii="Times New Roman" w:hAnsi="Times New Roman" w:eastAsia="Times New Roman" w:cs="Times New Roman"/>
                <w:sz w:val="21"/>
                <w:szCs w:val="21"/>
              </w:rPr>
            </w:pPr>
            <w:r>
              <w:rPr>
                <w:rFonts w:ascii="Times New Roman"/>
                <w:sz w:val="21"/>
              </w:rPr>
              <w:t>80</w:t>
            </w:r>
          </w:p>
        </w:tc>
        <w:tc>
          <w:tcPr>
            <w:tcW w:w="1202" w:type="dxa"/>
            <w:tcBorders>
              <w:top w:val="single" w:color="000000" w:sz="4" w:space="0"/>
              <w:left w:val="single" w:color="000000" w:sz="4" w:space="0"/>
              <w:bottom w:val="single" w:color="000000" w:sz="12" w:space="0"/>
              <w:right w:val="single" w:color="000000" w:sz="4" w:space="0"/>
            </w:tcBorders>
          </w:tcPr>
          <w:p>
            <w:pPr>
              <w:pStyle w:val="4069"/>
              <w:spacing w:line="220" w:lineRule="exact"/>
              <w:ind w:right="0"/>
              <w:jc w:val="left"/>
              <w:rPr>
                <w:sz w:val="22"/>
                <w:szCs w:val="22"/>
              </w:rPr>
            </w:pPr>
          </w:p>
          <w:p>
            <w:pPr>
              <w:pStyle w:val="4069"/>
              <w:spacing w:before="13" w:line="240" w:lineRule="exact"/>
              <w:ind w:right="0"/>
              <w:jc w:val="left"/>
              <w:rPr>
                <w:sz w:val="24"/>
                <w:szCs w:val="24"/>
              </w:rPr>
            </w:pPr>
          </w:p>
          <w:p>
            <w:pPr>
              <w:pStyle w:val="4069"/>
              <w:spacing w:line="240" w:lineRule="auto"/>
              <w:ind w:left="385" w:right="0"/>
              <w:jc w:val="left"/>
              <w:rPr>
                <w:rFonts w:ascii="Times New Roman" w:hAnsi="Times New Roman" w:eastAsia="Times New Roman" w:cs="Times New Roman"/>
                <w:sz w:val="21"/>
                <w:szCs w:val="21"/>
              </w:rPr>
            </w:pPr>
            <w:r>
              <w:rPr>
                <w:rFonts w:ascii="Calibri"/>
                <w:spacing w:val="-1"/>
                <w:sz w:val="21"/>
              </w:rPr>
              <w:t>72</w:t>
            </w:r>
            <w:r>
              <w:rPr>
                <w:rFonts w:ascii="Times New Roman"/>
                <w:spacing w:val="-1"/>
                <w:sz w:val="21"/>
              </w:rPr>
              <w:t>00</w:t>
            </w:r>
          </w:p>
        </w:tc>
        <w:tc>
          <w:tcPr>
            <w:tcW w:w="913"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5" w:line="220" w:lineRule="exact"/>
              <w:ind w:right="0"/>
              <w:jc w:val="left"/>
              <w:rPr>
                <w:sz w:val="22"/>
                <w:szCs w:val="22"/>
              </w:rPr>
            </w:pPr>
          </w:p>
          <w:p>
            <w:pPr>
              <w:pStyle w:val="4069"/>
              <w:spacing w:line="240" w:lineRule="auto"/>
              <w:ind w:left="241" w:right="0"/>
              <w:jc w:val="left"/>
              <w:rPr>
                <w:rFonts w:ascii="宋体" w:hAnsi="宋体" w:eastAsia="宋体" w:cs="宋体"/>
                <w:sz w:val="21"/>
                <w:szCs w:val="21"/>
              </w:rPr>
            </w:pPr>
            <w:r>
              <w:rPr>
                <w:rFonts w:ascii="宋体" w:hAnsi="宋体" w:eastAsia="宋体" w:cs="宋体"/>
                <w:sz w:val="21"/>
                <w:szCs w:val="21"/>
              </w:rPr>
              <w:t>正常</w:t>
            </w:r>
          </w:p>
        </w:tc>
        <w:tc>
          <w:tcPr>
            <w:tcW w:w="836"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3" w:line="260" w:lineRule="exact"/>
              <w:ind w:right="0"/>
              <w:jc w:val="left"/>
              <w:rPr>
                <w:sz w:val="26"/>
                <w:szCs w:val="26"/>
              </w:rPr>
            </w:pPr>
          </w:p>
          <w:p>
            <w:pPr>
              <w:pStyle w:val="4069"/>
              <w:spacing w:line="240" w:lineRule="auto"/>
              <w:ind w:left="119" w:right="0"/>
              <w:jc w:val="left"/>
              <w:rPr>
                <w:rFonts w:ascii="Calibri" w:hAnsi="Calibri" w:eastAsia="Calibri" w:cs="Calibri"/>
                <w:sz w:val="21"/>
                <w:szCs w:val="21"/>
              </w:rPr>
            </w:pPr>
            <w:r>
              <w:rPr>
                <w:rFonts w:ascii="Calibri"/>
                <w:sz w:val="21"/>
              </w:rPr>
              <w:t>0.0156</w:t>
            </w:r>
          </w:p>
        </w:tc>
        <w:tc>
          <w:tcPr>
            <w:tcW w:w="638" w:type="dxa"/>
            <w:tcBorders>
              <w:top w:val="single" w:color="000000" w:sz="4" w:space="0"/>
              <w:left w:val="single" w:color="000000" w:sz="4" w:space="0"/>
              <w:bottom w:val="single" w:color="000000" w:sz="12" w:space="0"/>
              <w:right w:val="single" w:color="000000" w:sz="4" w:space="0"/>
            </w:tcBorders>
          </w:tcPr>
          <w:p>
            <w:pPr>
              <w:pStyle w:val="4069"/>
              <w:spacing w:line="200" w:lineRule="exact"/>
              <w:ind w:right="0"/>
              <w:jc w:val="left"/>
              <w:rPr>
                <w:sz w:val="20"/>
                <w:szCs w:val="20"/>
              </w:rPr>
            </w:pPr>
          </w:p>
          <w:p>
            <w:pPr>
              <w:pStyle w:val="4069"/>
              <w:spacing w:before="13" w:line="260" w:lineRule="exact"/>
              <w:ind w:right="0"/>
              <w:jc w:val="left"/>
              <w:rPr>
                <w:sz w:val="26"/>
                <w:szCs w:val="26"/>
              </w:rPr>
            </w:pPr>
          </w:p>
          <w:p>
            <w:pPr>
              <w:pStyle w:val="4069"/>
              <w:spacing w:line="240" w:lineRule="auto"/>
              <w:ind w:left="128" w:right="0"/>
              <w:jc w:val="left"/>
              <w:rPr>
                <w:rFonts w:ascii="Calibri" w:hAnsi="Calibri" w:eastAsia="Calibri" w:cs="Calibri"/>
                <w:sz w:val="21"/>
                <w:szCs w:val="21"/>
              </w:rPr>
            </w:pPr>
            <w:r>
              <w:rPr>
                <w:rFonts w:ascii="Calibri"/>
                <w:sz w:val="21"/>
              </w:rPr>
              <w:t>0.14</w:t>
            </w:r>
          </w:p>
        </w:tc>
        <w:tc>
          <w:tcPr>
            <w:tcW w:w="862" w:type="dxa"/>
            <w:tcBorders>
              <w:top w:val="single" w:color="000000" w:sz="4" w:space="0"/>
              <w:left w:val="single" w:color="000000" w:sz="4" w:space="0"/>
              <w:bottom w:val="single" w:color="000000" w:sz="12" w:space="0"/>
              <w:right w:val="single" w:color="000000" w:sz="12" w:space="0"/>
            </w:tcBorders>
          </w:tcPr>
          <w:p>
            <w:pPr>
              <w:pStyle w:val="4069"/>
              <w:spacing w:line="200" w:lineRule="exact"/>
              <w:ind w:right="0"/>
              <w:jc w:val="left"/>
              <w:rPr>
                <w:sz w:val="20"/>
                <w:szCs w:val="20"/>
              </w:rPr>
            </w:pPr>
          </w:p>
          <w:p>
            <w:pPr>
              <w:pStyle w:val="4069"/>
              <w:spacing w:before="13" w:line="260" w:lineRule="exact"/>
              <w:ind w:right="0"/>
              <w:jc w:val="left"/>
              <w:rPr>
                <w:sz w:val="26"/>
                <w:szCs w:val="26"/>
              </w:rPr>
            </w:pPr>
          </w:p>
          <w:p>
            <w:pPr>
              <w:pStyle w:val="4069"/>
              <w:spacing w:line="240" w:lineRule="auto"/>
              <w:ind w:left="240" w:right="0"/>
              <w:jc w:val="left"/>
              <w:rPr>
                <w:rFonts w:ascii="Calibri" w:hAnsi="Calibri" w:eastAsia="Calibri" w:cs="Calibri"/>
                <w:sz w:val="21"/>
                <w:szCs w:val="21"/>
              </w:rPr>
            </w:pPr>
            <w:r>
              <w:rPr>
                <w:rFonts w:ascii="Calibri"/>
                <w:sz w:val="21"/>
              </w:rPr>
              <w:t>0.06</w:t>
            </w:r>
          </w:p>
        </w:tc>
      </w:tr>
    </w:tbl>
    <w:p>
      <w:pPr>
        <w:pStyle w:val="2"/>
        <w:rPr>
          <w:rFonts w:hint="default" w:ascii="Times New Roman" w:hAnsi="Times New Roman" w:eastAsia="宋体" w:cs="Times New Roman"/>
          <w:sz w:val="24"/>
        </w:rPr>
      </w:pPr>
    </w:p>
    <w:p>
      <w:pPr>
        <w:pStyle w:val="2"/>
        <w:rPr>
          <w:rFonts w:hint="default" w:ascii="Times New Roman" w:hAnsi="Times New Roman" w:eastAsia="宋体" w:cs="Times New Roman"/>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）预测结果</w:t>
      </w:r>
    </w:p>
    <w:p>
      <w:pPr>
        <w:pStyle w:val="2"/>
        <w:rPr>
          <w:rFonts w:hint="default" w:ascii="Times New Roman" w:hAnsi="Times New Roman" w:eastAsia="宋体" w:cs="Times New Roman"/>
          <w:sz w:val="24"/>
        </w:rPr>
      </w:pPr>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正常排放预测结果</w:t>
      </w:r>
    </w:p>
    <w:p>
      <w:pPr>
        <w:pStyle w:val="2"/>
        <w:rPr>
          <w:rFonts w:hint="default" w:ascii="Times New Roman" w:hAnsi="Times New Roman" w:eastAsia="宋体" w:cs="Times New Roman"/>
          <w:sz w:val="24"/>
        </w:rPr>
      </w:pPr>
      <w:r>
        <w:rPr>
          <w:rFonts w:hint="default" w:ascii="Times New Roman" w:hAnsi="Times New Roman" w:eastAsia="宋体" w:cs="Times New Roman"/>
          <w:sz w:val="24"/>
        </w:rPr>
        <w:t xml:space="preserve">项目正常排放下锅炉烟气及恶臭预测结果详见下表 </w:t>
      </w:r>
      <w:r>
        <w:rPr>
          <w:rFonts w:hint="eastAsia" w:ascii="Times New Roman" w:hAnsi="Times New Roman" w:eastAsia="宋体" w:cs="Times New Roman"/>
          <w:sz w:val="24"/>
          <w:lang w:val="en-US" w:eastAsia="zh-CN"/>
        </w:rPr>
        <w:t>6.1-5</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6.1-6</w:t>
      </w:r>
      <w:r>
        <w:rPr>
          <w:rFonts w:hint="default" w:ascii="Times New Roman" w:hAnsi="Times New Roman" w:eastAsia="宋体" w:cs="Times New Roman"/>
          <w:sz w:val="24"/>
        </w:rPr>
        <w:t>。</w:t>
      </w:r>
    </w:p>
    <w:p>
      <w:pPr>
        <w:spacing w:before="26"/>
        <w:ind w:left="2188" w:right="0" w:firstLine="0"/>
        <w:jc w:val="left"/>
        <w:rPr>
          <w:rFonts w:ascii="宋体" w:hAnsi="宋体" w:eastAsia="宋体" w:cs="宋体"/>
          <w:sz w:val="24"/>
          <w:szCs w:val="24"/>
        </w:rPr>
      </w:pPr>
      <w:r>
        <w:rPr>
          <w:rFonts w:ascii="宋体" w:hAnsi="宋体" w:eastAsia="宋体" w:cs="宋体"/>
          <w:sz w:val="24"/>
          <w:szCs w:val="24"/>
        </w:rPr>
        <w:t>表</w:t>
      </w:r>
      <w:r>
        <w:rPr>
          <w:rFonts w:hint="eastAsia" w:ascii="宋体" w:hAnsi="宋体" w:eastAsia="宋体" w:cs="宋体"/>
          <w:sz w:val="24"/>
          <w:szCs w:val="24"/>
          <w:lang w:val="en-US" w:eastAsia="zh-CN"/>
        </w:rPr>
        <w:t xml:space="preserve">6.1-5  </w:t>
      </w:r>
      <w:r>
        <w:rPr>
          <w:rFonts w:ascii="宋体" w:hAnsi="宋体" w:eastAsia="宋体" w:cs="宋体"/>
          <w:sz w:val="24"/>
          <w:szCs w:val="24"/>
        </w:rPr>
        <w:t xml:space="preserve"> 锅炉烟气大气估算模式计算结果</w:t>
      </w:r>
    </w:p>
    <w:tbl>
      <w:tblPr>
        <w:tblStyle w:val="88"/>
        <w:tblW w:w="0" w:type="auto"/>
        <w:tblInd w:w="8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316"/>
        <w:gridCol w:w="1141"/>
        <w:gridCol w:w="922"/>
        <w:gridCol w:w="1141"/>
        <w:gridCol w:w="922"/>
        <w:gridCol w:w="1141"/>
        <w:gridCol w:w="92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exact"/>
        </w:trPr>
        <w:tc>
          <w:tcPr>
            <w:tcW w:w="2316" w:type="dxa"/>
            <w:tcBorders>
              <w:tl2br w:val="nil"/>
              <w:tr2bl w:val="nil"/>
            </w:tcBorders>
          </w:tcPr>
          <w:p>
            <w:pPr>
              <w:pStyle w:val="4069"/>
              <w:spacing w:before="23" w:line="240" w:lineRule="auto"/>
              <w:ind w:left="723" w:right="0"/>
              <w:jc w:val="left"/>
              <w:rPr>
                <w:rFonts w:ascii="宋体" w:hAnsi="宋体" w:eastAsia="宋体" w:cs="宋体"/>
                <w:sz w:val="21"/>
                <w:szCs w:val="21"/>
              </w:rPr>
            </w:pPr>
            <w:r>
              <w:rPr>
                <w:rFonts w:ascii="宋体" w:hAnsi="宋体" w:eastAsia="宋体" w:cs="宋体"/>
                <w:sz w:val="21"/>
                <w:szCs w:val="21"/>
              </w:rPr>
              <w:t>距源中心</w:t>
            </w:r>
          </w:p>
        </w:tc>
        <w:tc>
          <w:tcPr>
            <w:tcW w:w="2063" w:type="dxa"/>
            <w:gridSpan w:val="2"/>
            <w:tcBorders>
              <w:tl2br w:val="nil"/>
              <w:tr2bl w:val="nil"/>
            </w:tcBorders>
          </w:tcPr>
          <w:p>
            <w:pPr>
              <w:pStyle w:val="4069"/>
              <w:spacing w:line="265" w:lineRule="exact"/>
              <w:ind w:left="1" w:right="0"/>
              <w:jc w:val="center"/>
              <w:rPr>
                <w:rFonts w:ascii="宋体" w:hAnsi="宋体" w:eastAsia="宋体" w:cs="宋体"/>
                <w:sz w:val="21"/>
                <w:szCs w:val="21"/>
              </w:rPr>
            </w:pPr>
            <w:r>
              <w:rPr>
                <w:rFonts w:ascii="宋体" w:hAnsi="宋体" w:eastAsia="宋体" w:cs="宋体"/>
                <w:spacing w:val="1"/>
                <w:sz w:val="21"/>
                <w:szCs w:val="21"/>
              </w:rPr>
              <w:t>烟尘</w:t>
            </w:r>
          </w:p>
        </w:tc>
        <w:tc>
          <w:tcPr>
            <w:tcW w:w="2063" w:type="dxa"/>
            <w:gridSpan w:val="2"/>
            <w:tcBorders>
              <w:tl2br w:val="nil"/>
              <w:tr2bl w:val="nil"/>
            </w:tcBorders>
          </w:tcPr>
          <w:p>
            <w:pPr>
              <w:pStyle w:val="4069"/>
              <w:spacing w:before="37" w:line="240" w:lineRule="auto"/>
              <w:ind w:left="0" w:right="0"/>
              <w:jc w:val="center"/>
              <w:rPr>
                <w:rFonts w:ascii="Times New Roman" w:hAnsi="Times New Roman" w:eastAsia="Times New Roman" w:cs="Times New Roman"/>
                <w:sz w:val="13"/>
                <w:szCs w:val="13"/>
              </w:rPr>
            </w:pPr>
            <w:r>
              <w:rPr>
                <w:rFonts w:ascii="Times New Roman"/>
                <w:b/>
                <w:spacing w:val="-1"/>
                <w:position w:val="2"/>
                <w:sz w:val="21"/>
              </w:rPr>
              <w:t>SO</w:t>
            </w:r>
            <w:r>
              <w:rPr>
                <w:rFonts w:ascii="Times New Roman"/>
                <w:b/>
                <w:spacing w:val="-1"/>
                <w:sz w:val="13"/>
              </w:rPr>
              <w:t>2</w:t>
            </w:r>
          </w:p>
        </w:tc>
        <w:tc>
          <w:tcPr>
            <w:tcW w:w="2063" w:type="dxa"/>
            <w:gridSpan w:val="2"/>
            <w:tcBorders>
              <w:tl2br w:val="nil"/>
              <w:tr2bl w:val="nil"/>
            </w:tcBorders>
          </w:tcPr>
          <w:p>
            <w:pPr>
              <w:pStyle w:val="4069"/>
              <w:spacing w:before="37" w:line="240" w:lineRule="auto"/>
              <w:ind w:left="9" w:right="0"/>
              <w:jc w:val="center"/>
              <w:rPr>
                <w:rFonts w:ascii="Times New Roman" w:hAnsi="Times New Roman" w:eastAsia="Times New Roman" w:cs="Times New Roman"/>
                <w:sz w:val="13"/>
                <w:szCs w:val="13"/>
              </w:rPr>
            </w:pPr>
            <w:r>
              <w:rPr>
                <w:rFonts w:ascii="Times New Roman"/>
                <w:b/>
                <w:spacing w:val="-1"/>
                <w:position w:val="2"/>
                <w:sz w:val="21"/>
              </w:rPr>
              <w:t>NO</w:t>
            </w:r>
            <w:r>
              <w:rPr>
                <w:rFonts w:ascii="Times New Roman"/>
                <w:b/>
                <w:spacing w:val="-1"/>
                <w:sz w:val="13"/>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9" w:hRule="exact"/>
        </w:trPr>
        <w:tc>
          <w:tcPr>
            <w:tcW w:w="2316" w:type="dxa"/>
            <w:tcBorders>
              <w:tl2br w:val="nil"/>
              <w:tr2bl w:val="nil"/>
            </w:tcBorders>
          </w:tcPr>
          <w:p>
            <w:pPr>
              <w:pStyle w:val="4069"/>
              <w:spacing w:line="250" w:lineRule="exact"/>
              <w:ind w:left="617" w:right="0"/>
              <w:jc w:val="left"/>
              <w:rPr>
                <w:rFonts w:ascii="宋体" w:hAnsi="宋体" w:eastAsia="宋体" w:cs="宋体"/>
                <w:sz w:val="21"/>
                <w:szCs w:val="21"/>
              </w:rPr>
            </w:pPr>
            <w:r>
              <w:rPr>
                <w:rFonts w:ascii="宋体" w:hAnsi="宋体" w:eastAsia="宋体" w:cs="宋体"/>
                <w:sz w:val="21"/>
                <w:szCs w:val="21"/>
              </w:rPr>
              <w:t>下风向距离</w:t>
            </w:r>
          </w:p>
        </w:tc>
        <w:tc>
          <w:tcPr>
            <w:tcW w:w="1141" w:type="dxa"/>
            <w:tcBorders>
              <w:tl2br w:val="nil"/>
              <w:tr2bl w:val="nil"/>
            </w:tcBorders>
          </w:tcPr>
          <w:p>
            <w:pPr>
              <w:pStyle w:val="4069"/>
              <w:spacing w:line="262" w:lineRule="exact"/>
              <w:ind w:left="145" w:right="0"/>
              <w:jc w:val="left"/>
              <w:rPr>
                <w:rFonts w:ascii="宋体" w:hAnsi="宋体" w:eastAsia="宋体" w:cs="宋体"/>
                <w:sz w:val="21"/>
                <w:szCs w:val="21"/>
              </w:rPr>
            </w:pPr>
            <w:r>
              <w:rPr>
                <w:rFonts w:ascii="宋体" w:hAnsi="宋体" w:eastAsia="宋体" w:cs="宋体"/>
                <w:sz w:val="21"/>
                <w:szCs w:val="21"/>
              </w:rPr>
              <w:t>落地浓度</w:t>
            </w:r>
          </w:p>
        </w:tc>
        <w:tc>
          <w:tcPr>
            <w:tcW w:w="922" w:type="dxa"/>
            <w:tcBorders>
              <w:tl2br w:val="nil"/>
              <w:tr2bl w:val="nil"/>
            </w:tcBorders>
          </w:tcPr>
          <w:p>
            <w:pPr>
              <w:pStyle w:val="4069"/>
              <w:spacing w:line="248" w:lineRule="exact"/>
              <w:ind w:left="140" w:right="0"/>
              <w:jc w:val="left"/>
              <w:rPr>
                <w:rFonts w:ascii="宋体" w:hAnsi="宋体" w:eastAsia="宋体" w:cs="宋体"/>
                <w:sz w:val="21"/>
                <w:szCs w:val="21"/>
              </w:rPr>
            </w:pPr>
            <w:r>
              <w:rPr>
                <w:rFonts w:ascii="宋体" w:hAnsi="宋体" w:eastAsia="宋体" w:cs="宋体"/>
                <w:sz w:val="21"/>
                <w:szCs w:val="21"/>
              </w:rPr>
              <w:t>占标值</w:t>
            </w:r>
          </w:p>
        </w:tc>
        <w:tc>
          <w:tcPr>
            <w:tcW w:w="1141" w:type="dxa"/>
            <w:tcBorders>
              <w:tl2br w:val="nil"/>
              <w:tr2bl w:val="nil"/>
            </w:tcBorders>
          </w:tcPr>
          <w:p>
            <w:pPr>
              <w:pStyle w:val="4069"/>
              <w:spacing w:line="262" w:lineRule="exact"/>
              <w:ind w:left="145" w:right="0"/>
              <w:jc w:val="left"/>
              <w:rPr>
                <w:rFonts w:ascii="宋体" w:hAnsi="宋体" w:eastAsia="宋体" w:cs="宋体"/>
                <w:sz w:val="21"/>
                <w:szCs w:val="21"/>
              </w:rPr>
            </w:pPr>
            <w:r>
              <w:rPr>
                <w:rFonts w:ascii="宋体" w:hAnsi="宋体" w:eastAsia="宋体" w:cs="宋体"/>
                <w:sz w:val="21"/>
                <w:szCs w:val="21"/>
              </w:rPr>
              <w:t>落地浓度</w:t>
            </w:r>
          </w:p>
        </w:tc>
        <w:tc>
          <w:tcPr>
            <w:tcW w:w="922" w:type="dxa"/>
            <w:tcBorders>
              <w:tl2br w:val="nil"/>
              <w:tr2bl w:val="nil"/>
            </w:tcBorders>
          </w:tcPr>
          <w:p>
            <w:pPr>
              <w:pStyle w:val="4069"/>
              <w:spacing w:line="248" w:lineRule="exact"/>
              <w:ind w:left="140" w:right="0"/>
              <w:jc w:val="left"/>
              <w:rPr>
                <w:rFonts w:ascii="宋体" w:hAnsi="宋体" w:eastAsia="宋体" w:cs="宋体"/>
                <w:sz w:val="21"/>
                <w:szCs w:val="21"/>
              </w:rPr>
            </w:pPr>
            <w:r>
              <w:rPr>
                <w:rFonts w:ascii="宋体" w:hAnsi="宋体" w:eastAsia="宋体" w:cs="宋体"/>
                <w:sz w:val="21"/>
                <w:szCs w:val="21"/>
              </w:rPr>
              <w:t>占标值</w:t>
            </w:r>
          </w:p>
        </w:tc>
        <w:tc>
          <w:tcPr>
            <w:tcW w:w="1141" w:type="dxa"/>
            <w:tcBorders>
              <w:tl2br w:val="nil"/>
              <w:tr2bl w:val="nil"/>
            </w:tcBorders>
          </w:tcPr>
          <w:p>
            <w:pPr>
              <w:pStyle w:val="4069"/>
              <w:spacing w:line="262" w:lineRule="exact"/>
              <w:ind w:left="145" w:right="0"/>
              <w:jc w:val="left"/>
              <w:rPr>
                <w:rFonts w:ascii="宋体" w:hAnsi="宋体" w:eastAsia="宋体" w:cs="宋体"/>
                <w:sz w:val="21"/>
                <w:szCs w:val="21"/>
              </w:rPr>
            </w:pPr>
            <w:r>
              <w:rPr>
                <w:rFonts w:ascii="宋体" w:hAnsi="宋体" w:eastAsia="宋体" w:cs="宋体"/>
                <w:sz w:val="21"/>
                <w:szCs w:val="21"/>
              </w:rPr>
              <w:t>落地浓度</w:t>
            </w:r>
          </w:p>
        </w:tc>
        <w:tc>
          <w:tcPr>
            <w:tcW w:w="922" w:type="dxa"/>
            <w:tcBorders>
              <w:tl2br w:val="nil"/>
              <w:tr2bl w:val="nil"/>
            </w:tcBorders>
          </w:tcPr>
          <w:p>
            <w:pPr>
              <w:pStyle w:val="4069"/>
              <w:spacing w:line="248" w:lineRule="exact"/>
              <w:ind w:left="140" w:right="0"/>
              <w:jc w:val="left"/>
              <w:rPr>
                <w:rFonts w:ascii="宋体" w:hAnsi="宋体" w:eastAsia="宋体" w:cs="宋体"/>
                <w:sz w:val="21"/>
                <w:szCs w:val="21"/>
              </w:rPr>
            </w:pPr>
            <w:r>
              <w:rPr>
                <w:rFonts w:ascii="宋体" w:hAnsi="宋体" w:eastAsia="宋体" w:cs="宋体"/>
                <w:sz w:val="21"/>
                <w:szCs w:val="21"/>
              </w:rPr>
              <w:t>占标值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4" w:hRule="exact"/>
        </w:trPr>
        <w:tc>
          <w:tcPr>
            <w:tcW w:w="2316" w:type="dxa"/>
            <w:tcBorders>
              <w:tl2br w:val="nil"/>
              <w:tr2bl w:val="nil"/>
            </w:tcBorders>
          </w:tcPr>
          <w:p>
            <w:pPr>
              <w:pStyle w:val="4069"/>
              <w:spacing w:before="2" w:line="240" w:lineRule="auto"/>
              <w:ind w:right="10"/>
              <w:jc w:val="center"/>
              <w:rPr>
                <w:rFonts w:ascii="Times New Roman" w:hAnsi="Times New Roman" w:eastAsia="Times New Roman" w:cs="Times New Roman"/>
                <w:sz w:val="21"/>
                <w:szCs w:val="21"/>
              </w:rPr>
            </w:pPr>
            <w:r>
              <w:rPr>
                <w:rFonts w:ascii="Times New Roman"/>
                <w:b/>
                <w:spacing w:val="-1"/>
                <w:sz w:val="21"/>
              </w:rPr>
              <w:t>D(m)</w:t>
            </w:r>
          </w:p>
        </w:tc>
        <w:tc>
          <w:tcPr>
            <w:tcW w:w="1141" w:type="dxa"/>
            <w:tcBorders>
              <w:tl2br w:val="nil"/>
              <w:tr2bl w:val="nil"/>
            </w:tcBorders>
          </w:tcPr>
          <w:p>
            <w:pPr>
              <w:pStyle w:val="4069"/>
              <w:spacing w:before="20" w:line="240" w:lineRule="auto"/>
              <w:ind w:left="206" w:right="0"/>
              <w:jc w:val="left"/>
              <w:rPr>
                <w:rFonts w:ascii="Times New Roman" w:hAnsi="Times New Roman" w:eastAsia="Times New Roman" w:cs="Times New Roman"/>
                <w:sz w:val="21"/>
                <w:szCs w:val="21"/>
              </w:rPr>
            </w:pPr>
            <w:r>
              <w:rPr>
                <w:rFonts w:ascii="Times New Roman"/>
                <w:b/>
                <w:spacing w:val="-1"/>
                <w:sz w:val="21"/>
              </w:rPr>
              <w:t>(mg/m</w:t>
            </w:r>
            <w:r>
              <w:rPr>
                <w:rFonts w:ascii="Times New Roman"/>
                <w:b/>
                <w:spacing w:val="-1"/>
                <w:position w:val="7"/>
                <w:sz w:val="13"/>
              </w:rPr>
              <w:t>3</w:t>
            </w:r>
            <w:r>
              <w:rPr>
                <w:rFonts w:ascii="Times New Roman"/>
                <w:b/>
                <w:spacing w:val="-1"/>
                <w:sz w:val="21"/>
              </w:rPr>
              <w:t>)</w:t>
            </w:r>
          </w:p>
        </w:tc>
        <w:tc>
          <w:tcPr>
            <w:tcW w:w="922" w:type="dxa"/>
            <w:tcBorders>
              <w:tl2br w:val="nil"/>
              <w:tr2bl w:val="nil"/>
            </w:tcBorders>
          </w:tcPr>
          <w:p>
            <w:pPr>
              <w:pStyle w:val="4069"/>
              <w:spacing w:line="262" w:lineRule="exact"/>
              <w:ind w:left="14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b/>
                <w:bCs/>
                <w:sz w:val="21"/>
                <w:szCs w:val="21"/>
              </w:rPr>
              <w:t>%</w:t>
            </w:r>
            <w:r>
              <w:rPr>
                <w:rFonts w:ascii="宋体" w:hAnsi="宋体" w:eastAsia="宋体" w:cs="宋体"/>
                <w:sz w:val="21"/>
                <w:szCs w:val="21"/>
              </w:rPr>
              <w:t>）</w:t>
            </w:r>
          </w:p>
        </w:tc>
        <w:tc>
          <w:tcPr>
            <w:tcW w:w="1141" w:type="dxa"/>
            <w:tcBorders>
              <w:tl2br w:val="nil"/>
              <w:tr2bl w:val="nil"/>
            </w:tcBorders>
          </w:tcPr>
          <w:p>
            <w:pPr>
              <w:pStyle w:val="4069"/>
              <w:spacing w:before="20" w:line="240" w:lineRule="auto"/>
              <w:ind w:left="206" w:right="0"/>
              <w:jc w:val="left"/>
              <w:rPr>
                <w:rFonts w:ascii="Times New Roman" w:hAnsi="Times New Roman" w:eastAsia="Times New Roman" w:cs="Times New Roman"/>
                <w:sz w:val="21"/>
                <w:szCs w:val="21"/>
              </w:rPr>
            </w:pPr>
            <w:r>
              <w:rPr>
                <w:rFonts w:ascii="Times New Roman"/>
                <w:b/>
                <w:spacing w:val="-1"/>
                <w:sz w:val="21"/>
              </w:rPr>
              <w:t>(mg/m</w:t>
            </w:r>
            <w:r>
              <w:rPr>
                <w:rFonts w:ascii="Times New Roman"/>
                <w:b/>
                <w:spacing w:val="-1"/>
                <w:position w:val="7"/>
                <w:sz w:val="13"/>
              </w:rPr>
              <w:t>3</w:t>
            </w:r>
            <w:r>
              <w:rPr>
                <w:rFonts w:ascii="Times New Roman"/>
                <w:b/>
                <w:spacing w:val="-1"/>
                <w:sz w:val="21"/>
              </w:rPr>
              <w:t>)</w:t>
            </w:r>
          </w:p>
        </w:tc>
        <w:tc>
          <w:tcPr>
            <w:tcW w:w="922" w:type="dxa"/>
            <w:tcBorders>
              <w:tl2br w:val="nil"/>
              <w:tr2bl w:val="nil"/>
            </w:tcBorders>
          </w:tcPr>
          <w:p>
            <w:pPr>
              <w:pStyle w:val="4069"/>
              <w:spacing w:line="262" w:lineRule="exact"/>
              <w:ind w:left="14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b/>
                <w:bCs/>
                <w:sz w:val="21"/>
                <w:szCs w:val="21"/>
              </w:rPr>
              <w:t>%</w:t>
            </w:r>
            <w:r>
              <w:rPr>
                <w:rFonts w:ascii="宋体" w:hAnsi="宋体" w:eastAsia="宋体" w:cs="宋体"/>
                <w:sz w:val="21"/>
                <w:szCs w:val="21"/>
              </w:rPr>
              <w:t>）</w:t>
            </w:r>
          </w:p>
        </w:tc>
        <w:tc>
          <w:tcPr>
            <w:tcW w:w="1141" w:type="dxa"/>
            <w:tcBorders>
              <w:tl2br w:val="nil"/>
              <w:tr2bl w:val="nil"/>
            </w:tcBorders>
          </w:tcPr>
          <w:p>
            <w:pPr>
              <w:pStyle w:val="4069"/>
              <w:spacing w:before="20" w:line="240" w:lineRule="auto"/>
              <w:ind w:left="207" w:right="0"/>
              <w:jc w:val="left"/>
              <w:rPr>
                <w:rFonts w:ascii="Times New Roman" w:hAnsi="Times New Roman" w:eastAsia="Times New Roman" w:cs="Times New Roman"/>
                <w:sz w:val="21"/>
                <w:szCs w:val="21"/>
              </w:rPr>
            </w:pPr>
            <w:r>
              <w:rPr>
                <w:rFonts w:ascii="Times New Roman"/>
                <w:b/>
                <w:spacing w:val="-1"/>
                <w:sz w:val="21"/>
              </w:rPr>
              <w:t>(mg/m</w:t>
            </w:r>
            <w:r>
              <w:rPr>
                <w:rFonts w:ascii="Times New Roman"/>
                <w:b/>
                <w:spacing w:val="-1"/>
                <w:position w:val="7"/>
                <w:sz w:val="13"/>
              </w:rPr>
              <w:t>3</w:t>
            </w:r>
            <w:r>
              <w:rPr>
                <w:rFonts w:ascii="Times New Roman"/>
                <w:b/>
                <w:spacing w:val="-1"/>
                <w:sz w:val="21"/>
              </w:rPr>
              <w:t>)</w:t>
            </w:r>
          </w:p>
        </w:tc>
        <w:tc>
          <w:tcPr>
            <w:tcW w:w="922" w:type="dxa"/>
            <w:tcBorders>
              <w:tl2br w:val="nil"/>
              <w:tr2bl w:val="nil"/>
            </w:tcBorders>
          </w:tcPr>
          <w:p>
            <w:pPr>
              <w:pStyle w:val="4069"/>
              <w:spacing w:line="262" w:lineRule="exact"/>
              <w:ind w:left="140"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b/>
                <w:bCs/>
                <w:sz w:val="21"/>
                <w:szCs w:val="21"/>
              </w:rPr>
              <w:t>%</w:t>
            </w:r>
            <w:r>
              <w:rPr>
                <w:rFonts w:ascii="宋体" w:hAnsi="宋体" w:eastAsia="宋体" w:cs="宋体"/>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right="9"/>
              <w:jc w:val="center"/>
              <w:rPr>
                <w:rFonts w:ascii="Times New Roman" w:hAnsi="Times New Roman" w:eastAsia="Times New Roman" w:cs="Times New Roman"/>
                <w:sz w:val="21"/>
                <w:szCs w:val="21"/>
              </w:rPr>
            </w:pPr>
            <w:r>
              <w:rPr>
                <w:rFonts w:ascii="Times New Roman"/>
                <w:b/>
                <w:sz w:val="21"/>
              </w:rPr>
              <w:t>10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3.78E-19</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0.00</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5.14E-19</w:t>
            </w:r>
          </w:p>
        </w:tc>
        <w:tc>
          <w:tcPr>
            <w:tcW w:w="922" w:type="dxa"/>
            <w:tcBorders>
              <w:tl2br w:val="nil"/>
              <w:tr2bl w:val="nil"/>
            </w:tcBorders>
          </w:tcPr>
          <w:p>
            <w:pPr>
              <w:pStyle w:val="4069"/>
              <w:spacing w:before="56" w:line="240" w:lineRule="auto"/>
              <w:ind w:left="271" w:right="0"/>
              <w:jc w:val="left"/>
              <w:rPr>
                <w:rFonts w:ascii="Times New Roman" w:hAnsi="Times New Roman" w:eastAsia="Times New Roman" w:cs="Times New Roman"/>
                <w:sz w:val="21"/>
                <w:szCs w:val="21"/>
              </w:rPr>
            </w:pPr>
            <w:r>
              <w:rPr>
                <w:rFonts w:ascii="Times New Roman"/>
                <w:spacing w:val="-1"/>
                <w:sz w:val="21"/>
              </w:rPr>
              <w:t>0.00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2.47E-03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100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1.84E-04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0.02</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2.54E-04</w:t>
            </w:r>
          </w:p>
        </w:tc>
        <w:tc>
          <w:tcPr>
            <w:tcW w:w="922" w:type="dxa"/>
            <w:tcBorders>
              <w:tl2br w:val="nil"/>
              <w:tr2bl w:val="nil"/>
            </w:tcBorders>
          </w:tcPr>
          <w:p>
            <w:pPr>
              <w:pStyle w:val="4069"/>
              <w:spacing w:before="56" w:line="240" w:lineRule="auto"/>
              <w:ind w:left="271" w:right="0"/>
              <w:jc w:val="left"/>
              <w:rPr>
                <w:rFonts w:ascii="Times New Roman" w:hAnsi="Times New Roman" w:eastAsia="Times New Roman" w:cs="Times New Roman"/>
                <w:sz w:val="21"/>
                <w:szCs w:val="21"/>
              </w:rPr>
            </w:pPr>
            <w:r>
              <w:rPr>
                <w:rFonts w:ascii="Times New Roman"/>
                <w:spacing w:val="-1"/>
                <w:sz w:val="21"/>
              </w:rPr>
              <w:t>0.05</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1.22E-03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0.61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200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5.33E-04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0.06</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7.39E-04</w:t>
            </w:r>
          </w:p>
        </w:tc>
        <w:tc>
          <w:tcPr>
            <w:tcW w:w="922" w:type="dxa"/>
            <w:tcBorders>
              <w:tl2br w:val="nil"/>
              <w:tr2bl w:val="nil"/>
            </w:tcBorders>
          </w:tcPr>
          <w:p>
            <w:pPr>
              <w:pStyle w:val="4069"/>
              <w:spacing w:before="56" w:line="240" w:lineRule="auto"/>
              <w:ind w:left="271" w:right="0"/>
              <w:jc w:val="left"/>
              <w:rPr>
                <w:rFonts w:ascii="Times New Roman" w:hAnsi="Times New Roman" w:eastAsia="Times New Roman" w:cs="Times New Roman"/>
                <w:sz w:val="21"/>
                <w:szCs w:val="21"/>
              </w:rPr>
            </w:pPr>
            <w:r>
              <w:rPr>
                <w:rFonts w:ascii="Times New Roman"/>
                <w:spacing w:val="-1"/>
                <w:sz w:val="21"/>
              </w:rPr>
              <w:t>0.16</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3.56E-03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300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5.65E-04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0.06</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7.82E-04</w:t>
            </w:r>
          </w:p>
        </w:tc>
        <w:tc>
          <w:tcPr>
            <w:tcW w:w="922" w:type="dxa"/>
            <w:tcBorders>
              <w:tl2br w:val="nil"/>
              <w:tr2bl w:val="nil"/>
            </w:tcBorders>
          </w:tcPr>
          <w:p>
            <w:pPr>
              <w:pStyle w:val="4069"/>
              <w:spacing w:before="56" w:line="240" w:lineRule="auto"/>
              <w:ind w:left="271" w:right="0"/>
              <w:jc w:val="left"/>
              <w:rPr>
                <w:rFonts w:ascii="Times New Roman" w:hAnsi="Times New Roman" w:eastAsia="Times New Roman" w:cs="Times New Roman"/>
                <w:sz w:val="21"/>
                <w:szCs w:val="21"/>
              </w:rPr>
            </w:pPr>
            <w:r>
              <w:rPr>
                <w:rFonts w:ascii="Times New Roman"/>
                <w:spacing w:val="-1"/>
                <w:sz w:val="21"/>
              </w:rPr>
              <w:t>0.16</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3.77E-03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302</w:t>
            </w:r>
          </w:p>
        </w:tc>
        <w:tc>
          <w:tcPr>
            <w:tcW w:w="1141" w:type="dxa"/>
            <w:tcBorders>
              <w:tl2br w:val="nil"/>
              <w:tr2bl w:val="nil"/>
            </w:tcBorders>
          </w:tcPr>
          <w:p>
            <w:pPr>
              <w:pStyle w:val="4069"/>
              <w:spacing w:before="56" w:line="240" w:lineRule="auto"/>
              <w:ind w:left="171" w:right="0"/>
              <w:jc w:val="left"/>
              <w:rPr>
                <w:rFonts w:ascii="Times New Roman" w:hAnsi="Times New Roman" w:eastAsia="Times New Roman" w:cs="Times New Roman"/>
                <w:sz w:val="21"/>
                <w:szCs w:val="21"/>
              </w:rPr>
            </w:pPr>
            <w:r>
              <w:rPr>
                <w:rFonts w:ascii="Times New Roman"/>
                <w:b/>
                <w:spacing w:val="-1"/>
                <w:sz w:val="21"/>
              </w:rPr>
              <w:t>5.65E-04</w:t>
            </w:r>
          </w:p>
        </w:tc>
        <w:tc>
          <w:tcPr>
            <w:tcW w:w="922" w:type="dxa"/>
            <w:tcBorders>
              <w:tl2br w:val="nil"/>
              <w:tr2bl w:val="nil"/>
            </w:tcBorders>
          </w:tcPr>
          <w:p>
            <w:pPr>
              <w:pStyle w:val="4069"/>
              <w:spacing w:before="56" w:line="240" w:lineRule="auto"/>
              <w:ind w:left="271" w:right="0"/>
              <w:jc w:val="left"/>
              <w:rPr>
                <w:rFonts w:ascii="Times New Roman" w:hAnsi="Times New Roman" w:eastAsia="Times New Roman" w:cs="Times New Roman"/>
                <w:sz w:val="21"/>
                <w:szCs w:val="21"/>
              </w:rPr>
            </w:pPr>
            <w:r>
              <w:rPr>
                <w:rFonts w:ascii="Times New Roman"/>
                <w:b/>
                <w:sz w:val="21"/>
              </w:rPr>
              <w:t>0.06</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b/>
                <w:spacing w:val="-1"/>
                <w:sz w:val="21"/>
              </w:rPr>
              <w:t>7.82</w:t>
            </w:r>
            <w:r>
              <w:rPr>
                <w:rFonts w:ascii="Times New Roman"/>
                <w:spacing w:val="-1"/>
                <w:sz w:val="21"/>
              </w:rPr>
              <w:t>E-04</w:t>
            </w:r>
          </w:p>
        </w:tc>
        <w:tc>
          <w:tcPr>
            <w:tcW w:w="922" w:type="dxa"/>
            <w:tcBorders>
              <w:tl2br w:val="nil"/>
              <w:tr2bl w:val="nil"/>
            </w:tcBorders>
          </w:tcPr>
          <w:p>
            <w:pPr>
              <w:pStyle w:val="4069"/>
              <w:spacing w:before="56" w:line="240" w:lineRule="auto"/>
              <w:ind w:left="271" w:right="0"/>
              <w:jc w:val="left"/>
              <w:rPr>
                <w:rFonts w:ascii="Times New Roman" w:hAnsi="Times New Roman" w:eastAsia="Times New Roman" w:cs="Times New Roman"/>
                <w:sz w:val="21"/>
                <w:szCs w:val="21"/>
              </w:rPr>
            </w:pPr>
            <w:r>
              <w:rPr>
                <w:rFonts w:ascii="Times New Roman"/>
                <w:b/>
                <w:spacing w:val="-1"/>
                <w:sz w:val="21"/>
              </w:rPr>
              <w:t>0.15</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b/>
                <w:spacing w:val="-1"/>
                <w:sz w:val="21"/>
              </w:rPr>
              <w:t>3.77</w:t>
            </w:r>
            <w:r>
              <w:rPr>
                <w:rFonts w:ascii="Times New Roman"/>
                <w:spacing w:val="-1"/>
                <w:sz w:val="21"/>
              </w:rPr>
              <w:t>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b/>
                <w:sz w:val="21"/>
              </w:rPr>
              <w:t>1.89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400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5.54E-04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0.06</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7.55E-04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0.14</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3.63E-03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500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5.08E-04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0.06</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7.03E-04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0.13</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3.39E-03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600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4.75E-04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0.05</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6.57E-04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0.13</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3.31E-03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700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4.62E-04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0.05</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6.39E-04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0.12</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3.08E-03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800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4.44E-04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0.05</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6.15E-04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0.12</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2.96E-03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67" w:right="978"/>
              <w:jc w:val="center"/>
              <w:rPr>
                <w:rFonts w:ascii="Times New Roman" w:hAnsi="Times New Roman" w:eastAsia="Times New Roman" w:cs="Times New Roman"/>
                <w:sz w:val="21"/>
                <w:szCs w:val="21"/>
              </w:rPr>
            </w:pPr>
            <w:r>
              <w:rPr>
                <w:rFonts w:ascii="Times New Roman"/>
                <w:b/>
                <w:spacing w:val="-1"/>
                <w:sz w:val="21"/>
              </w:rPr>
              <w:t>900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4.24E-04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0.04</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5.87E-04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0.12</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2.83E-03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17" w:right="925"/>
              <w:jc w:val="center"/>
              <w:rPr>
                <w:rFonts w:ascii="Times New Roman" w:hAnsi="Times New Roman" w:eastAsia="Times New Roman" w:cs="Times New Roman"/>
                <w:sz w:val="21"/>
                <w:szCs w:val="21"/>
              </w:rPr>
            </w:pPr>
            <w:r>
              <w:rPr>
                <w:rFonts w:ascii="Times New Roman"/>
                <w:b/>
                <w:spacing w:val="-1"/>
                <w:sz w:val="21"/>
              </w:rPr>
              <w:t>1000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4.07E-04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0.04</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5.64E-04</w:t>
            </w:r>
          </w:p>
        </w:tc>
        <w:tc>
          <w:tcPr>
            <w:tcW w:w="922" w:type="dxa"/>
            <w:tcBorders>
              <w:tl2br w:val="nil"/>
              <w:tr2bl w:val="nil"/>
            </w:tcBorders>
          </w:tcPr>
          <w:p>
            <w:pPr>
              <w:pStyle w:val="4069"/>
              <w:spacing w:before="56" w:line="240" w:lineRule="auto"/>
              <w:ind w:left="275" w:right="0"/>
              <w:jc w:val="left"/>
              <w:rPr>
                <w:rFonts w:ascii="Times New Roman" w:hAnsi="Times New Roman" w:eastAsia="Times New Roman" w:cs="Times New Roman"/>
                <w:sz w:val="21"/>
                <w:szCs w:val="21"/>
              </w:rPr>
            </w:pPr>
            <w:r>
              <w:rPr>
                <w:rFonts w:ascii="Times New Roman"/>
                <w:spacing w:val="-2"/>
                <w:sz w:val="21"/>
              </w:rPr>
              <w:t>0.11</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2.71E-03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17" w:right="925"/>
              <w:jc w:val="center"/>
              <w:rPr>
                <w:rFonts w:ascii="Times New Roman" w:hAnsi="Times New Roman" w:eastAsia="Times New Roman" w:cs="Times New Roman"/>
                <w:sz w:val="21"/>
                <w:szCs w:val="21"/>
              </w:rPr>
            </w:pPr>
            <w:r>
              <w:rPr>
                <w:rFonts w:ascii="Times New Roman"/>
                <w:b/>
                <w:spacing w:val="-1"/>
                <w:sz w:val="21"/>
              </w:rPr>
              <w:t>1500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3.18E-04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0.04</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4.40E-04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0.09</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2.12E-03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0" w:hRule="exact"/>
        </w:trPr>
        <w:tc>
          <w:tcPr>
            <w:tcW w:w="2316" w:type="dxa"/>
            <w:tcBorders>
              <w:tl2br w:val="nil"/>
              <w:tr2bl w:val="nil"/>
            </w:tcBorders>
          </w:tcPr>
          <w:p>
            <w:pPr>
              <w:pStyle w:val="4069"/>
              <w:spacing w:before="114" w:line="240" w:lineRule="auto"/>
              <w:ind w:left="917" w:right="925"/>
              <w:jc w:val="center"/>
              <w:rPr>
                <w:rFonts w:ascii="Times New Roman" w:hAnsi="Times New Roman" w:eastAsia="Times New Roman" w:cs="Times New Roman"/>
                <w:sz w:val="21"/>
                <w:szCs w:val="21"/>
              </w:rPr>
            </w:pPr>
            <w:r>
              <w:rPr>
                <w:rFonts w:ascii="Times New Roman"/>
                <w:b/>
                <w:spacing w:val="-1"/>
                <w:sz w:val="21"/>
              </w:rPr>
              <w:t>2000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2.92E-04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0.03</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4.05E-04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0.08</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1.95E-03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0.98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8" w:hRule="exact"/>
        </w:trPr>
        <w:tc>
          <w:tcPr>
            <w:tcW w:w="2316" w:type="dxa"/>
            <w:tcBorders>
              <w:tl2br w:val="nil"/>
              <w:tr2bl w:val="nil"/>
            </w:tcBorders>
          </w:tcPr>
          <w:p>
            <w:pPr>
              <w:pStyle w:val="4069"/>
              <w:spacing w:before="114" w:line="240" w:lineRule="auto"/>
              <w:ind w:left="917" w:right="925"/>
              <w:jc w:val="center"/>
              <w:rPr>
                <w:rFonts w:ascii="Times New Roman" w:hAnsi="Times New Roman" w:eastAsia="Times New Roman" w:cs="Times New Roman"/>
                <w:sz w:val="21"/>
                <w:szCs w:val="21"/>
              </w:rPr>
            </w:pPr>
            <w:r>
              <w:rPr>
                <w:rFonts w:ascii="Times New Roman"/>
                <w:b/>
                <w:spacing w:val="-1"/>
                <w:sz w:val="21"/>
              </w:rPr>
              <w:t>2500</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2.89E-04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z w:val="21"/>
              </w:rPr>
              <w:t>0.03</w:t>
            </w:r>
          </w:p>
        </w:tc>
        <w:tc>
          <w:tcPr>
            <w:tcW w:w="1141" w:type="dxa"/>
            <w:tcBorders>
              <w:tl2br w:val="nil"/>
              <w:tr2bl w:val="nil"/>
            </w:tcBorders>
          </w:tcPr>
          <w:p>
            <w:pPr>
              <w:pStyle w:val="4069"/>
              <w:spacing w:before="56" w:line="240" w:lineRule="auto"/>
              <w:ind w:left="176" w:right="0"/>
              <w:jc w:val="left"/>
              <w:rPr>
                <w:rFonts w:ascii="Times New Roman" w:hAnsi="Times New Roman" w:eastAsia="Times New Roman" w:cs="Times New Roman"/>
                <w:sz w:val="21"/>
                <w:szCs w:val="21"/>
              </w:rPr>
            </w:pPr>
            <w:r>
              <w:rPr>
                <w:rFonts w:ascii="Times New Roman"/>
                <w:spacing w:val="-1"/>
                <w:sz w:val="21"/>
              </w:rPr>
              <w:t>4.01E-04</w:t>
            </w:r>
          </w:p>
        </w:tc>
        <w:tc>
          <w:tcPr>
            <w:tcW w:w="922" w:type="dxa"/>
            <w:tcBorders>
              <w:tl2br w:val="nil"/>
              <w:tr2bl w:val="nil"/>
            </w:tcBorders>
          </w:tcPr>
          <w:p>
            <w:pPr>
              <w:pStyle w:val="4069"/>
              <w:spacing w:before="56" w:line="240" w:lineRule="auto"/>
              <w:ind w:left="270" w:right="0"/>
              <w:jc w:val="left"/>
              <w:rPr>
                <w:rFonts w:ascii="Times New Roman" w:hAnsi="Times New Roman" w:eastAsia="Times New Roman" w:cs="Times New Roman"/>
                <w:sz w:val="21"/>
                <w:szCs w:val="21"/>
              </w:rPr>
            </w:pPr>
            <w:r>
              <w:rPr>
                <w:rFonts w:ascii="Times New Roman"/>
                <w:spacing w:val="-1"/>
                <w:sz w:val="21"/>
              </w:rPr>
              <w:t>0.08</w:t>
            </w:r>
          </w:p>
        </w:tc>
        <w:tc>
          <w:tcPr>
            <w:tcW w:w="1141" w:type="dxa"/>
            <w:tcBorders>
              <w:tl2br w:val="nil"/>
              <w:tr2bl w:val="nil"/>
            </w:tcBorders>
          </w:tcPr>
          <w:p>
            <w:pPr>
              <w:pStyle w:val="4069"/>
              <w:spacing w:before="56" w:line="240" w:lineRule="auto"/>
              <w:ind w:left="177" w:right="0"/>
              <w:jc w:val="left"/>
              <w:rPr>
                <w:rFonts w:ascii="Times New Roman" w:hAnsi="Times New Roman" w:eastAsia="Times New Roman" w:cs="Times New Roman"/>
                <w:sz w:val="21"/>
                <w:szCs w:val="21"/>
              </w:rPr>
            </w:pPr>
            <w:r>
              <w:rPr>
                <w:rFonts w:ascii="Times New Roman"/>
                <w:spacing w:val="-1"/>
                <w:sz w:val="21"/>
              </w:rPr>
              <w:t>1.93E-03</w:t>
            </w:r>
          </w:p>
        </w:tc>
        <w:tc>
          <w:tcPr>
            <w:tcW w:w="922" w:type="dxa"/>
            <w:tcBorders>
              <w:tl2br w:val="nil"/>
              <w:tr2bl w:val="nil"/>
            </w:tcBorders>
          </w:tcPr>
          <w:p>
            <w:pPr>
              <w:pStyle w:val="4069"/>
              <w:spacing w:before="56" w:line="240" w:lineRule="auto"/>
              <w:ind w:left="272" w:right="0"/>
              <w:jc w:val="left"/>
              <w:rPr>
                <w:rFonts w:ascii="Times New Roman" w:hAnsi="Times New Roman" w:eastAsia="Times New Roman" w:cs="Times New Roman"/>
                <w:sz w:val="21"/>
                <w:szCs w:val="21"/>
              </w:rPr>
            </w:pPr>
            <w:r>
              <w:rPr>
                <w:rFonts w:ascii="Times New Roman"/>
                <w:sz w:val="21"/>
              </w:rPr>
              <w:t>0.97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exact"/>
        </w:trPr>
        <w:tc>
          <w:tcPr>
            <w:tcW w:w="2316" w:type="dxa"/>
            <w:tcBorders>
              <w:tl2br w:val="nil"/>
              <w:tr2bl w:val="nil"/>
            </w:tcBorders>
          </w:tcPr>
          <w:p>
            <w:pPr>
              <w:pStyle w:val="4069"/>
              <w:spacing w:line="250" w:lineRule="exact"/>
              <w:ind w:left="407" w:right="0"/>
              <w:jc w:val="left"/>
              <w:rPr>
                <w:rFonts w:ascii="宋体" w:hAnsi="宋体" w:eastAsia="宋体" w:cs="宋体"/>
                <w:sz w:val="21"/>
                <w:szCs w:val="21"/>
              </w:rPr>
            </w:pPr>
            <w:r>
              <w:rPr>
                <w:rFonts w:ascii="宋体" w:hAnsi="宋体" w:eastAsia="宋体" w:cs="宋体"/>
                <w:sz w:val="21"/>
                <w:szCs w:val="21"/>
              </w:rPr>
              <w:t>下风向最大浓度</w:t>
            </w:r>
          </w:p>
        </w:tc>
        <w:tc>
          <w:tcPr>
            <w:tcW w:w="1141" w:type="dxa"/>
            <w:tcBorders>
              <w:tl2br w:val="nil"/>
              <w:tr2bl w:val="nil"/>
            </w:tcBorders>
          </w:tcPr>
          <w:p>
            <w:pPr>
              <w:pStyle w:val="4069"/>
              <w:spacing w:before="24" w:line="240" w:lineRule="auto"/>
              <w:ind w:left="171" w:right="0"/>
              <w:jc w:val="left"/>
              <w:rPr>
                <w:rFonts w:ascii="Times New Roman" w:hAnsi="Times New Roman" w:eastAsia="Times New Roman" w:cs="Times New Roman"/>
                <w:sz w:val="21"/>
                <w:szCs w:val="21"/>
              </w:rPr>
            </w:pPr>
            <w:r>
              <w:rPr>
                <w:rFonts w:ascii="Times New Roman"/>
                <w:b/>
                <w:spacing w:val="-1"/>
                <w:sz w:val="21"/>
              </w:rPr>
              <w:t>5.65E-04</w:t>
            </w:r>
          </w:p>
        </w:tc>
        <w:tc>
          <w:tcPr>
            <w:tcW w:w="922" w:type="dxa"/>
            <w:tcBorders>
              <w:tl2br w:val="nil"/>
              <w:tr2bl w:val="nil"/>
            </w:tcBorders>
          </w:tcPr>
          <w:p>
            <w:pPr>
              <w:pStyle w:val="4069"/>
              <w:spacing w:before="24" w:line="240" w:lineRule="auto"/>
              <w:ind w:left="271" w:right="0"/>
              <w:jc w:val="left"/>
              <w:rPr>
                <w:rFonts w:ascii="Times New Roman" w:hAnsi="Times New Roman" w:eastAsia="Times New Roman" w:cs="Times New Roman"/>
                <w:sz w:val="21"/>
                <w:szCs w:val="21"/>
              </w:rPr>
            </w:pPr>
            <w:r>
              <w:rPr>
                <w:rFonts w:ascii="Times New Roman"/>
                <w:b/>
                <w:sz w:val="21"/>
              </w:rPr>
              <w:t>0.06</w:t>
            </w:r>
          </w:p>
        </w:tc>
        <w:tc>
          <w:tcPr>
            <w:tcW w:w="1141" w:type="dxa"/>
            <w:tcBorders>
              <w:tl2br w:val="nil"/>
              <w:tr2bl w:val="nil"/>
            </w:tcBorders>
          </w:tcPr>
          <w:p>
            <w:pPr>
              <w:pStyle w:val="4069"/>
              <w:spacing w:before="24" w:line="240" w:lineRule="auto"/>
              <w:ind w:left="177" w:right="0"/>
              <w:jc w:val="left"/>
              <w:rPr>
                <w:rFonts w:ascii="Times New Roman" w:hAnsi="Times New Roman" w:eastAsia="Times New Roman" w:cs="Times New Roman"/>
                <w:sz w:val="21"/>
                <w:szCs w:val="21"/>
              </w:rPr>
            </w:pPr>
            <w:r>
              <w:rPr>
                <w:rFonts w:ascii="Times New Roman"/>
                <w:b/>
                <w:spacing w:val="-1"/>
                <w:sz w:val="21"/>
              </w:rPr>
              <w:t>7.82</w:t>
            </w:r>
            <w:r>
              <w:rPr>
                <w:rFonts w:ascii="Times New Roman"/>
                <w:spacing w:val="-1"/>
                <w:sz w:val="21"/>
              </w:rPr>
              <w:t>E-04</w:t>
            </w:r>
          </w:p>
        </w:tc>
        <w:tc>
          <w:tcPr>
            <w:tcW w:w="922" w:type="dxa"/>
            <w:tcBorders>
              <w:tl2br w:val="nil"/>
              <w:tr2bl w:val="nil"/>
            </w:tcBorders>
          </w:tcPr>
          <w:p>
            <w:pPr>
              <w:pStyle w:val="4069"/>
              <w:spacing w:before="24" w:line="240" w:lineRule="auto"/>
              <w:ind w:left="271" w:right="0"/>
              <w:jc w:val="left"/>
              <w:rPr>
                <w:rFonts w:ascii="Times New Roman" w:hAnsi="Times New Roman" w:eastAsia="Times New Roman" w:cs="Times New Roman"/>
                <w:sz w:val="21"/>
                <w:szCs w:val="21"/>
              </w:rPr>
            </w:pPr>
            <w:r>
              <w:rPr>
                <w:rFonts w:ascii="Times New Roman"/>
                <w:b/>
                <w:spacing w:val="-1"/>
                <w:sz w:val="21"/>
              </w:rPr>
              <w:t>0.15</w:t>
            </w:r>
          </w:p>
        </w:tc>
        <w:tc>
          <w:tcPr>
            <w:tcW w:w="1141" w:type="dxa"/>
            <w:tcBorders>
              <w:tl2br w:val="nil"/>
              <w:tr2bl w:val="nil"/>
            </w:tcBorders>
          </w:tcPr>
          <w:p>
            <w:pPr>
              <w:pStyle w:val="4069"/>
              <w:spacing w:before="24" w:line="240" w:lineRule="auto"/>
              <w:ind w:left="177" w:right="0"/>
              <w:jc w:val="left"/>
              <w:rPr>
                <w:rFonts w:ascii="Times New Roman" w:hAnsi="Times New Roman" w:eastAsia="Times New Roman" w:cs="Times New Roman"/>
                <w:sz w:val="21"/>
                <w:szCs w:val="21"/>
              </w:rPr>
            </w:pPr>
            <w:r>
              <w:rPr>
                <w:rFonts w:ascii="Times New Roman"/>
                <w:b/>
                <w:spacing w:val="-1"/>
                <w:sz w:val="21"/>
              </w:rPr>
              <w:t>3.77</w:t>
            </w:r>
            <w:r>
              <w:rPr>
                <w:rFonts w:ascii="Times New Roman"/>
                <w:spacing w:val="-1"/>
                <w:sz w:val="21"/>
              </w:rPr>
              <w:t>E-03</w:t>
            </w:r>
          </w:p>
        </w:tc>
        <w:tc>
          <w:tcPr>
            <w:tcW w:w="922" w:type="dxa"/>
            <w:tcBorders>
              <w:tl2br w:val="nil"/>
              <w:tr2bl w:val="nil"/>
            </w:tcBorders>
          </w:tcPr>
          <w:p>
            <w:pPr>
              <w:pStyle w:val="4069"/>
              <w:spacing w:before="24" w:line="240" w:lineRule="auto"/>
              <w:ind w:left="272" w:right="0"/>
              <w:jc w:val="left"/>
              <w:rPr>
                <w:rFonts w:ascii="Times New Roman" w:hAnsi="Times New Roman" w:eastAsia="Times New Roman" w:cs="Times New Roman"/>
                <w:sz w:val="21"/>
                <w:szCs w:val="21"/>
              </w:rPr>
            </w:pPr>
            <w:r>
              <w:rPr>
                <w:rFonts w:ascii="Times New Roman"/>
                <w:b/>
                <w:sz w:val="21"/>
              </w:rPr>
              <w:t>1.89</w:t>
            </w:r>
          </w:p>
        </w:tc>
      </w:tr>
    </w:tbl>
    <w:p>
      <w:pPr>
        <w:spacing w:before="26"/>
        <w:ind w:left="2188" w:right="0" w:firstLine="0"/>
        <w:jc w:val="left"/>
        <w:rPr>
          <w:rFonts w:ascii="宋体" w:hAnsi="宋体" w:eastAsia="宋体" w:cs="宋体"/>
          <w:sz w:val="24"/>
          <w:szCs w:val="24"/>
        </w:rPr>
      </w:pPr>
      <w:r>
        <w:rPr>
          <w:rFonts w:ascii="宋体" w:hAnsi="宋体" w:eastAsia="宋体" w:cs="宋体"/>
          <w:sz w:val="24"/>
          <w:szCs w:val="24"/>
        </w:rPr>
        <w:t>表</w:t>
      </w:r>
      <w:r>
        <w:rPr>
          <w:rFonts w:hint="eastAsia" w:ascii="宋体" w:hAnsi="宋体" w:eastAsia="宋体" w:cs="宋体"/>
          <w:sz w:val="24"/>
          <w:szCs w:val="24"/>
          <w:lang w:val="en-US" w:eastAsia="zh-CN"/>
        </w:rPr>
        <w:t xml:space="preserve">6.1-6  </w:t>
      </w:r>
      <w:r>
        <w:rPr>
          <w:rFonts w:ascii="宋体" w:hAnsi="宋体" w:eastAsia="宋体" w:cs="宋体"/>
          <w:sz w:val="24"/>
          <w:szCs w:val="24"/>
        </w:rPr>
        <w:t xml:space="preserve"> </w:t>
      </w:r>
      <w:r>
        <w:rPr>
          <w:rFonts w:hint="eastAsia" w:ascii="宋体" w:hAnsi="宋体" w:eastAsia="宋体" w:cs="宋体"/>
          <w:sz w:val="24"/>
          <w:szCs w:val="24"/>
          <w:lang w:eastAsia="zh-CN"/>
        </w:rPr>
        <w:t>恶臭</w:t>
      </w:r>
      <w:r>
        <w:rPr>
          <w:rFonts w:ascii="宋体" w:hAnsi="宋体" w:eastAsia="宋体" w:cs="宋体"/>
          <w:sz w:val="24"/>
          <w:szCs w:val="24"/>
        </w:rPr>
        <w:t>估算模式计算结果</w:t>
      </w:r>
    </w:p>
    <w:tbl>
      <w:tblPr>
        <w:tblStyle w:val="88"/>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62"/>
        <w:gridCol w:w="1690"/>
        <w:gridCol w:w="1757"/>
        <w:gridCol w:w="1757"/>
        <w:gridCol w:w="16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9" w:hRule="atLeast"/>
          <w:jc w:val="center"/>
        </w:trPr>
        <w:tc>
          <w:tcPr>
            <w:tcW w:w="1662" w:type="dxa"/>
            <w:vMerge w:val="restart"/>
            <w:tcBorders>
              <w:tl2br w:val="nil"/>
              <w:tr2bl w:val="nil"/>
            </w:tcBorders>
            <w:vAlign w:val="center"/>
            <mc:AlternateContent>
              <mc:Choice Requires="wpsCustomData">
                <wpsCustomData:diagonals>
                  <wpsCustomData:diagonal from="10000" to="30000">
                    <wpsCustomData:border w:val="single" w:color="000000" w:sz="8" w:space="0"/>
                  </wpsCustomData:diagonal>
                </wpsCustomData:diagonals>
              </mc:Choice>
            </mc:AlternateContent>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0"/>
              </w:rPr>
            </w:pPr>
          </w:p>
          <w:p>
            <w:pPr>
              <w:pStyle w:val="4069"/>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p>
          <w:p>
            <w:pPr>
              <w:pStyle w:val="4069"/>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p>
          <w:p>
            <w:pPr>
              <w:pStyle w:val="4069"/>
              <w:keepNext w:val="0"/>
              <w:keepLines w:val="0"/>
              <w:pageBreakBefore w:val="0"/>
              <w:widowControl w:val="0"/>
              <w:kinsoku/>
              <w:wordWrap/>
              <w:overflowPunct/>
              <w:topLinePunct w:val="0"/>
              <w:autoSpaceDE w:val="0"/>
              <w:autoSpaceDN w:val="0"/>
              <w:bidi w:val="0"/>
              <w:adjustRightInd/>
              <w:snapToGrid w:val="0"/>
              <w:spacing w:before="0" w:after="0" w:line="240" w:lineRule="auto"/>
              <w:ind w:left="0" w:right="0" w:firstLine="0" w:firstLineChars="0"/>
              <w:jc w:val="center"/>
              <w:textAlignment w:val="auto"/>
              <mc:AlternateContent>
                <mc:Choice Requires="wpsCustomData">
                  <wpsCustomData:diagonalParaType/>
                </mc:Choice>
              </mc:AlternateContent>
              <w:rPr>
                <w:rFonts w:hint="default" w:ascii="Times New Roman" w:hAnsi="Times New Roman" w:eastAsia="Calibri" w:cs="Times New Roman"/>
                <w:b/>
                <w:spacing w:val="0"/>
                <w:w w:val="100"/>
                <w:position w:val="0"/>
                <w:sz w:val="21"/>
              </w:rPr>
            </w:pPr>
            <w:r>
              <w:rPr>
                <w:rFonts w:hint="default" w:ascii="Times New Roman" w:hAnsi="Times New Roman" w:cs="Times New Roman"/>
                <w:b/>
                <w:spacing w:val="0"/>
                <w:w w:val="100"/>
                <w:position w:val="0"/>
                <w:sz w:val="21"/>
              </w:rPr>
              <w:t>距离</w:t>
            </w:r>
            <w:r>
              <w:rPr>
                <w:rFonts w:hint="default" w:ascii="Times New Roman" w:hAnsi="Times New Roman" w:eastAsia="Calibri" w:cs="Times New Roman"/>
                <w:b/>
                <w:spacing w:val="0"/>
                <w:w w:val="100"/>
                <w:position w:val="0"/>
                <w:sz w:val="21"/>
              </w:rPr>
              <w:t>(m)</w:t>
            </w:r>
          </w:p>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p>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污染源</w:t>
            </w:r>
          </w:p>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Calibri" w:cs="Times New Roman"/>
                <w:b/>
                <w:spacing w:val="0"/>
                <w:w w:val="100"/>
                <w:position w:val="0"/>
                <w:sz w:val="21"/>
              </w:rPr>
            </w:pPr>
          </w:p>
        </w:tc>
        <w:tc>
          <w:tcPr>
            <w:tcW w:w="6867" w:type="dxa"/>
            <w:gridSpan w:val="4"/>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污水处理站、待宰圈、屠宰区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
                <w:szCs w:val="2"/>
              </w:rPr>
            </w:pPr>
          </w:p>
        </w:tc>
        <w:tc>
          <w:tcPr>
            <w:tcW w:w="3447" w:type="dxa"/>
            <w:gridSpan w:val="2"/>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13"/>
              </w:rPr>
            </w:pPr>
            <w:r>
              <w:rPr>
                <w:rFonts w:hint="default" w:ascii="Times New Roman" w:hAnsi="Times New Roman" w:cs="Times New Roman"/>
                <w:b/>
                <w:spacing w:val="0"/>
                <w:w w:val="100"/>
                <w:position w:val="0"/>
                <w:sz w:val="21"/>
              </w:rPr>
              <w:t>NH</w:t>
            </w:r>
            <w:r>
              <w:rPr>
                <w:rFonts w:hint="default" w:ascii="Times New Roman" w:hAnsi="Times New Roman" w:cs="Times New Roman"/>
                <w:b/>
                <w:spacing w:val="0"/>
                <w:w w:val="100"/>
                <w:position w:val="0"/>
                <w:sz w:val="13"/>
              </w:rPr>
              <w:t>3</w:t>
            </w:r>
          </w:p>
        </w:tc>
        <w:tc>
          <w:tcPr>
            <w:tcW w:w="3420" w:type="dxa"/>
            <w:gridSpan w:val="2"/>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H</w:t>
            </w:r>
            <w:r>
              <w:rPr>
                <w:rFonts w:hint="default" w:ascii="Times New Roman" w:hAnsi="Times New Roman" w:cs="Times New Roman"/>
                <w:b/>
                <w:spacing w:val="0"/>
                <w:w w:val="100"/>
                <w:position w:val="0"/>
                <w:sz w:val="13"/>
              </w:rPr>
              <w:t>2</w:t>
            </w:r>
            <w:r>
              <w:rPr>
                <w:rFonts w:hint="default" w:ascii="Times New Roman" w:hAnsi="Times New Roman" w:cs="Times New Roman"/>
                <w:b/>
                <w:spacing w:val="0"/>
                <w:w w:val="100"/>
                <w:position w:val="0"/>
                <w:sz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
                <w:szCs w:val="2"/>
              </w:rPr>
            </w:pP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落地浓度</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占标率</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落地浓度</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b/>
                <w:spacing w:val="0"/>
                <w:w w:val="100"/>
                <w:position w:val="0"/>
                <w:sz w:val="21"/>
              </w:rPr>
            </w:pPr>
            <w:r>
              <w:rPr>
                <w:rFonts w:hint="default" w:ascii="Times New Roman" w:hAnsi="Times New Roman" w:cs="Times New Roman"/>
                <w:b/>
                <w:spacing w:val="0"/>
                <w:w w:val="100"/>
                <w:position w:val="0"/>
                <w:sz w:val="21"/>
              </w:rPr>
              <w:t>占标率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1662"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
                <w:szCs w:val="2"/>
              </w:rPr>
            </w:pP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mg/m</w:t>
            </w:r>
            <w:r>
              <w:rPr>
                <w:rFonts w:hint="default" w:ascii="Times New Roman" w:hAnsi="Times New Roman" w:cs="Times New Roman"/>
                <w:spacing w:val="0"/>
                <w:w w:val="100"/>
                <w:position w:val="0"/>
                <w:sz w:val="21"/>
                <w:vertAlign w:val="superscript"/>
              </w:rPr>
              <w:t>3</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mg/m</w:t>
            </w:r>
            <w:r>
              <w:rPr>
                <w:rFonts w:hint="default" w:ascii="Times New Roman" w:hAnsi="Times New Roman" w:cs="Times New Roman"/>
                <w:spacing w:val="0"/>
                <w:w w:val="100"/>
                <w:position w:val="0"/>
                <w:sz w:val="21"/>
                <w:vertAlign w:val="superscript"/>
              </w:rPr>
              <w:t>3</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eastAsia="zh-CN"/>
              </w:rPr>
            </w:pPr>
            <w:r>
              <w:rPr>
                <w:rFonts w:hint="default" w:ascii="Times New Roman" w:hAnsi="Times New Roman" w:cs="Times New Roman"/>
                <w:spacing w:val="0"/>
                <w:w w:val="100"/>
                <w:position w:val="0"/>
                <w:sz w:val="21"/>
              </w:rPr>
              <w:t>0.001</w:t>
            </w:r>
            <w:r>
              <w:rPr>
                <w:rFonts w:hint="default" w:ascii="Times New Roman" w:hAnsi="Times New Roman" w:cs="Times New Roman"/>
                <w:spacing w:val="0"/>
                <w:w w:val="100"/>
                <w:position w:val="0"/>
                <w:sz w:val="21"/>
                <w:lang w:val="en-US" w:eastAsia="zh-CN"/>
              </w:rPr>
              <w:t>9</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95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115</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1.</w:t>
            </w:r>
            <w:r>
              <w:rPr>
                <w:rFonts w:hint="default" w:ascii="Times New Roman" w:hAnsi="Times New Roman" w:cs="Times New Roman"/>
                <w:spacing w:val="0"/>
                <w:w w:val="100"/>
                <w:position w:val="0"/>
                <w:sz w:val="21"/>
                <w:lang w:val="en-US" w:eastAsia="zh-CN"/>
              </w:rPr>
              <w:t>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2"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2797</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1.</w:t>
            </w:r>
            <w:r>
              <w:rPr>
                <w:rFonts w:hint="default" w:ascii="Times New Roman" w:hAnsi="Times New Roman" w:cs="Times New Roman"/>
                <w:spacing w:val="0"/>
                <w:w w:val="100"/>
                <w:position w:val="0"/>
                <w:sz w:val="21"/>
                <w:lang w:val="en-US" w:eastAsia="zh-CN"/>
              </w:rPr>
              <w:t>40</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0.0001</w:t>
            </w:r>
            <w:r>
              <w:rPr>
                <w:rFonts w:hint="default" w:ascii="Times New Roman" w:hAnsi="Times New Roman" w:cs="Times New Roman"/>
                <w:spacing w:val="0"/>
                <w:w w:val="100"/>
                <w:position w:val="0"/>
                <w:sz w:val="21"/>
                <w:lang w:val="en-US" w:eastAsia="zh-CN"/>
              </w:rPr>
              <w:t>69</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w:t>
            </w:r>
            <w:r>
              <w:rPr>
                <w:rFonts w:hint="default" w:ascii="Times New Roman" w:hAnsi="Times New Roman" w:cs="Times New Roman"/>
                <w:spacing w:val="0"/>
                <w:w w:val="100"/>
                <w:position w:val="0"/>
                <w:sz w:val="21"/>
                <w:lang w:val="en-US" w:eastAsia="zh-CN"/>
              </w:rPr>
              <w:t>6</w:t>
            </w:r>
            <w:r>
              <w:rPr>
                <w:rFonts w:hint="default" w:ascii="Times New Roman" w:hAnsi="Times New Roman" w:cs="Times New Roman"/>
                <w:spacing w:val="0"/>
                <w:w w:val="100"/>
                <w:position w:val="0"/>
                <w:sz w:val="21"/>
              </w:rPr>
              <w:t>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200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3495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1.75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0.0002</w:t>
            </w:r>
            <w:r>
              <w:rPr>
                <w:rFonts w:hint="default" w:ascii="Times New Roman" w:hAnsi="Times New Roman" w:cs="Times New Roman"/>
                <w:spacing w:val="0"/>
                <w:w w:val="100"/>
                <w:position w:val="0"/>
                <w:sz w:val="21"/>
                <w:lang w:val="en-US" w:eastAsia="zh-CN"/>
              </w:rPr>
              <w:t>11</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2.</w:t>
            </w:r>
            <w:r>
              <w:rPr>
                <w:rFonts w:hint="default" w:ascii="Times New Roman" w:hAnsi="Times New Roman" w:cs="Times New Roman"/>
                <w:spacing w:val="0"/>
                <w:w w:val="100"/>
                <w:position w:val="0"/>
                <w:sz w:val="21"/>
                <w:lang w:val="en-US" w:eastAsia="zh-CN"/>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pacing w:val="0"/>
                <w:w w:val="100"/>
                <w:position w:val="0"/>
                <w:sz w:val="21"/>
                <w:lang w:val="en-US" w:eastAsia="zh-CN"/>
              </w:rPr>
            </w:pPr>
            <w:r>
              <w:rPr>
                <w:rFonts w:hint="default" w:ascii="Times New Roman" w:hAnsi="Times New Roman" w:cs="Times New Roman"/>
                <w:b/>
                <w:spacing w:val="0"/>
                <w:w w:val="100"/>
                <w:position w:val="0"/>
                <w:sz w:val="21"/>
              </w:rPr>
              <w:t>2</w:t>
            </w:r>
            <w:r>
              <w:rPr>
                <w:rFonts w:hint="default" w:ascii="Times New Roman" w:hAnsi="Times New Roman" w:cs="Times New Roman"/>
                <w:b/>
                <w:spacing w:val="0"/>
                <w:w w:val="100"/>
                <w:position w:val="0"/>
                <w:sz w:val="21"/>
                <w:lang w:val="en-US" w:eastAsia="zh-CN"/>
              </w:rPr>
              <w:t>05</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pacing w:val="0"/>
                <w:w w:val="100"/>
                <w:position w:val="0"/>
                <w:sz w:val="21"/>
                <w:lang w:val="en-US" w:eastAsia="zh-CN"/>
              </w:rPr>
            </w:pPr>
            <w:r>
              <w:rPr>
                <w:rFonts w:hint="default" w:ascii="Times New Roman" w:hAnsi="Times New Roman" w:cs="Times New Roman"/>
                <w:b/>
                <w:spacing w:val="0"/>
                <w:w w:val="100"/>
                <w:position w:val="0"/>
                <w:sz w:val="21"/>
              </w:rPr>
              <w:t>0.00</w:t>
            </w:r>
            <w:r>
              <w:rPr>
                <w:rFonts w:hint="default" w:ascii="Times New Roman" w:hAnsi="Times New Roman" w:cs="Times New Roman"/>
                <w:b/>
                <w:spacing w:val="0"/>
                <w:w w:val="100"/>
                <w:position w:val="0"/>
                <w:sz w:val="21"/>
                <w:lang w:val="en-US" w:eastAsia="zh-CN"/>
              </w:rPr>
              <w:t>3499</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pacing w:val="0"/>
                <w:w w:val="100"/>
                <w:position w:val="0"/>
                <w:sz w:val="21"/>
                <w:lang w:val="en-US" w:eastAsia="zh-CN"/>
              </w:rPr>
            </w:pPr>
            <w:r>
              <w:rPr>
                <w:rFonts w:hint="default" w:ascii="Times New Roman" w:hAnsi="Times New Roman" w:cs="Times New Roman"/>
                <w:b/>
                <w:spacing w:val="0"/>
                <w:w w:val="100"/>
                <w:position w:val="0"/>
                <w:sz w:val="21"/>
                <w:lang w:val="en-US" w:eastAsia="zh-CN"/>
              </w:rPr>
              <w:t>1.75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pacing w:val="0"/>
                <w:w w:val="100"/>
                <w:position w:val="0"/>
                <w:sz w:val="21"/>
                <w:lang w:val="en-US" w:eastAsia="zh-CN"/>
              </w:rPr>
            </w:pPr>
            <w:r>
              <w:rPr>
                <w:rFonts w:hint="default" w:ascii="Times New Roman" w:hAnsi="Times New Roman" w:cs="Times New Roman"/>
                <w:b/>
                <w:spacing w:val="0"/>
                <w:w w:val="100"/>
                <w:position w:val="0"/>
                <w:sz w:val="21"/>
              </w:rPr>
              <w:t>0.000</w:t>
            </w:r>
            <w:r>
              <w:rPr>
                <w:rFonts w:hint="default" w:ascii="Times New Roman" w:hAnsi="Times New Roman" w:cs="Times New Roman"/>
                <w:b/>
                <w:spacing w:val="0"/>
                <w:w w:val="100"/>
                <w:position w:val="0"/>
                <w:sz w:val="21"/>
                <w:lang w:val="en-US" w:eastAsia="zh-CN"/>
              </w:rPr>
              <w:t>212</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b/>
                <w:spacing w:val="0"/>
                <w:w w:val="100"/>
                <w:position w:val="0"/>
                <w:sz w:val="21"/>
                <w:lang w:val="en-US" w:eastAsia="zh-CN"/>
              </w:rPr>
            </w:pPr>
            <w:r>
              <w:rPr>
                <w:rFonts w:hint="default" w:ascii="Times New Roman" w:hAnsi="Times New Roman" w:cs="Times New Roman"/>
                <w:b/>
                <w:spacing w:val="0"/>
                <w:w w:val="100"/>
                <w:position w:val="0"/>
                <w:sz w:val="21"/>
                <w:lang w:val="en-US" w:eastAsia="zh-CN"/>
              </w:rPr>
              <w:t>2.12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300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3003</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1.50</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182</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400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2454</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1.23</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148</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500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2019</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1.01</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122</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1.22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600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1688</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0.84</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102</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1.02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700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1435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0.72</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087</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0.87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800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1238</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0.62</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075</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900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1082</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0.54</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065</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1000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0956</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0.48</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058</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1100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0854</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0.43</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052</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0.52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1200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0768</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0.38</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046</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1500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0584</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29</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13"/>
                <w:lang w:val="en-US" w:eastAsia="zh-CN"/>
              </w:rPr>
            </w:pPr>
            <w:r>
              <w:rPr>
                <w:rFonts w:hint="default" w:ascii="Times New Roman" w:hAnsi="Times New Roman" w:cs="Times New Roman"/>
                <w:spacing w:val="0"/>
                <w:w w:val="100"/>
                <w:position w:val="0"/>
                <w:sz w:val="21"/>
                <w:lang w:val="en-US" w:eastAsia="zh-CN"/>
              </w:rPr>
              <w:t>0.000035</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35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2000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w:t>
            </w:r>
            <w:r>
              <w:rPr>
                <w:rFonts w:hint="default" w:ascii="Times New Roman" w:hAnsi="Times New Roman" w:cs="Times New Roman"/>
                <w:spacing w:val="0"/>
                <w:w w:val="100"/>
                <w:position w:val="0"/>
                <w:sz w:val="21"/>
                <w:lang w:val="en-US" w:eastAsia="zh-CN"/>
              </w:rPr>
              <w:t>0405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20</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0.000025</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25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atLeast"/>
          <w:jc w:val="center"/>
        </w:trPr>
        <w:tc>
          <w:tcPr>
            <w:tcW w:w="1662"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cs="Times New Roman"/>
                <w:spacing w:val="0"/>
                <w:w w:val="100"/>
                <w:position w:val="0"/>
                <w:sz w:val="21"/>
              </w:rPr>
            </w:pPr>
            <w:r>
              <w:rPr>
                <w:rFonts w:hint="default" w:ascii="Times New Roman" w:hAnsi="Times New Roman" w:cs="Times New Roman"/>
                <w:spacing w:val="0"/>
                <w:w w:val="100"/>
                <w:position w:val="0"/>
                <w:sz w:val="21"/>
              </w:rPr>
              <w:t>2500</w:t>
            </w:r>
          </w:p>
        </w:tc>
        <w:tc>
          <w:tcPr>
            <w:tcW w:w="1690"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0.000</w:t>
            </w:r>
            <w:r>
              <w:rPr>
                <w:rFonts w:hint="default" w:ascii="Times New Roman" w:hAnsi="Times New Roman" w:cs="Times New Roman"/>
                <w:spacing w:val="0"/>
                <w:w w:val="100"/>
                <w:position w:val="0"/>
                <w:sz w:val="21"/>
                <w:lang w:val="en-US" w:eastAsia="zh-CN"/>
              </w:rPr>
              <w:t>304</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15</w:t>
            </w:r>
          </w:p>
        </w:tc>
        <w:tc>
          <w:tcPr>
            <w:tcW w:w="1757"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lang w:val="en-US" w:eastAsia="zh-CN"/>
              </w:rPr>
              <w:t>0.000018</w:t>
            </w:r>
          </w:p>
        </w:tc>
        <w:tc>
          <w:tcPr>
            <w:tcW w:w="1663" w:type="dxa"/>
            <w:tcBorders>
              <w:tl2br w:val="nil"/>
              <w:tr2bl w:val="nil"/>
            </w:tcBorders>
            <w:vAlign w:val="center"/>
          </w:tcPr>
          <w:p>
            <w:pPr>
              <w:pStyle w:val="406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firstLineChars="0"/>
              <w:jc w:val="center"/>
              <w:textAlignment w:val="auto"/>
              <w:rPr>
                <w:rFonts w:hint="default" w:ascii="Times New Roman" w:hAnsi="Times New Roman" w:eastAsia="宋体" w:cs="Times New Roman"/>
                <w:spacing w:val="0"/>
                <w:w w:val="100"/>
                <w:position w:val="0"/>
                <w:sz w:val="21"/>
                <w:lang w:val="en-US" w:eastAsia="zh-CN"/>
              </w:rPr>
            </w:pPr>
            <w:r>
              <w:rPr>
                <w:rFonts w:hint="default" w:ascii="Times New Roman" w:hAnsi="Times New Roman" w:cs="Times New Roman"/>
                <w:spacing w:val="0"/>
                <w:w w:val="100"/>
                <w:position w:val="0"/>
                <w:sz w:val="21"/>
              </w:rPr>
              <w:t>0</w:t>
            </w:r>
            <w:r>
              <w:rPr>
                <w:rFonts w:hint="default" w:ascii="Times New Roman" w:hAnsi="Times New Roman" w:cs="Times New Roman"/>
                <w:spacing w:val="0"/>
                <w:w w:val="100"/>
                <w:position w:val="0"/>
                <w:sz w:val="21"/>
                <w:lang w:val="en-US" w:eastAsia="zh-CN"/>
              </w:rPr>
              <w:t>.18</w:t>
            </w:r>
          </w:p>
        </w:tc>
      </w:tr>
    </w:tbl>
    <w:p>
      <w:pPr>
        <w:pStyle w:val="2"/>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②正常工况分析评价</w:t>
      </w:r>
    </w:p>
    <w:p>
      <w:pPr>
        <w:pStyle w:val="2"/>
        <w:rPr>
          <w:rFonts w:hint="default" w:ascii="Times New Roman" w:hAnsi="Times New Roman" w:eastAsia="宋体" w:cs="Times New Roman"/>
          <w:sz w:val="24"/>
        </w:rPr>
      </w:pPr>
      <w:r>
        <w:rPr>
          <w:rFonts w:hint="default" w:ascii="Times New Roman" w:hAnsi="Times New Roman" w:eastAsia="宋体" w:cs="Times New Roman"/>
          <w:sz w:val="24"/>
        </w:rPr>
        <w:t>根据工程分析可知，污水处理站臭气有组织排放可满足《恶臭污染物排放标准》（GB14554‐93）中二级排放标准。根据表5.3‐7预测结果可知，污水处理站排放的氨气、硫化氢及各屠宰车间无组织排放的氨气、硫化氢最大落地浓度均低于《贵州省环境污染物排放标准》（DB52/864‐2013）中规定的企业边界大气污染物浓度限值：氨气30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（无组织浓度限值1.0mg/m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），硫化氢10mg/m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（无组织浓度限值0.05mg/m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w:t>
      </w:r>
    </w:p>
    <w:p>
      <w:pPr>
        <w:pStyle w:val="2"/>
        <w:rPr>
          <w:rFonts w:hint="default" w:ascii="Times New Roman" w:hAnsi="Times New Roman" w:eastAsia="宋体" w:cs="Times New Roman"/>
          <w:sz w:val="24"/>
        </w:rPr>
      </w:pPr>
      <w:r>
        <w:rPr>
          <w:rFonts w:hint="default" w:ascii="Times New Roman" w:hAnsi="Times New Roman" w:eastAsia="宋体" w:cs="Times New Roman"/>
          <w:sz w:val="24"/>
        </w:rPr>
        <w:t>由预测结果可知，锅炉房燃烧废气大气估算模式计算的NO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最大落地浓度出现在距排气筒基底302m处，最大落地浓度为3.77ug/m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，其占标率为1.89%；SO</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最大落地浓度出现在距排气筒基底302m处，最大落地浓度为0.782ug/m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，其占标率为0.15%；烟尘最大落地浓度出现在距排气筒基底302m处，最大落地浓度为0.565ug/m</w:t>
      </w:r>
      <w:r>
        <w:rPr>
          <w:rFonts w:hint="default" w:ascii="Times New Roman" w:hAnsi="Times New Roman" w:eastAsia="宋体" w:cs="Times New Roman"/>
          <w:sz w:val="24"/>
          <w:vertAlign w:val="superscript"/>
        </w:rPr>
        <w:t>3</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其占标率为 0.06%。结果表明锅炉房燃烧废气能够做到达标排放，对区域环境空气影响较小。厂区恶臭大气估算模式计算的H</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S最大落地浓度出现在距厂区边界外2</w:t>
      </w:r>
      <w:r>
        <w:rPr>
          <w:rFonts w:hint="eastAsia" w:ascii="Times New Roman" w:hAnsi="Times New Roman" w:eastAsia="宋体" w:cs="Times New Roman"/>
          <w:sz w:val="24"/>
          <w:lang w:val="en-US" w:eastAsia="zh-CN"/>
        </w:rPr>
        <w:t>05</w:t>
      </w:r>
      <w:r>
        <w:rPr>
          <w:rFonts w:hint="default" w:ascii="Times New Roman" w:hAnsi="Times New Roman" w:eastAsia="宋体" w:cs="Times New Roman"/>
          <w:sz w:val="24"/>
        </w:rPr>
        <w:t>m 处，最大落地浓度为2.2796ug/m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，其占标率为2.80%；NH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最大落地浓度出现在距 厂区边界外 288m 处，最大落地浓度为4.62ug/m3，其占标率为2.31%；结果表明待宰圈、屠宰车间、污水处理站经机械通风、及时清洁消毒、喷洒除臭剂、加强绿化等措施后，能够减缓恶臭对区域环境空气的影响。</w:t>
      </w:r>
    </w:p>
    <w:p>
      <w:pPr>
        <w:pStyle w:val="2"/>
        <w:rPr>
          <w:rFonts w:hint="default" w:ascii="Times New Roman" w:hAnsi="Times New Roman" w:eastAsia="宋体" w:cs="Times New Roman"/>
          <w:sz w:val="24"/>
        </w:rPr>
      </w:pPr>
      <w:r>
        <w:rPr>
          <w:rFonts w:hint="default" w:ascii="Times New Roman" w:hAnsi="Times New Roman" w:eastAsia="宋体" w:cs="Times New Roman"/>
          <w:sz w:val="24"/>
        </w:rPr>
        <w:t>本项目周边敏感点为</w:t>
      </w:r>
      <w:r>
        <w:rPr>
          <w:rFonts w:hint="default" w:ascii="Times New Roman" w:hAnsi="Times New Roman" w:eastAsia="宋体" w:cs="Times New Roman"/>
          <w:sz w:val="24"/>
          <w:lang w:eastAsia="zh-CN"/>
        </w:rPr>
        <w:t>补泥鸡组</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龙汪平组、坝坎组</w:t>
      </w:r>
      <w:r>
        <w:rPr>
          <w:rFonts w:hint="default" w:ascii="Times New Roman" w:hAnsi="Times New Roman" w:eastAsia="宋体" w:cs="Times New Roman"/>
          <w:sz w:val="24"/>
        </w:rPr>
        <w:t>等，与项目距离</w:t>
      </w:r>
      <w:r>
        <w:rPr>
          <w:rFonts w:hint="default" w:ascii="Times New Roman" w:hAnsi="Times New Roman" w:eastAsia="宋体" w:cs="Times New Roman"/>
          <w:sz w:val="24"/>
          <w:highlight w:val="none"/>
          <w:lang w:val="en-US" w:eastAsia="zh-CN"/>
        </w:rPr>
        <w:t>300</w:t>
      </w:r>
      <w:r>
        <w:rPr>
          <w:rFonts w:hint="default" w:ascii="Times New Roman" w:hAnsi="Times New Roman" w:eastAsia="宋体" w:cs="Times New Roman"/>
          <w:sz w:val="24"/>
          <w:highlight w:val="none"/>
        </w:rPr>
        <w:t>m~</w:t>
      </w:r>
      <w:r>
        <w:rPr>
          <w:rFonts w:hint="default" w:ascii="Times New Roman" w:hAnsi="Times New Roman" w:eastAsia="宋体" w:cs="Times New Roman"/>
          <w:sz w:val="24"/>
          <w:lang w:val="en-US" w:eastAsia="zh-CN"/>
        </w:rPr>
        <w:t>13</w:t>
      </w:r>
      <w:r>
        <w:rPr>
          <w:rFonts w:hint="default" w:ascii="Times New Roman" w:hAnsi="Times New Roman" w:eastAsia="宋体" w:cs="Times New Roman"/>
          <w:sz w:val="24"/>
        </w:rPr>
        <w:t>00m；根据现状监测数据，各敏感目标空气中氨气、硫化氢监测一次均值</w:t>
      </w:r>
      <w:r>
        <w:rPr>
          <w:rFonts w:hint="default" w:ascii="Times New Roman" w:hAnsi="Times New Roman" w:eastAsia="宋体" w:cs="Times New Roman"/>
          <w:sz w:val="24"/>
          <w:lang w:eastAsia="zh-CN"/>
        </w:rPr>
        <w:t>占标率第</w:t>
      </w:r>
      <w:r>
        <w:rPr>
          <w:rFonts w:hint="default" w:ascii="Times New Roman" w:hAnsi="Times New Roman" w:eastAsia="宋体" w:cs="Times New Roman"/>
          <w:sz w:val="24"/>
        </w:rPr>
        <w:t>，敏感目标所在区域环境质量良好（背景值较低）；氨气、硫化氢在敏感点处的落地浓度较小（贡献值较小），叠加背景值后各敏感点环境空气质量均能满足《</w:t>
      </w:r>
      <w:r>
        <w:rPr>
          <w:rFonts w:hint="default" w:ascii="Times New Roman" w:hAnsi="Times New Roman" w:eastAsia="宋体" w:cs="Times New Roman"/>
          <w:sz w:val="24"/>
          <w:lang w:eastAsia="zh-CN"/>
        </w:rPr>
        <w:t>环境影响评价技术导则</w:t>
      </w:r>
      <w:r>
        <w:rPr>
          <w:rFonts w:hint="default" w:ascii="Times New Roman" w:hAnsi="Times New Roman" w:eastAsia="宋体" w:cs="Times New Roman"/>
          <w:sz w:val="24"/>
          <w:lang w:val="en-US" w:eastAsia="zh-CN"/>
        </w:rPr>
        <w:t xml:space="preserve">  大气环境</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HJ2.2-2018</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附录</w:t>
      </w:r>
      <w:r>
        <w:rPr>
          <w:rFonts w:hint="default" w:ascii="Times New Roman" w:hAnsi="Times New Roman" w:eastAsia="宋体" w:cs="Times New Roman"/>
          <w:sz w:val="24"/>
          <w:lang w:val="en-US" w:eastAsia="zh-CN"/>
        </w:rPr>
        <w:t>D</w:t>
      </w:r>
      <w:r>
        <w:rPr>
          <w:rFonts w:hint="default" w:ascii="Times New Roman" w:hAnsi="Times New Roman" w:eastAsia="宋体" w:cs="Times New Roman"/>
          <w:sz w:val="24"/>
        </w:rPr>
        <w:t>中的标准要求。因此，本项目排放的废气对敏感点影响较小。</w:t>
      </w:r>
    </w:p>
    <w:p>
      <w:pPr>
        <w:pStyle w:val="2"/>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非正常排放预测结果</w:t>
      </w:r>
    </w:p>
    <w:p>
      <w:pPr>
        <w:pStyle w:val="2"/>
        <w:rPr>
          <w:rFonts w:hint="default" w:ascii="Times New Roman" w:hAnsi="Times New Roman" w:eastAsia="宋体" w:cs="Times New Roman"/>
          <w:sz w:val="24"/>
        </w:rPr>
      </w:pPr>
      <w:r>
        <w:rPr>
          <w:rFonts w:hint="default" w:ascii="Times New Roman" w:hAnsi="Times New Roman" w:eastAsia="宋体" w:cs="Times New Roman"/>
          <w:sz w:val="24"/>
        </w:rPr>
        <w:t>项目非正常排放主要为厂区除臭措施效果不佳，导致H</w:t>
      </w:r>
      <w:r>
        <w:rPr>
          <w:rFonts w:hint="default" w:ascii="Times New Roman" w:hAnsi="Times New Roman" w:eastAsia="宋体" w:cs="Times New Roman"/>
          <w:sz w:val="24"/>
          <w:vertAlign w:val="subscript"/>
        </w:rPr>
        <w:t>2</w:t>
      </w:r>
      <w:r>
        <w:rPr>
          <w:rFonts w:hint="default" w:ascii="Times New Roman" w:hAnsi="Times New Roman" w:eastAsia="宋体" w:cs="Times New Roman"/>
          <w:sz w:val="24"/>
        </w:rPr>
        <w:t>S、NH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气体直接排放，具体预测结果详见下表。</w:t>
      </w:r>
    </w:p>
    <w:p>
      <w:pPr>
        <w:adjustRightInd w:val="0"/>
        <w:ind w:firstLine="482"/>
        <w:jc w:val="center"/>
        <w:rPr>
          <w:b/>
          <w:bCs/>
          <w:kern w:val="44"/>
          <w:sz w:val="24"/>
          <w:szCs w:val="44"/>
          <w:highlight w:val="yellow"/>
        </w:rPr>
      </w:pPr>
      <w:r>
        <w:rPr>
          <w:rFonts w:ascii="宋体" w:hAnsi="宋体" w:eastAsia="宋体" w:cs="宋体"/>
          <w:sz w:val="24"/>
          <w:szCs w:val="24"/>
        </w:rPr>
        <w:t>表</w:t>
      </w:r>
      <w:r>
        <w:rPr>
          <w:rFonts w:hint="eastAsia" w:ascii="宋体" w:hAnsi="宋体" w:eastAsia="宋体" w:cs="宋体"/>
          <w:sz w:val="24"/>
          <w:szCs w:val="24"/>
          <w:lang w:val="en-US" w:eastAsia="zh-CN"/>
        </w:rPr>
        <w:t>6</w:t>
      </w:r>
      <w:r>
        <w:rPr>
          <w:rFonts w:ascii="宋体" w:hAnsi="宋体" w:eastAsia="宋体" w:cs="宋体"/>
          <w:sz w:val="24"/>
          <w:szCs w:val="24"/>
        </w:rPr>
        <w:t>.1-</w:t>
      </w:r>
      <w:r>
        <w:rPr>
          <w:rFonts w:hint="eastAsia" w:ascii="宋体" w:hAnsi="宋体" w:eastAsia="宋体" w:cs="宋体"/>
          <w:sz w:val="24"/>
          <w:szCs w:val="24"/>
          <w:lang w:val="en-US" w:eastAsia="zh-CN"/>
        </w:rPr>
        <w:t>7</w:t>
      </w:r>
      <w:r>
        <w:rPr>
          <w:rFonts w:ascii="宋体" w:hAnsi="宋体" w:eastAsia="宋体" w:cs="宋体"/>
          <w:sz w:val="24"/>
          <w:szCs w:val="24"/>
        </w:rPr>
        <w:t xml:space="preserve">  恶臭估算模式结果一览表</w:t>
      </w:r>
    </w:p>
    <w:tbl>
      <w:tblPr>
        <w:tblStyle w:val="88"/>
        <w:tblW w:w="0" w:type="auto"/>
        <w:tblInd w:w="8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62"/>
        <w:gridCol w:w="1690"/>
        <w:gridCol w:w="1757"/>
        <w:gridCol w:w="1757"/>
        <w:gridCol w:w="16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exact"/>
        </w:trPr>
        <w:tc>
          <w:tcPr>
            <w:tcW w:w="1662" w:type="dxa"/>
            <w:vMerge w:val="restart"/>
            <w:tcBorders>
              <w:tl2br w:val="nil"/>
              <w:tr2bl w:val="nil"/>
            </w:tcBorders>
          </w:tcPr>
          <w:p>
            <w:pPr>
              <w:pStyle w:val="4069"/>
              <w:spacing w:line="254" w:lineRule="exact"/>
              <w:ind w:left="909" w:right="0"/>
              <w:jc w:val="left"/>
              <w:rPr>
                <w:rFonts w:ascii="宋体" w:hAnsi="宋体" w:eastAsia="宋体" w:cs="宋体"/>
                <w:sz w:val="21"/>
                <w:szCs w:val="21"/>
              </w:rPr>
            </w:pPr>
            <w:r>
              <w:rPr>
                <w:rFonts w:ascii="宋体" w:hAnsi="宋体" w:eastAsia="宋体" w:cs="宋体"/>
                <w:sz w:val="21"/>
                <w:szCs w:val="21"/>
              </w:rPr>
              <w:t>污染源</w:t>
            </w:r>
          </w:p>
          <w:p>
            <w:pPr>
              <w:pStyle w:val="4069"/>
              <w:spacing w:before="18" w:line="240" w:lineRule="exact"/>
              <w:ind w:right="0"/>
              <w:jc w:val="left"/>
              <w:rPr>
                <w:sz w:val="24"/>
                <w:szCs w:val="24"/>
              </w:rPr>
            </w:pPr>
          </w:p>
          <w:p>
            <w:pPr>
              <w:pStyle w:val="4069"/>
              <w:spacing w:line="240" w:lineRule="auto"/>
              <w:ind w:left="93" w:right="0"/>
              <w:jc w:val="left"/>
              <w:rPr>
                <w:rFonts w:ascii="Calibri" w:hAnsi="Calibri" w:eastAsia="Calibri" w:cs="Calibri"/>
                <w:sz w:val="21"/>
                <w:szCs w:val="21"/>
              </w:rPr>
            </w:pPr>
            <w:r>
              <w:rPr>
                <w:rFonts w:ascii="宋体" w:hAnsi="宋体" w:eastAsia="宋体" w:cs="宋体"/>
                <w:sz w:val="21"/>
                <w:szCs w:val="21"/>
              </w:rPr>
              <w:t>距离</w:t>
            </w:r>
            <w:r>
              <w:rPr>
                <w:rFonts w:ascii="Calibri" w:hAnsi="Calibri" w:eastAsia="Calibri" w:cs="Calibri"/>
                <w:b/>
                <w:bCs/>
                <w:sz w:val="21"/>
                <w:szCs w:val="21"/>
              </w:rPr>
              <w:t>(m)</w:t>
            </w:r>
          </w:p>
        </w:tc>
        <w:tc>
          <w:tcPr>
            <w:tcW w:w="6866" w:type="dxa"/>
            <w:gridSpan w:val="4"/>
            <w:tcBorders>
              <w:tl2br w:val="nil"/>
              <w:tr2bl w:val="nil"/>
            </w:tcBorders>
          </w:tcPr>
          <w:p>
            <w:pPr>
              <w:pStyle w:val="4069"/>
              <w:spacing w:before="16" w:line="240" w:lineRule="auto"/>
              <w:ind w:left="2062" w:right="0"/>
              <w:jc w:val="left"/>
              <w:rPr>
                <w:rFonts w:ascii="宋体" w:hAnsi="宋体" w:eastAsia="宋体" w:cs="宋体"/>
                <w:sz w:val="21"/>
                <w:szCs w:val="21"/>
              </w:rPr>
            </w:pPr>
            <w:r>
              <w:rPr>
                <w:rFonts w:ascii="宋体" w:hAnsi="宋体" w:eastAsia="宋体" w:cs="宋体"/>
                <w:sz w:val="21"/>
                <w:szCs w:val="21"/>
              </w:rPr>
              <w:t>污水处理站、待宰圈、屠宰区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vMerge w:val="continue"/>
            <w:tcBorders>
              <w:tl2br w:val="nil"/>
              <w:tr2bl w:val="nil"/>
            </w:tcBorders>
          </w:tcPr>
          <w:p/>
        </w:tc>
        <w:tc>
          <w:tcPr>
            <w:tcW w:w="3446" w:type="dxa"/>
            <w:gridSpan w:val="2"/>
            <w:tcBorders>
              <w:tl2br w:val="nil"/>
              <w:tr2bl w:val="nil"/>
            </w:tcBorders>
          </w:tcPr>
          <w:p>
            <w:pPr>
              <w:pStyle w:val="4069"/>
              <w:spacing w:before="38" w:line="240" w:lineRule="auto"/>
              <w:ind w:left="1532" w:right="1531"/>
              <w:jc w:val="center"/>
              <w:rPr>
                <w:rFonts w:ascii="Calibri" w:hAnsi="Calibri" w:eastAsia="Calibri" w:cs="Calibri"/>
                <w:sz w:val="13"/>
                <w:szCs w:val="13"/>
              </w:rPr>
            </w:pPr>
            <w:r>
              <w:rPr>
                <w:rFonts w:ascii="Calibri"/>
                <w:b/>
                <w:spacing w:val="-1"/>
                <w:position w:val="2"/>
                <w:sz w:val="21"/>
              </w:rPr>
              <w:t>NH</w:t>
            </w:r>
            <w:r>
              <w:rPr>
                <w:rFonts w:ascii="Calibri"/>
                <w:b/>
                <w:spacing w:val="-1"/>
                <w:sz w:val="13"/>
              </w:rPr>
              <w:t>3</w:t>
            </w:r>
          </w:p>
        </w:tc>
        <w:tc>
          <w:tcPr>
            <w:tcW w:w="3420" w:type="dxa"/>
            <w:gridSpan w:val="2"/>
            <w:tcBorders>
              <w:tl2br w:val="nil"/>
              <w:tr2bl w:val="nil"/>
            </w:tcBorders>
          </w:tcPr>
          <w:p>
            <w:pPr>
              <w:pStyle w:val="4069"/>
              <w:spacing w:before="38" w:line="240" w:lineRule="auto"/>
              <w:ind w:left="9" w:right="0"/>
              <w:jc w:val="center"/>
              <w:rPr>
                <w:rFonts w:ascii="Calibri" w:hAnsi="Calibri" w:eastAsia="Calibri" w:cs="Calibri"/>
                <w:sz w:val="21"/>
                <w:szCs w:val="21"/>
              </w:rPr>
            </w:pPr>
            <w:r>
              <w:rPr>
                <w:rFonts w:ascii="Calibri"/>
                <w:b/>
                <w:spacing w:val="-1"/>
                <w:position w:val="2"/>
                <w:sz w:val="21"/>
              </w:rPr>
              <w:t>H</w:t>
            </w:r>
            <w:r>
              <w:rPr>
                <w:rFonts w:ascii="Calibri"/>
                <w:b/>
                <w:spacing w:val="-1"/>
                <w:sz w:val="13"/>
              </w:rPr>
              <w:t>2</w:t>
            </w:r>
            <w:r>
              <w:rPr>
                <w:rFonts w:ascii="Calibri"/>
                <w:b/>
                <w:spacing w:val="-1"/>
                <w:position w:val="2"/>
                <w:sz w:val="21"/>
              </w:rPr>
              <w: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662" w:type="dxa"/>
            <w:vMerge w:val="continue"/>
            <w:tcBorders>
              <w:tl2br w:val="nil"/>
              <w:tr2bl w:val="nil"/>
            </w:tcBorders>
          </w:tcPr>
          <w:p/>
        </w:tc>
        <w:tc>
          <w:tcPr>
            <w:tcW w:w="1690" w:type="dxa"/>
            <w:tcBorders>
              <w:tl2br w:val="nil"/>
              <w:tr2bl w:val="nil"/>
            </w:tcBorders>
          </w:tcPr>
          <w:p>
            <w:pPr>
              <w:pStyle w:val="4069"/>
              <w:spacing w:line="271" w:lineRule="exact"/>
              <w:ind w:left="418" w:right="0"/>
              <w:jc w:val="left"/>
              <w:rPr>
                <w:rFonts w:ascii="宋体" w:hAnsi="宋体" w:eastAsia="宋体" w:cs="宋体"/>
                <w:sz w:val="21"/>
                <w:szCs w:val="21"/>
              </w:rPr>
            </w:pPr>
            <w:r>
              <w:rPr>
                <w:rFonts w:ascii="宋体" w:hAnsi="宋体" w:eastAsia="宋体" w:cs="宋体"/>
                <w:sz w:val="21"/>
                <w:szCs w:val="21"/>
              </w:rPr>
              <w:t>落地浓度</w:t>
            </w:r>
          </w:p>
        </w:tc>
        <w:tc>
          <w:tcPr>
            <w:tcW w:w="1757" w:type="dxa"/>
            <w:tcBorders>
              <w:tl2br w:val="nil"/>
              <w:tr2bl w:val="nil"/>
            </w:tcBorders>
          </w:tcPr>
          <w:p>
            <w:pPr>
              <w:pStyle w:val="4069"/>
              <w:spacing w:line="271" w:lineRule="exact"/>
              <w:ind w:left="557" w:right="0"/>
              <w:jc w:val="left"/>
              <w:rPr>
                <w:rFonts w:ascii="宋体" w:hAnsi="宋体" w:eastAsia="宋体" w:cs="宋体"/>
                <w:sz w:val="21"/>
                <w:szCs w:val="21"/>
              </w:rPr>
            </w:pPr>
            <w:r>
              <w:rPr>
                <w:rFonts w:ascii="宋体" w:hAnsi="宋体" w:eastAsia="宋体" w:cs="宋体"/>
                <w:sz w:val="21"/>
                <w:szCs w:val="21"/>
              </w:rPr>
              <w:t>占标率</w:t>
            </w:r>
          </w:p>
        </w:tc>
        <w:tc>
          <w:tcPr>
            <w:tcW w:w="1757" w:type="dxa"/>
            <w:tcBorders>
              <w:tl2br w:val="nil"/>
              <w:tr2bl w:val="nil"/>
            </w:tcBorders>
          </w:tcPr>
          <w:p>
            <w:pPr>
              <w:pStyle w:val="4069"/>
              <w:spacing w:line="271" w:lineRule="exact"/>
              <w:ind w:left="452" w:right="0"/>
              <w:jc w:val="left"/>
              <w:rPr>
                <w:rFonts w:ascii="宋体" w:hAnsi="宋体" w:eastAsia="宋体" w:cs="宋体"/>
                <w:sz w:val="21"/>
                <w:szCs w:val="21"/>
              </w:rPr>
            </w:pPr>
            <w:r>
              <w:rPr>
                <w:rFonts w:ascii="宋体" w:hAnsi="宋体" w:eastAsia="宋体" w:cs="宋体"/>
                <w:sz w:val="21"/>
                <w:szCs w:val="21"/>
              </w:rPr>
              <w:t>落地浓度</w:t>
            </w:r>
          </w:p>
        </w:tc>
        <w:tc>
          <w:tcPr>
            <w:tcW w:w="1663" w:type="dxa"/>
            <w:tcBorders>
              <w:tl2br w:val="nil"/>
              <w:tr2bl w:val="nil"/>
            </w:tcBorders>
          </w:tcPr>
          <w:p>
            <w:pPr>
              <w:pStyle w:val="4069"/>
              <w:spacing w:line="271" w:lineRule="exact"/>
              <w:ind w:left="511" w:right="0"/>
              <w:jc w:val="left"/>
              <w:rPr>
                <w:rFonts w:ascii="宋体" w:hAnsi="宋体" w:eastAsia="宋体" w:cs="宋体"/>
                <w:sz w:val="21"/>
                <w:szCs w:val="21"/>
              </w:rPr>
            </w:pPr>
            <w:r>
              <w:rPr>
                <w:rFonts w:ascii="宋体" w:hAnsi="宋体" w:eastAsia="宋体" w:cs="宋体"/>
                <w:sz w:val="21"/>
                <w:szCs w:val="21"/>
              </w:rPr>
              <w:t>占标率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vMerge w:val="continue"/>
            <w:tcBorders>
              <w:tl2br w:val="nil"/>
              <w:tr2bl w:val="nil"/>
            </w:tcBorders>
          </w:tcPr>
          <w:p/>
        </w:tc>
        <w:tc>
          <w:tcPr>
            <w:tcW w:w="1690" w:type="dxa"/>
            <w:tcBorders>
              <w:tl2br w:val="nil"/>
              <w:tr2bl w:val="nil"/>
            </w:tcBorders>
          </w:tcPr>
          <w:p>
            <w:pPr>
              <w:pStyle w:val="4069"/>
              <w:spacing w:before="39" w:line="240" w:lineRule="auto"/>
              <w:ind w:left="549" w:right="0"/>
              <w:jc w:val="left"/>
              <w:rPr>
                <w:rFonts w:ascii="Calibri" w:hAnsi="Calibri" w:eastAsia="Calibri" w:cs="Calibri"/>
                <w:sz w:val="13"/>
                <w:szCs w:val="13"/>
              </w:rPr>
            </w:pPr>
            <w:r>
              <w:rPr>
                <w:rFonts w:ascii="Calibri"/>
                <w:spacing w:val="-1"/>
                <w:sz w:val="21"/>
              </w:rPr>
              <w:t>mg/m</w:t>
            </w:r>
            <w:r>
              <w:rPr>
                <w:rFonts w:ascii="Calibri"/>
                <w:spacing w:val="-1"/>
                <w:position w:val="7"/>
                <w:sz w:val="13"/>
              </w:rPr>
              <w:t>3</w:t>
            </w:r>
          </w:p>
        </w:tc>
        <w:tc>
          <w:tcPr>
            <w:tcW w:w="1757" w:type="dxa"/>
            <w:tcBorders>
              <w:tl2br w:val="nil"/>
              <w:tr2bl w:val="nil"/>
            </w:tcBorders>
          </w:tcPr>
          <w:p>
            <w:pPr>
              <w:pStyle w:val="4069"/>
              <w:spacing w:before="39" w:line="240" w:lineRule="auto"/>
              <w:ind w:right="1"/>
              <w:jc w:val="center"/>
              <w:rPr>
                <w:rFonts w:ascii="Calibri" w:hAnsi="Calibri" w:eastAsia="Calibri" w:cs="Calibri"/>
                <w:sz w:val="21"/>
                <w:szCs w:val="21"/>
              </w:rPr>
            </w:pPr>
            <w:r>
              <w:rPr>
                <w:rFonts w:ascii="Calibri"/>
                <w:sz w:val="21"/>
              </w:rPr>
              <w:t>%</w:t>
            </w:r>
          </w:p>
        </w:tc>
        <w:tc>
          <w:tcPr>
            <w:tcW w:w="1757" w:type="dxa"/>
            <w:tcBorders>
              <w:tl2br w:val="nil"/>
              <w:tr2bl w:val="nil"/>
            </w:tcBorders>
          </w:tcPr>
          <w:p>
            <w:pPr>
              <w:pStyle w:val="4069"/>
              <w:spacing w:before="39" w:line="240" w:lineRule="auto"/>
              <w:ind w:left="583" w:right="0"/>
              <w:jc w:val="left"/>
              <w:rPr>
                <w:rFonts w:ascii="Calibri" w:hAnsi="Calibri" w:eastAsia="Calibri" w:cs="Calibri"/>
                <w:sz w:val="13"/>
                <w:szCs w:val="13"/>
              </w:rPr>
            </w:pPr>
            <w:r>
              <w:rPr>
                <w:rFonts w:ascii="Calibri"/>
                <w:spacing w:val="-1"/>
                <w:sz w:val="21"/>
              </w:rPr>
              <w:t>mg/m</w:t>
            </w:r>
            <w:r>
              <w:rPr>
                <w:rFonts w:ascii="Calibri"/>
                <w:spacing w:val="-1"/>
                <w:position w:val="7"/>
                <w:sz w:val="13"/>
              </w:rPr>
              <w:t>3</w:t>
            </w:r>
          </w:p>
        </w:tc>
        <w:tc>
          <w:tcPr>
            <w:tcW w:w="1663" w:type="dxa"/>
            <w:tcBorders>
              <w:tl2br w:val="nil"/>
              <w:tr2bl w:val="nil"/>
            </w:tcBorders>
          </w:tcPr>
          <w:p>
            <w:pPr>
              <w:pStyle w:val="4069"/>
              <w:spacing w:before="39" w:line="240" w:lineRule="auto"/>
              <w:ind w:left="8" w:right="0"/>
              <w:jc w:val="center"/>
              <w:rPr>
                <w:rFonts w:ascii="Calibri" w:hAnsi="Calibri" w:eastAsia="Calibri" w:cs="Calibri"/>
                <w:sz w:val="21"/>
                <w:szCs w:val="21"/>
              </w:rPr>
            </w:pPr>
            <w:r>
              <w:rPr>
                <w:rFonts w:ascii="Calibri"/>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1" w:hRule="exact"/>
        </w:trPr>
        <w:tc>
          <w:tcPr>
            <w:tcW w:w="1662" w:type="dxa"/>
            <w:tcBorders>
              <w:tl2br w:val="nil"/>
              <w:tr2bl w:val="nil"/>
            </w:tcBorders>
          </w:tcPr>
          <w:p>
            <w:pPr>
              <w:pStyle w:val="4069"/>
              <w:spacing w:line="239" w:lineRule="exact"/>
              <w:ind w:right="8"/>
              <w:jc w:val="center"/>
              <w:rPr>
                <w:rFonts w:ascii="Times New Roman" w:hAnsi="Times New Roman" w:eastAsia="Times New Roman" w:cs="Times New Roman"/>
                <w:sz w:val="21"/>
                <w:szCs w:val="21"/>
              </w:rPr>
            </w:pPr>
            <w:r>
              <w:rPr>
                <w:rFonts w:ascii="Times New Roman"/>
                <w:sz w:val="21"/>
              </w:rPr>
              <w:t>10</w:t>
            </w:r>
          </w:p>
        </w:tc>
        <w:tc>
          <w:tcPr>
            <w:tcW w:w="1690" w:type="dxa"/>
            <w:tcBorders>
              <w:tl2br w:val="nil"/>
              <w:tr2bl w:val="nil"/>
            </w:tcBorders>
          </w:tcPr>
          <w:p>
            <w:pPr>
              <w:pStyle w:val="4069"/>
              <w:spacing w:line="239" w:lineRule="exact"/>
              <w:ind w:left="393" w:right="0"/>
              <w:jc w:val="left"/>
              <w:rPr>
                <w:rFonts w:ascii="Times New Roman" w:hAnsi="Times New Roman" w:eastAsia="Times New Roman" w:cs="Times New Roman"/>
                <w:sz w:val="21"/>
                <w:szCs w:val="21"/>
              </w:rPr>
            </w:pPr>
            <w:r>
              <w:rPr>
                <w:rFonts w:ascii="Times New Roman"/>
                <w:spacing w:val="-1"/>
                <w:sz w:val="21"/>
              </w:rPr>
              <w:t>0.0002887</w:t>
            </w:r>
          </w:p>
        </w:tc>
        <w:tc>
          <w:tcPr>
            <w:tcW w:w="1757" w:type="dxa"/>
            <w:tcBorders>
              <w:tl2br w:val="nil"/>
              <w:tr2bl w:val="nil"/>
            </w:tcBorders>
          </w:tcPr>
          <w:p>
            <w:pPr>
              <w:pStyle w:val="4069"/>
              <w:spacing w:line="239" w:lineRule="exact"/>
              <w:ind w:left="670" w:right="669"/>
              <w:jc w:val="center"/>
              <w:rPr>
                <w:rFonts w:ascii="Times New Roman" w:hAnsi="Times New Roman" w:eastAsia="Times New Roman" w:cs="Times New Roman"/>
                <w:sz w:val="21"/>
                <w:szCs w:val="21"/>
              </w:rPr>
            </w:pPr>
            <w:r>
              <w:rPr>
                <w:rFonts w:ascii="Times New Roman"/>
                <w:sz w:val="21"/>
              </w:rPr>
              <w:t>0.14</w:t>
            </w:r>
          </w:p>
        </w:tc>
        <w:tc>
          <w:tcPr>
            <w:tcW w:w="1757" w:type="dxa"/>
            <w:tcBorders>
              <w:tl2br w:val="nil"/>
              <w:tr2bl w:val="nil"/>
            </w:tcBorders>
          </w:tcPr>
          <w:p>
            <w:pPr>
              <w:pStyle w:val="4069"/>
              <w:spacing w:line="239" w:lineRule="exact"/>
              <w:ind w:left="479" w:right="0"/>
              <w:jc w:val="left"/>
              <w:rPr>
                <w:rFonts w:ascii="Times New Roman" w:hAnsi="Times New Roman" w:eastAsia="Times New Roman" w:cs="Times New Roman"/>
                <w:sz w:val="21"/>
                <w:szCs w:val="21"/>
              </w:rPr>
            </w:pPr>
            <w:r>
              <w:rPr>
                <w:rFonts w:ascii="Times New Roman"/>
                <w:spacing w:val="-1"/>
                <w:sz w:val="21"/>
              </w:rPr>
              <w:t>0.003309</w:t>
            </w:r>
          </w:p>
        </w:tc>
        <w:tc>
          <w:tcPr>
            <w:tcW w:w="1663" w:type="dxa"/>
            <w:tcBorders>
              <w:tl2br w:val="nil"/>
              <w:tr2bl w:val="nil"/>
            </w:tcBorders>
          </w:tcPr>
          <w:p>
            <w:pPr>
              <w:pStyle w:val="4069"/>
              <w:spacing w:line="239" w:lineRule="exact"/>
              <w:ind w:left="572" w:right="564"/>
              <w:jc w:val="center"/>
              <w:rPr>
                <w:rFonts w:ascii="Times New Roman" w:hAnsi="Times New Roman" w:eastAsia="Times New Roman" w:cs="Times New Roman"/>
                <w:sz w:val="21"/>
                <w:szCs w:val="21"/>
              </w:rPr>
            </w:pPr>
            <w:r>
              <w:rPr>
                <w:rFonts w:ascii="Times New Roman"/>
                <w:spacing w:val="-1"/>
                <w:sz w:val="21"/>
              </w:rPr>
              <w:t>33.09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2" w:hRule="exact"/>
        </w:trPr>
        <w:tc>
          <w:tcPr>
            <w:tcW w:w="1662" w:type="dxa"/>
            <w:tcBorders>
              <w:tl2br w:val="nil"/>
              <w:tr2bl w:val="nil"/>
            </w:tcBorders>
          </w:tcPr>
          <w:p>
            <w:pPr>
              <w:pStyle w:val="4069"/>
              <w:spacing w:line="240" w:lineRule="exact"/>
              <w:ind w:left="640" w:right="650"/>
              <w:jc w:val="center"/>
              <w:rPr>
                <w:rFonts w:ascii="Times New Roman" w:hAnsi="Times New Roman" w:eastAsia="Times New Roman" w:cs="Times New Roman"/>
                <w:sz w:val="21"/>
                <w:szCs w:val="21"/>
              </w:rPr>
            </w:pPr>
            <w:r>
              <w:rPr>
                <w:rFonts w:ascii="Times New Roman"/>
                <w:spacing w:val="-1"/>
                <w:sz w:val="21"/>
              </w:rPr>
              <w:t>100</w:t>
            </w:r>
          </w:p>
        </w:tc>
        <w:tc>
          <w:tcPr>
            <w:tcW w:w="1690" w:type="dxa"/>
            <w:tcBorders>
              <w:tl2br w:val="nil"/>
              <w:tr2bl w:val="nil"/>
            </w:tcBorders>
          </w:tcPr>
          <w:p>
            <w:pPr>
              <w:pStyle w:val="4069"/>
              <w:spacing w:line="240" w:lineRule="exact"/>
              <w:ind w:left="393" w:right="0"/>
              <w:jc w:val="left"/>
              <w:rPr>
                <w:rFonts w:ascii="Times New Roman" w:hAnsi="Times New Roman" w:eastAsia="Times New Roman" w:cs="Times New Roman"/>
                <w:sz w:val="21"/>
                <w:szCs w:val="21"/>
              </w:rPr>
            </w:pPr>
            <w:r>
              <w:rPr>
                <w:rFonts w:ascii="Times New Roman"/>
                <w:spacing w:val="-1"/>
                <w:sz w:val="21"/>
              </w:rPr>
              <w:t>0.0005095</w:t>
            </w:r>
          </w:p>
        </w:tc>
        <w:tc>
          <w:tcPr>
            <w:tcW w:w="1757" w:type="dxa"/>
            <w:tcBorders>
              <w:tl2br w:val="nil"/>
              <w:tr2bl w:val="nil"/>
            </w:tcBorders>
          </w:tcPr>
          <w:p>
            <w:pPr>
              <w:pStyle w:val="4069"/>
              <w:spacing w:line="240" w:lineRule="exact"/>
              <w:ind w:left="670" w:right="669"/>
              <w:jc w:val="center"/>
              <w:rPr>
                <w:rFonts w:ascii="Times New Roman" w:hAnsi="Times New Roman" w:eastAsia="Times New Roman" w:cs="Times New Roman"/>
                <w:sz w:val="21"/>
                <w:szCs w:val="21"/>
              </w:rPr>
            </w:pPr>
            <w:r>
              <w:rPr>
                <w:rFonts w:ascii="Times New Roman"/>
                <w:sz w:val="21"/>
              </w:rPr>
              <w:t>0.25</w:t>
            </w:r>
          </w:p>
        </w:tc>
        <w:tc>
          <w:tcPr>
            <w:tcW w:w="1757" w:type="dxa"/>
            <w:tcBorders>
              <w:tl2br w:val="nil"/>
              <w:tr2bl w:val="nil"/>
            </w:tcBorders>
          </w:tcPr>
          <w:p>
            <w:pPr>
              <w:pStyle w:val="4069"/>
              <w:spacing w:line="240" w:lineRule="exact"/>
              <w:ind w:left="479" w:right="0"/>
              <w:jc w:val="left"/>
              <w:rPr>
                <w:rFonts w:ascii="Times New Roman" w:hAnsi="Times New Roman" w:eastAsia="Times New Roman" w:cs="Times New Roman"/>
                <w:sz w:val="21"/>
                <w:szCs w:val="21"/>
              </w:rPr>
            </w:pPr>
            <w:r>
              <w:rPr>
                <w:rFonts w:ascii="Times New Roman"/>
                <w:spacing w:val="-1"/>
                <w:sz w:val="21"/>
              </w:rPr>
              <w:t>0.005839</w:t>
            </w:r>
          </w:p>
        </w:tc>
        <w:tc>
          <w:tcPr>
            <w:tcW w:w="1663" w:type="dxa"/>
            <w:tcBorders>
              <w:tl2br w:val="nil"/>
              <w:tr2bl w:val="nil"/>
            </w:tcBorders>
          </w:tcPr>
          <w:p>
            <w:pPr>
              <w:pStyle w:val="4069"/>
              <w:spacing w:line="240" w:lineRule="exact"/>
              <w:ind w:left="572" w:right="564"/>
              <w:jc w:val="center"/>
              <w:rPr>
                <w:rFonts w:ascii="Times New Roman" w:hAnsi="Times New Roman" w:eastAsia="Times New Roman" w:cs="Times New Roman"/>
                <w:sz w:val="21"/>
                <w:szCs w:val="21"/>
              </w:rPr>
            </w:pPr>
            <w:r>
              <w:rPr>
                <w:rFonts w:ascii="Times New Roman"/>
                <w:spacing w:val="-1"/>
                <w:sz w:val="21"/>
              </w:rPr>
              <w:t>58.39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6" w:line="240" w:lineRule="auto"/>
              <w:ind w:left="640" w:right="650"/>
              <w:jc w:val="center"/>
              <w:rPr>
                <w:rFonts w:ascii="Times New Roman" w:hAnsi="Times New Roman" w:eastAsia="Times New Roman" w:cs="Times New Roman"/>
                <w:sz w:val="21"/>
                <w:szCs w:val="21"/>
              </w:rPr>
            </w:pPr>
            <w:r>
              <w:rPr>
                <w:rFonts w:ascii="Times New Roman"/>
                <w:spacing w:val="-1"/>
                <w:sz w:val="21"/>
              </w:rPr>
              <w:t>200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0.0007072</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0.35</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0.008106</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81.06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662" w:type="dxa"/>
            <w:tcBorders>
              <w:tl2br w:val="nil"/>
              <w:tr2bl w:val="nil"/>
            </w:tcBorders>
          </w:tcPr>
          <w:p>
            <w:pPr>
              <w:pStyle w:val="4069"/>
              <w:spacing w:before="46" w:line="240" w:lineRule="auto"/>
              <w:ind w:right="10"/>
              <w:jc w:val="center"/>
              <w:rPr>
                <w:rFonts w:hint="default" w:ascii="Times New Roman" w:hAnsi="Times New Roman" w:eastAsia="宋体" w:cs="Times New Roman"/>
                <w:sz w:val="21"/>
                <w:szCs w:val="21"/>
                <w:lang w:val="en-US" w:eastAsia="zh-CN"/>
              </w:rPr>
            </w:pPr>
            <w:r>
              <w:rPr>
                <w:rFonts w:hint="eastAsia" w:ascii="Times New Roman" w:eastAsia="宋体"/>
                <w:b/>
                <w:spacing w:val="-1"/>
                <w:sz w:val="21"/>
                <w:lang w:val="en-US" w:eastAsia="zh-CN"/>
              </w:rPr>
              <w:t>205</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b/>
                <w:spacing w:val="-1"/>
                <w:sz w:val="21"/>
              </w:rPr>
              <w:t>0.0007556</w:t>
            </w:r>
          </w:p>
        </w:tc>
        <w:tc>
          <w:tcPr>
            <w:tcW w:w="1757" w:type="dxa"/>
            <w:tcBorders>
              <w:tl2br w:val="nil"/>
              <w:tr2bl w:val="nil"/>
            </w:tcBorders>
          </w:tcPr>
          <w:p>
            <w:pPr>
              <w:pStyle w:val="4069"/>
              <w:spacing w:before="46" w:line="240" w:lineRule="auto"/>
              <w:ind w:left="1" w:right="0"/>
              <w:jc w:val="center"/>
              <w:rPr>
                <w:rFonts w:ascii="Times New Roman" w:hAnsi="Times New Roman" w:eastAsia="Times New Roman" w:cs="Times New Roman"/>
                <w:sz w:val="21"/>
                <w:szCs w:val="21"/>
              </w:rPr>
            </w:pPr>
            <w:r>
              <w:rPr>
                <w:rFonts w:ascii="Times New Roman"/>
                <w:b/>
                <w:sz w:val="21"/>
              </w:rPr>
              <w:t>0.38</w:t>
            </w:r>
          </w:p>
        </w:tc>
        <w:tc>
          <w:tcPr>
            <w:tcW w:w="1757" w:type="dxa"/>
            <w:tcBorders>
              <w:tl2br w:val="nil"/>
              <w:tr2bl w:val="nil"/>
            </w:tcBorders>
          </w:tcPr>
          <w:p>
            <w:pPr>
              <w:pStyle w:val="4069"/>
              <w:spacing w:before="46" w:line="240" w:lineRule="auto"/>
              <w:ind w:left="531" w:right="0"/>
              <w:jc w:val="left"/>
              <w:rPr>
                <w:rFonts w:ascii="Times New Roman" w:hAnsi="Times New Roman" w:eastAsia="Times New Roman" w:cs="Times New Roman"/>
                <w:sz w:val="21"/>
                <w:szCs w:val="21"/>
              </w:rPr>
            </w:pPr>
            <w:r>
              <w:rPr>
                <w:rFonts w:ascii="Times New Roman"/>
                <w:b/>
                <w:spacing w:val="-1"/>
                <w:sz w:val="21"/>
              </w:rPr>
              <w:t>0.00866</w:t>
            </w:r>
          </w:p>
        </w:tc>
        <w:tc>
          <w:tcPr>
            <w:tcW w:w="1663" w:type="dxa"/>
            <w:tcBorders>
              <w:tl2br w:val="nil"/>
              <w:tr2bl w:val="nil"/>
            </w:tcBorders>
          </w:tcPr>
          <w:p>
            <w:pPr>
              <w:pStyle w:val="4069"/>
              <w:spacing w:before="46" w:line="240" w:lineRule="auto"/>
              <w:ind w:left="5" w:right="0"/>
              <w:jc w:val="center"/>
              <w:rPr>
                <w:rFonts w:ascii="Times New Roman" w:hAnsi="Times New Roman" w:eastAsia="Times New Roman" w:cs="Times New Roman"/>
                <w:sz w:val="21"/>
                <w:szCs w:val="21"/>
              </w:rPr>
            </w:pPr>
            <w:r>
              <w:rPr>
                <w:rFonts w:ascii="Times New Roman"/>
                <w:b/>
                <w:spacing w:val="-1"/>
                <w:sz w:val="21"/>
              </w:rPr>
              <w:t>86.60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7" w:line="240" w:lineRule="auto"/>
              <w:ind w:left="640" w:right="650"/>
              <w:jc w:val="center"/>
              <w:rPr>
                <w:rFonts w:ascii="Times New Roman" w:hAnsi="Times New Roman" w:eastAsia="Times New Roman" w:cs="Times New Roman"/>
                <w:sz w:val="21"/>
                <w:szCs w:val="21"/>
              </w:rPr>
            </w:pPr>
            <w:r>
              <w:rPr>
                <w:rFonts w:ascii="Times New Roman"/>
                <w:spacing w:val="-1"/>
                <w:sz w:val="21"/>
              </w:rPr>
              <w:t>300</w:t>
            </w:r>
          </w:p>
        </w:tc>
        <w:tc>
          <w:tcPr>
            <w:tcW w:w="1690" w:type="dxa"/>
            <w:tcBorders>
              <w:tl2br w:val="nil"/>
              <w:tr2bl w:val="nil"/>
            </w:tcBorders>
          </w:tcPr>
          <w:p>
            <w:pPr>
              <w:pStyle w:val="4069"/>
              <w:spacing w:before="47" w:line="240" w:lineRule="auto"/>
              <w:ind w:left="393" w:right="0"/>
              <w:jc w:val="left"/>
              <w:rPr>
                <w:rFonts w:ascii="Times New Roman" w:hAnsi="Times New Roman" w:eastAsia="Times New Roman" w:cs="Times New Roman"/>
                <w:sz w:val="21"/>
                <w:szCs w:val="21"/>
              </w:rPr>
            </w:pPr>
            <w:r>
              <w:rPr>
                <w:rFonts w:ascii="Times New Roman"/>
                <w:spacing w:val="-1"/>
                <w:sz w:val="21"/>
              </w:rPr>
              <w:t>0.0007544</w:t>
            </w:r>
          </w:p>
        </w:tc>
        <w:tc>
          <w:tcPr>
            <w:tcW w:w="1757" w:type="dxa"/>
            <w:tcBorders>
              <w:tl2br w:val="nil"/>
              <w:tr2bl w:val="nil"/>
            </w:tcBorders>
          </w:tcPr>
          <w:p>
            <w:pPr>
              <w:pStyle w:val="4069"/>
              <w:spacing w:before="47" w:line="240" w:lineRule="auto"/>
              <w:ind w:left="670" w:right="669"/>
              <w:jc w:val="center"/>
              <w:rPr>
                <w:rFonts w:ascii="Times New Roman" w:hAnsi="Times New Roman" w:eastAsia="Times New Roman" w:cs="Times New Roman"/>
                <w:sz w:val="21"/>
                <w:szCs w:val="21"/>
              </w:rPr>
            </w:pPr>
            <w:r>
              <w:rPr>
                <w:rFonts w:ascii="Times New Roman"/>
                <w:sz w:val="21"/>
              </w:rPr>
              <w:t>0.38</w:t>
            </w:r>
          </w:p>
        </w:tc>
        <w:tc>
          <w:tcPr>
            <w:tcW w:w="1757" w:type="dxa"/>
            <w:tcBorders>
              <w:tl2br w:val="nil"/>
              <w:tr2bl w:val="nil"/>
            </w:tcBorders>
          </w:tcPr>
          <w:p>
            <w:pPr>
              <w:pStyle w:val="4069"/>
              <w:spacing w:before="47" w:line="240" w:lineRule="auto"/>
              <w:ind w:left="479" w:right="0"/>
              <w:jc w:val="left"/>
              <w:rPr>
                <w:rFonts w:ascii="Times New Roman" w:hAnsi="Times New Roman" w:eastAsia="Times New Roman" w:cs="Times New Roman"/>
                <w:sz w:val="21"/>
                <w:szCs w:val="21"/>
              </w:rPr>
            </w:pPr>
            <w:r>
              <w:rPr>
                <w:rFonts w:ascii="Times New Roman"/>
                <w:spacing w:val="-1"/>
                <w:sz w:val="21"/>
              </w:rPr>
              <w:t>0.008646</w:t>
            </w:r>
          </w:p>
        </w:tc>
        <w:tc>
          <w:tcPr>
            <w:tcW w:w="1663" w:type="dxa"/>
            <w:tcBorders>
              <w:tl2br w:val="nil"/>
              <w:tr2bl w:val="nil"/>
            </w:tcBorders>
          </w:tcPr>
          <w:p>
            <w:pPr>
              <w:pStyle w:val="4069"/>
              <w:spacing w:before="47" w:line="240" w:lineRule="auto"/>
              <w:ind w:left="572" w:right="564"/>
              <w:jc w:val="center"/>
              <w:rPr>
                <w:rFonts w:ascii="Times New Roman" w:hAnsi="Times New Roman" w:eastAsia="Times New Roman" w:cs="Times New Roman"/>
                <w:sz w:val="21"/>
                <w:szCs w:val="21"/>
              </w:rPr>
            </w:pPr>
            <w:r>
              <w:rPr>
                <w:rFonts w:ascii="Times New Roman"/>
                <w:spacing w:val="-1"/>
                <w:sz w:val="21"/>
              </w:rPr>
              <w:t>86.46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6" w:line="240" w:lineRule="auto"/>
              <w:ind w:left="640" w:right="650"/>
              <w:jc w:val="center"/>
              <w:rPr>
                <w:rFonts w:ascii="Times New Roman" w:hAnsi="Times New Roman" w:eastAsia="Times New Roman" w:cs="Times New Roman"/>
                <w:sz w:val="21"/>
                <w:szCs w:val="21"/>
              </w:rPr>
            </w:pPr>
            <w:r>
              <w:rPr>
                <w:rFonts w:ascii="Times New Roman"/>
                <w:spacing w:val="-1"/>
                <w:sz w:val="21"/>
              </w:rPr>
              <w:t>400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0.0006979</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0.35</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0.007999</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79.99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662" w:type="dxa"/>
            <w:tcBorders>
              <w:tl2br w:val="nil"/>
              <w:tr2bl w:val="nil"/>
            </w:tcBorders>
          </w:tcPr>
          <w:p>
            <w:pPr>
              <w:pStyle w:val="4069"/>
              <w:spacing w:before="46" w:line="240" w:lineRule="auto"/>
              <w:ind w:left="640" w:right="650"/>
              <w:jc w:val="center"/>
              <w:rPr>
                <w:rFonts w:ascii="Times New Roman" w:hAnsi="Times New Roman" w:eastAsia="Times New Roman" w:cs="Times New Roman"/>
                <w:sz w:val="21"/>
                <w:szCs w:val="21"/>
              </w:rPr>
            </w:pPr>
            <w:r>
              <w:rPr>
                <w:rFonts w:ascii="Times New Roman"/>
                <w:spacing w:val="-1"/>
                <w:sz w:val="21"/>
              </w:rPr>
              <w:t>500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0.0006223</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0.31</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0.007133</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71.33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7" w:line="240" w:lineRule="auto"/>
              <w:ind w:left="640" w:right="650"/>
              <w:jc w:val="center"/>
              <w:rPr>
                <w:rFonts w:ascii="Times New Roman" w:hAnsi="Times New Roman" w:eastAsia="Times New Roman" w:cs="Times New Roman"/>
                <w:sz w:val="21"/>
                <w:szCs w:val="21"/>
              </w:rPr>
            </w:pPr>
            <w:r>
              <w:rPr>
                <w:rFonts w:ascii="Times New Roman"/>
                <w:spacing w:val="-1"/>
                <w:sz w:val="21"/>
              </w:rPr>
              <w:t>600</w:t>
            </w:r>
          </w:p>
        </w:tc>
        <w:tc>
          <w:tcPr>
            <w:tcW w:w="1690" w:type="dxa"/>
            <w:tcBorders>
              <w:tl2br w:val="nil"/>
              <w:tr2bl w:val="nil"/>
            </w:tcBorders>
          </w:tcPr>
          <w:p>
            <w:pPr>
              <w:pStyle w:val="4069"/>
              <w:spacing w:before="47" w:line="240" w:lineRule="auto"/>
              <w:ind w:left="393" w:right="0"/>
              <w:jc w:val="left"/>
              <w:rPr>
                <w:rFonts w:ascii="Times New Roman" w:hAnsi="Times New Roman" w:eastAsia="Times New Roman" w:cs="Times New Roman"/>
                <w:sz w:val="21"/>
                <w:szCs w:val="21"/>
              </w:rPr>
            </w:pPr>
            <w:r>
              <w:rPr>
                <w:rFonts w:ascii="Times New Roman"/>
                <w:spacing w:val="-1"/>
                <w:sz w:val="21"/>
              </w:rPr>
              <w:t>0.0005441</w:t>
            </w:r>
          </w:p>
        </w:tc>
        <w:tc>
          <w:tcPr>
            <w:tcW w:w="1757" w:type="dxa"/>
            <w:tcBorders>
              <w:tl2br w:val="nil"/>
              <w:tr2bl w:val="nil"/>
            </w:tcBorders>
          </w:tcPr>
          <w:p>
            <w:pPr>
              <w:pStyle w:val="4069"/>
              <w:spacing w:before="47" w:line="240" w:lineRule="auto"/>
              <w:ind w:left="670" w:right="669"/>
              <w:jc w:val="center"/>
              <w:rPr>
                <w:rFonts w:ascii="Times New Roman" w:hAnsi="Times New Roman" w:eastAsia="Times New Roman" w:cs="Times New Roman"/>
                <w:sz w:val="21"/>
                <w:szCs w:val="21"/>
              </w:rPr>
            </w:pPr>
            <w:r>
              <w:rPr>
                <w:rFonts w:ascii="Times New Roman"/>
                <w:sz w:val="21"/>
              </w:rPr>
              <w:t>0.28</w:t>
            </w:r>
          </w:p>
        </w:tc>
        <w:tc>
          <w:tcPr>
            <w:tcW w:w="1757" w:type="dxa"/>
            <w:tcBorders>
              <w:tl2br w:val="nil"/>
              <w:tr2bl w:val="nil"/>
            </w:tcBorders>
          </w:tcPr>
          <w:p>
            <w:pPr>
              <w:pStyle w:val="4069"/>
              <w:spacing w:before="47" w:line="240" w:lineRule="auto"/>
              <w:ind w:left="479" w:right="0"/>
              <w:jc w:val="left"/>
              <w:rPr>
                <w:rFonts w:ascii="Times New Roman" w:hAnsi="Times New Roman" w:eastAsia="Times New Roman" w:cs="Times New Roman"/>
                <w:sz w:val="21"/>
                <w:szCs w:val="21"/>
              </w:rPr>
            </w:pPr>
            <w:r>
              <w:rPr>
                <w:rFonts w:ascii="Times New Roman"/>
                <w:spacing w:val="-1"/>
                <w:sz w:val="21"/>
              </w:rPr>
              <w:t>0.006351</w:t>
            </w:r>
          </w:p>
        </w:tc>
        <w:tc>
          <w:tcPr>
            <w:tcW w:w="1663" w:type="dxa"/>
            <w:tcBorders>
              <w:tl2br w:val="nil"/>
              <w:tr2bl w:val="nil"/>
            </w:tcBorders>
          </w:tcPr>
          <w:p>
            <w:pPr>
              <w:pStyle w:val="4069"/>
              <w:spacing w:before="47" w:line="240" w:lineRule="auto"/>
              <w:ind w:left="572" w:right="564"/>
              <w:jc w:val="center"/>
              <w:rPr>
                <w:rFonts w:ascii="Times New Roman" w:hAnsi="Times New Roman" w:eastAsia="Times New Roman" w:cs="Times New Roman"/>
                <w:sz w:val="21"/>
                <w:szCs w:val="21"/>
              </w:rPr>
            </w:pPr>
            <w:r>
              <w:rPr>
                <w:rFonts w:ascii="Times New Roman"/>
                <w:spacing w:val="-1"/>
                <w:sz w:val="21"/>
              </w:rPr>
              <w:t>63.51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6" w:line="240" w:lineRule="auto"/>
              <w:ind w:left="640" w:right="650"/>
              <w:jc w:val="center"/>
              <w:rPr>
                <w:rFonts w:ascii="Times New Roman" w:hAnsi="Times New Roman" w:eastAsia="Times New Roman" w:cs="Times New Roman"/>
                <w:sz w:val="21"/>
                <w:szCs w:val="21"/>
              </w:rPr>
            </w:pPr>
            <w:r>
              <w:rPr>
                <w:rFonts w:ascii="Times New Roman"/>
                <w:spacing w:val="-1"/>
                <w:sz w:val="21"/>
              </w:rPr>
              <w:t>700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0.0004976</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0.25</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0.005703</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57.03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662" w:type="dxa"/>
            <w:tcBorders>
              <w:tl2br w:val="nil"/>
              <w:tr2bl w:val="nil"/>
            </w:tcBorders>
          </w:tcPr>
          <w:p>
            <w:pPr>
              <w:pStyle w:val="4069"/>
              <w:spacing w:before="46" w:line="240" w:lineRule="auto"/>
              <w:ind w:left="640" w:right="650"/>
              <w:jc w:val="center"/>
              <w:rPr>
                <w:rFonts w:ascii="Times New Roman" w:hAnsi="Times New Roman" w:eastAsia="Times New Roman" w:cs="Times New Roman"/>
                <w:sz w:val="21"/>
                <w:szCs w:val="21"/>
              </w:rPr>
            </w:pPr>
            <w:r>
              <w:rPr>
                <w:rFonts w:ascii="Times New Roman"/>
                <w:spacing w:val="-1"/>
                <w:sz w:val="21"/>
              </w:rPr>
              <w:t>800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0.0004496</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0.22</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0.005153</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51.53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7" w:line="240" w:lineRule="auto"/>
              <w:ind w:left="640" w:right="650"/>
              <w:jc w:val="center"/>
              <w:rPr>
                <w:rFonts w:ascii="Times New Roman" w:hAnsi="Times New Roman" w:eastAsia="Times New Roman" w:cs="Times New Roman"/>
                <w:sz w:val="21"/>
                <w:szCs w:val="21"/>
              </w:rPr>
            </w:pPr>
            <w:r>
              <w:rPr>
                <w:rFonts w:ascii="Times New Roman"/>
                <w:spacing w:val="-1"/>
                <w:sz w:val="21"/>
              </w:rPr>
              <w:t>900</w:t>
            </w:r>
          </w:p>
        </w:tc>
        <w:tc>
          <w:tcPr>
            <w:tcW w:w="1690" w:type="dxa"/>
            <w:tcBorders>
              <w:tl2br w:val="nil"/>
              <w:tr2bl w:val="nil"/>
            </w:tcBorders>
          </w:tcPr>
          <w:p>
            <w:pPr>
              <w:pStyle w:val="4069"/>
              <w:spacing w:before="47" w:line="240" w:lineRule="auto"/>
              <w:ind w:left="393" w:right="0"/>
              <w:jc w:val="left"/>
              <w:rPr>
                <w:rFonts w:ascii="Times New Roman" w:hAnsi="Times New Roman" w:eastAsia="Times New Roman" w:cs="Times New Roman"/>
                <w:sz w:val="21"/>
                <w:szCs w:val="21"/>
              </w:rPr>
            </w:pPr>
            <w:r>
              <w:rPr>
                <w:rFonts w:ascii="Times New Roman"/>
                <w:spacing w:val="-1"/>
                <w:sz w:val="21"/>
              </w:rPr>
              <w:t>0.0004095</w:t>
            </w:r>
          </w:p>
        </w:tc>
        <w:tc>
          <w:tcPr>
            <w:tcW w:w="1757" w:type="dxa"/>
            <w:tcBorders>
              <w:tl2br w:val="nil"/>
              <w:tr2bl w:val="nil"/>
            </w:tcBorders>
          </w:tcPr>
          <w:p>
            <w:pPr>
              <w:pStyle w:val="4069"/>
              <w:spacing w:before="47" w:line="240" w:lineRule="auto"/>
              <w:ind w:left="670" w:right="669"/>
              <w:jc w:val="center"/>
              <w:rPr>
                <w:rFonts w:ascii="Times New Roman" w:hAnsi="Times New Roman" w:eastAsia="Times New Roman" w:cs="Times New Roman"/>
                <w:sz w:val="21"/>
                <w:szCs w:val="21"/>
              </w:rPr>
            </w:pPr>
            <w:r>
              <w:rPr>
                <w:rFonts w:ascii="Times New Roman"/>
                <w:sz w:val="21"/>
              </w:rPr>
              <w:t>0.20</w:t>
            </w:r>
          </w:p>
        </w:tc>
        <w:tc>
          <w:tcPr>
            <w:tcW w:w="1757" w:type="dxa"/>
            <w:tcBorders>
              <w:tl2br w:val="nil"/>
              <w:tr2bl w:val="nil"/>
            </w:tcBorders>
          </w:tcPr>
          <w:p>
            <w:pPr>
              <w:pStyle w:val="4069"/>
              <w:spacing w:before="47" w:line="240" w:lineRule="auto"/>
              <w:ind w:left="479" w:right="0"/>
              <w:jc w:val="left"/>
              <w:rPr>
                <w:rFonts w:ascii="Times New Roman" w:hAnsi="Times New Roman" w:eastAsia="Times New Roman" w:cs="Times New Roman"/>
                <w:sz w:val="21"/>
                <w:szCs w:val="21"/>
              </w:rPr>
            </w:pPr>
            <w:r>
              <w:rPr>
                <w:rFonts w:ascii="Times New Roman"/>
                <w:spacing w:val="-1"/>
                <w:sz w:val="21"/>
              </w:rPr>
              <w:t>0.004671</w:t>
            </w:r>
          </w:p>
        </w:tc>
        <w:tc>
          <w:tcPr>
            <w:tcW w:w="1663" w:type="dxa"/>
            <w:tcBorders>
              <w:tl2br w:val="nil"/>
              <w:tr2bl w:val="nil"/>
            </w:tcBorders>
          </w:tcPr>
          <w:p>
            <w:pPr>
              <w:pStyle w:val="4069"/>
              <w:spacing w:before="47" w:line="240" w:lineRule="auto"/>
              <w:ind w:left="572" w:right="564"/>
              <w:jc w:val="center"/>
              <w:rPr>
                <w:rFonts w:ascii="Times New Roman" w:hAnsi="Times New Roman" w:eastAsia="Times New Roman" w:cs="Times New Roman"/>
                <w:sz w:val="21"/>
                <w:szCs w:val="21"/>
              </w:rPr>
            </w:pPr>
            <w:r>
              <w:rPr>
                <w:rFonts w:ascii="Times New Roman"/>
                <w:spacing w:val="-1"/>
                <w:sz w:val="21"/>
              </w:rPr>
              <w:t>46.71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6" w:line="240" w:lineRule="auto"/>
              <w:ind w:left="589" w:right="598"/>
              <w:jc w:val="center"/>
              <w:rPr>
                <w:rFonts w:ascii="Times New Roman" w:hAnsi="Times New Roman" w:eastAsia="Times New Roman" w:cs="Times New Roman"/>
                <w:sz w:val="21"/>
                <w:szCs w:val="21"/>
              </w:rPr>
            </w:pPr>
            <w:r>
              <w:rPr>
                <w:rFonts w:ascii="Times New Roman"/>
                <w:spacing w:val="-1"/>
                <w:sz w:val="21"/>
              </w:rPr>
              <w:t>1000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0.0003702</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0.19</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0.004243</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42.43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662" w:type="dxa"/>
            <w:tcBorders>
              <w:tl2br w:val="nil"/>
              <w:tr2bl w:val="nil"/>
            </w:tcBorders>
          </w:tcPr>
          <w:p>
            <w:pPr>
              <w:pStyle w:val="4069"/>
              <w:spacing w:before="46" w:line="240" w:lineRule="auto"/>
              <w:ind w:left="589" w:right="599"/>
              <w:jc w:val="center"/>
              <w:rPr>
                <w:rFonts w:ascii="Times New Roman" w:hAnsi="Times New Roman" w:eastAsia="Times New Roman" w:cs="Times New Roman"/>
                <w:sz w:val="21"/>
                <w:szCs w:val="21"/>
              </w:rPr>
            </w:pPr>
            <w:r>
              <w:rPr>
                <w:rFonts w:ascii="Times New Roman"/>
                <w:spacing w:val="-3"/>
                <w:sz w:val="21"/>
              </w:rPr>
              <w:t>1100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0.0003376</w:t>
            </w:r>
          </w:p>
        </w:tc>
        <w:tc>
          <w:tcPr>
            <w:tcW w:w="1757" w:type="dxa"/>
            <w:tcBorders>
              <w:tl2br w:val="nil"/>
              <w:tr2bl w:val="nil"/>
            </w:tcBorders>
          </w:tcPr>
          <w:p>
            <w:pPr>
              <w:pStyle w:val="4069"/>
              <w:spacing w:before="46" w:line="240" w:lineRule="auto"/>
              <w:ind w:left="1" w:right="0"/>
              <w:jc w:val="center"/>
              <w:rPr>
                <w:rFonts w:ascii="Times New Roman" w:hAnsi="Times New Roman" w:eastAsia="Times New Roman" w:cs="Times New Roman"/>
                <w:sz w:val="21"/>
                <w:szCs w:val="21"/>
              </w:rPr>
            </w:pPr>
            <w:r>
              <w:rPr>
                <w:rFonts w:ascii="Times New Roman"/>
                <w:sz w:val="21"/>
              </w:rPr>
              <w:t>0.17</w:t>
            </w:r>
          </w:p>
        </w:tc>
        <w:tc>
          <w:tcPr>
            <w:tcW w:w="1757" w:type="dxa"/>
            <w:tcBorders>
              <w:tl2br w:val="nil"/>
              <w:tr2bl w:val="nil"/>
            </w:tcBorders>
          </w:tcPr>
          <w:p>
            <w:pPr>
              <w:pStyle w:val="4069"/>
              <w:spacing w:before="46" w:line="240" w:lineRule="auto"/>
              <w:ind w:left="480" w:right="0"/>
              <w:jc w:val="left"/>
              <w:rPr>
                <w:rFonts w:ascii="Times New Roman" w:hAnsi="Times New Roman" w:eastAsia="Times New Roman" w:cs="Times New Roman"/>
                <w:sz w:val="21"/>
                <w:szCs w:val="21"/>
              </w:rPr>
            </w:pPr>
            <w:r>
              <w:rPr>
                <w:rFonts w:ascii="Times New Roman"/>
                <w:spacing w:val="-1"/>
                <w:sz w:val="21"/>
              </w:rPr>
              <w:t>0.003869</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38.69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7" w:line="240" w:lineRule="auto"/>
              <w:ind w:left="589" w:right="598"/>
              <w:jc w:val="center"/>
              <w:rPr>
                <w:rFonts w:ascii="Times New Roman" w:hAnsi="Times New Roman" w:eastAsia="Times New Roman" w:cs="Times New Roman"/>
                <w:sz w:val="21"/>
                <w:szCs w:val="21"/>
              </w:rPr>
            </w:pPr>
            <w:r>
              <w:rPr>
                <w:rFonts w:ascii="Times New Roman"/>
                <w:spacing w:val="-1"/>
                <w:sz w:val="21"/>
              </w:rPr>
              <w:t>1200</w:t>
            </w:r>
          </w:p>
        </w:tc>
        <w:tc>
          <w:tcPr>
            <w:tcW w:w="1690" w:type="dxa"/>
            <w:tcBorders>
              <w:tl2br w:val="nil"/>
              <w:tr2bl w:val="nil"/>
            </w:tcBorders>
          </w:tcPr>
          <w:p>
            <w:pPr>
              <w:pStyle w:val="4069"/>
              <w:spacing w:before="47" w:line="240" w:lineRule="auto"/>
              <w:ind w:left="393" w:right="0"/>
              <w:jc w:val="left"/>
              <w:rPr>
                <w:rFonts w:ascii="Times New Roman" w:hAnsi="Times New Roman" w:eastAsia="Times New Roman" w:cs="Times New Roman"/>
                <w:sz w:val="21"/>
                <w:szCs w:val="21"/>
              </w:rPr>
            </w:pPr>
            <w:r>
              <w:rPr>
                <w:rFonts w:ascii="Times New Roman"/>
                <w:spacing w:val="-1"/>
                <w:sz w:val="21"/>
              </w:rPr>
              <w:t>0.0003089</w:t>
            </w:r>
          </w:p>
        </w:tc>
        <w:tc>
          <w:tcPr>
            <w:tcW w:w="1757" w:type="dxa"/>
            <w:tcBorders>
              <w:tl2br w:val="nil"/>
              <w:tr2bl w:val="nil"/>
            </w:tcBorders>
          </w:tcPr>
          <w:p>
            <w:pPr>
              <w:pStyle w:val="4069"/>
              <w:spacing w:before="47" w:line="240" w:lineRule="auto"/>
              <w:ind w:left="670" w:right="669"/>
              <w:jc w:val="center"/>
              <w:rPr>
                <w:rFonts w:ascii="Times New Roman" w:hAnsi="Times New Roman" w:eastAsia="Times New Roman" w:cs="Times New Roman"/>
                <w:sz w:val="21"/>
                <w:szCs w:val="21"/>
              </w:rPr>
            </w:pPr>
            <w:r>
              <w:rPr>
                <w:rFonts w:ascii="Times New Roman"/>
                <w:sz w:val="21"/>
              </w:rPr>
              <w:t>0.15</w:t>
            </w:r>
          </w:p>
        </w:tc>
        <w:tc>
          <w:tcPr>
            <w:tcW w:w="1757" w:type="dxa"/>
            <w:tcBorders>
              <w:tl2br w:val="nil"/>
              <w:tr2bl w:val="nil"/>
            </w:tcBorders>
          </w:tcPr>
          <w:p>
            <w:pPr>
              <w:pStyle w:val="4069"/>
              <w:spacing w:before="47" w:line="240" w:lineRule="auto"/>
              <w:ind w:left="479" w:right="0"/>
              <w:jc w:val="left"/>
              <w:rPr>
                <w:rFonts w:ascii="Times New Roman" w:hAnsi="Times New Roman" w:eastAsia="Times New Roman" w:cs="Times New Roman"/>
                <w:sz w:val="21"/>
                <w:szCs w:val="21"/>
              </w:rPr>
            </w:pPr>
            <w:r>
              <w:rPr>
                <w:rFonts w:ascii="Times New Roman"/>
                <w:spacing w:val="-1"/>
                <w:sz w:val="21"/>
              </w:rPr>
              <w:t>0.003541</w:t>
            </w:r>
          </w:p>
        </w:tc>
        <w:tc>
          <w:tcPr>
            <w:tcW w:w="1663" w:type="dxa"/>
            <w:tcBorders>
              <w:tl2br w:val="nil"/>
              <w:tr2bl w:val="nil"/>
            </w:tcBorders>
          </w:tcPr>
          <w:p>
            <w:pPr>
              <w:pStyle w:val="4069"/>
              <w:spacing w:before="47" w:line="240" w:lineRule="auto"/>
              <w:ind w:left="572" w:right="564"/>
              <w:jc w:val="center"/>
              <w:rPr>
                <w:rFonts w:ascii="Times New Roman" w:hAnsi="Times New Roman" w:eastAsia="Times New Roman" w:cs="Times New Roman"/>
                <w:sz w:val="21"/>
                <w:szCs w:val="21"/>
              </w:rPr>
            </w:pPr>
            <w:r>
              <w:rPr>
                <w:rFonts w:ascii="Times New Roman"/>
                <w:spacing w:val="-1"/>
                <w:sz w:val="21"/>
              </w:rPr>
              <w:t>35.41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662" w:type="dxa"/>
            <w:tcBorders>
              <w:tl2br w:val="nil"/>
              <w:tr2bl w:val="nil"/>
            </w:tcBorders>
          </w:tcPr>
          <w:p>
            <w:pPr>
              <w:pStyle w:val="4069"/>
              <w:spacing w:before="46" w:line="240" w:lineRule="auto"/>
              <w:ind w:left="589" w:right="598"/>
              <w:jc w:val="center"/>
              <w:rPr>
                <w:rFonts w:ascii="Times New Roman" w:hAnsi="Times New Roman" w:eastAsia="Times New Roman" w:cs="Times New Roman"/>
                <w:sz w:val="21"/>
                <w:szCs w:val="21"/>
              </w:rPr>
            </w:pPr>
            <w:r>
              <w:rPr>
                <w:rFonts w:ascii="Times New Roman"/>
                <w:spacing w:val="-1"/>
                <w:sz w:val="21"/>
              </w:rPr>
              <w:t>1500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0.0004207</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0.12</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0.002759</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27.59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662" w:type="dxa"/>
            <w:tcBorders>
              <w:tl2br w:val="nil"/>
              <w:tr2bl w:val="nil"/>
            </w:tcBorders>
          </w:tcPr>
          <w:p>
            <w:pPr>
              <w:pStyle w:val="4069"/>
              <w:spacing w:before="46" w:line="240" w:lineRule="auto"/>
              <w:ind w:left="589" w:right="598"/>
              <w:jc w:val="center"/>
              <w:rPr>
                <w:rFonts w:ascii="Times New Roman" w:hAnsi="Times New Roman" w:eastAsia="Times New Roman" w:cs="Times New Roman"/>
                <w:sz w:val="21"/>
                <w:szCs w:val="21"/>
              </w:rPr>
            </w:pPr>
            <w:r>
              <w:rPr>
                <w:rFonts w:ascii="Times New Roman"/>
                <w:spacing w:val="-1"/>
                <w:sz w:val="21"/>
              </w:rPr>
              <w:t>2000</w:t>
            </w:r>
          </w:p>
        </w:tc>
        <w:tc>
          <w:tcPr>
            <w:tcW w:w="1690" w:type="dxa"/>
            <w:tcBorders>
              <w:tl2br w:val="nil"/>
              <w:tr2bl w:val="nil"/>
            </w:tcBorders>
          </w:tcPr>
          <w:p>
            <w:pPr>
              <w:pStyle w:val="4069"/>
              <w:spacing w:before="46" w:line="240" w:lineRule="auto"/>
              <w:ind w:left="393" w:right="0"/>
              <w:jc w:val="left"/>
              <w:rPr>
                <w:rFonts w:ascii="Times New Roman" w:hAnsi="Times New Roman" w:eastAsia="Times New Roman" w:cs="Times New Roman"/>
                <w:sz w:val="21"/>
                <w:szCs w:val="21"/>
              </w:rPr>
            </w:pPr>
            <w:r>
              <w:rPr>
                <w:rFonts w:ascii="Times New Roman"/>
                <w:spacing w:val="-1"/>
                <w:sz w:val="21"/>
              </w:rPr>
              <w:t>0.0001681</w:t>
            </w:r>
          </w:p>
        </w:tc>
        <w:tc>
          <w:tcPr>
            <w:tcW w:w="1757" w:type="dxa"/>
            <w:tcBorders>
              <w:tl2br w:val="nil"/>
              <w:tr2bl w:val="nil"/>
            </w:tcBorders>
          </w:tcPr>
          <w:p>
            <w:pPr>
              <w:pStyle w:val="4069"/>
              <w:spacing w:before="46" w:line="240" w:lineRule="auto"/>
              <w:ind w:left="670" w:right="669"/>
              <w:jc w:val="center"/>
              <w:rPr>
                <w:rFonts w:ascii="Times New Roman" w:hAnsi="Times New Roman" w:eastAsia="Times New Roman" w:cs="Times New Roman"/>
                <w:sz w:val="21"/>
                <w:szCs w:val="21"/>
              </w:rPr>
            </w:pPr>
            <w:r>
              <w:rPr>
                <w:rFonts w:ascii="Times New Roman"/>
                <w:sz w:val="21"/>
              </w:rPr>
              <w:t>0.08</w:t>
            </w:r>
          </w:p>
        </w:tc>
        <w:tc>
          <w:tcPr>
            <w:tcW w:w="1757" w:type="dxa"/>
            <w:tcBorders>
              <w:tl2br w:val="nil"/>
              <w:tr2bl w:val="nil"/>
            </w:tcBorders>
          </w:tcPr>
          <w:p>
            <w:pPr>
              <w:pStyle w:val="4069"/>
              <w:spacing w:before="46" w:line="240" w:lineRule="auto"/>
              <w:ind w:left="479" w:right="0"/>
              <w:jc w:val="left"/>
              <w:rPr>
                <w:rFonts w:ascii="Times New Roman" w:hAnsi="Times New Roman" w:eastAsia="Times New Roman" w:cs="Times New Roman"/>
                <w:sz w:val="21"/>
                <w:szCs w:val="21"/>
              </w:rPr>
            </w:pPr>
            <w:r>
              <w:rPr>
                <w:rFonts w:ascii="Times New Roman"/>
                <w:spacing w:val="-1"/>
                <w:sz w:val="21"/>
              </w:rPr>
              <w:t>0.001927</w:t>
            </w:r>
          </w:p>
        </w:tc>
        <w:tc>
          <w:tcPr>
            <w:tcW w:w="1663" w:type="dxa"/>
            <w:tcBorders>
              <w:tl2br w:val="nil"/>
              <w:tr2bl w:val="nil"/>
            </w:tcBorders>
          </w:tcPr>
          <w:p>
            <w:pPr>
              <w:pStyle w:val="4069"/>
              <w:spacing w:before="46" w:line="240" w:lineRule="auto"/>
              <w:ind w:left="572" w:right="564"/>
              <w:jc w:val="center"/>
              <w:rPr>
                <w:rFonts w:ascii="Times New Roman" w:hAnsi="Times New Roman" w:eastAsia="Times New Roman" w:cs="Times New Roman"/>
                <w:sz w:val="21"/>
                <w:szCs w:val="21"/>
              </w:rPr>
            </w:pPr>
            <w:r>
              <w:rPr>
                <w:rFonts w:ascii="Times New Roman"/>
                <w:spacing w:val="-1"/>
                <w:sz w:val="21"/>
              </w:rPr>
              <w:t>19.27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exact"/>
        </w:trPr>
        <w:tc>
          <w:tcPr>
            <w:tcW w:w="1662" w:type="dxa"/>
            <w:tcBorders>
              <w:tl2br w:val="nil"/>
              <w:tr2bl w:val="nil"/>
            </w:tcBorders>
          </w:tcPr>
          <w:p>
            <w:pPr>
              <w:pStyle w:val="4069"/>
              <w:spacing w:before="47" w:line="240" w:lineRule="auto"/>
              <w:ind w:left="589" w:right="598"/>
              <w:jc w:val="center"/>
              <w:rPr>
                <w:rFonts w:ascii="Times New Roman" w:hAnsi="Times New Roman" w:eastAsia="Times New Roman" w:cs="Times New Roman"/>
                <w:sz w:val="21"/>
                <w:szCs w:val="21"/>
              </w:rPr>
            </w:pPr>
            <w:r>
              <w:rPr>
                <w:rFonts w:ascii="Times New Roman"/>
                <w:spacing w:val="-1"/>
                <w:sz w:val="21"/>
              </w:rPr>
              <w:t>2500</w:t>
            </w:r>
          </w:p>
        </w:tc>
        <w:tc>
          <w:tcPr>
            <w:tcW w:w="1690" w:type="dxa"/>
            <w:tcBorders>
              <w:tl2br w:val="nil"/>
              <w:tr2bl w:val="nil"/>
            </w:tcBorders>
          </w:tcPr>
          <w:p>
            <w:pPr>
              <w:pStyle w:val="4069"/>
              <w:spacing w:before="47" w:line="240" w:lineRule="auto"/>
              <w:ind w:left="393" w:right="0"/>
              <w:jc w:val="left"/>
              <w:rPr>
                <w:rFonts w:ascii="Times New Roman" w:hAnsi="Times New Roman" w:eastAsia="Times New Roman" w:cs="Times New Roman"/>
                <w:sz w:val="21"/>
                <w:szCs w:val="21"/>
              </w:rPr>
            </w:pPr>
            <w:r>
              <w:rPr>
                <w:rFonts w:ascii="Times New Roman"/>
                <w:spacing w:val="-1"/>
                <w:sz w:val="21"/>
              </w:rPr>
              <w:t>0.0001267</w:t>
            </w:r>
          </w:p>
        </w:tc>
        <w:tc>
          <w:tcPr>
            <w:tcW w:w="1757" w:type="dxa"/>
            <w:tcBorders>
              <w:tl2br w:val="nil"/>
              <w:tr2bl w:val="nil"/>
            </w:tcBorders>
          </w:tcPr>
          <w:p>
            <w:pPr>
              <w:pStyle w:val="4069"/>
              <w:spacing w:before="47" w:line="240" w:lineRule="auto"/>
              <w:ind w:left="670" w:right="669"/>
              <w:jc w:val="center"/>
              <w:rPr>
                <w:rFonts w:ascii="Times New Roman" w:hAnsi="Times New Roman" w:eastAsia="Times New Roman" w:cs="Times New Roman"/>
                <w:sz w:val="21"/>
                <w:szCs w:val="21"/>
              </w:rPr>
            </w:pPr>
            <w:r>
              <w:rPr>
                <w:rFonts w:ascii="Times New Roman"/>
                <w:sz w:val="21"/>
              </w:rPr>
              <w:t>0.06</w:t>
            </w:r>
          </w:p>
        </w:tc>
        <w:tc>
          <w:tcPr>
            <w:tcW w:w="1757" w:type="dxa"/>
            <w:tcBorders>
              <w:tl2br w:val="nil"/>
              <w:tr2bl w:val="nil"/>
            </w:tcBorders>
          </w:tcPr>
          <w:p>
            <w:pPr>
              <w:pStyle w:val="4069"/>
              <w:spacing w:before="47" w:line="240" w:lineRule="auto"/>
              <w:ind w:left="479" w:right="0"/>
              <w:jc w:val="left"/>
              <w:rPr>
                <w:rFonts w:ascii="Times New Roman" w:hAnsi="Times New Roman" w:eastAsia="Times New Roman" w:cs="Times New Roman"/>
                <w:sz w:val="21"/>
                <w:szCs w:val="21"/>
              </w:rPr>
            </w:pPr>
            <w:r>
              <w:rPr>
                <w:rFonts w:ascii="Times New Roman"/>
                <w:spacing w:val="-1"/>
                <w:sz w:val="21"/>
              </w:rPr>
              <w:t>0.001452</w:t>
            </w:r>
          </w:p>
        </w:tc>
        <w:tc>
          <w:tcPr>
            <w:tcW w:w="1663" w:type="dxa"/>
            <w:tcBorders>
              <w:tl2br w:val="nil"/>
              <w:tr2bl w:val="nil"/>
            </w:tcBorders>
          </w:tcPr>
          <w:p>
            <w:pPr>
              <w:pStyle w:val="4069"/>
              <w:spacing w:before="47" w:line="240" w:lineRule="auto"/>
              <w:ind w:left="572" w:right="564"/>
              <w:jc w:val="center"/>
              <w:rPr>
                <w:rFonts w:ascii="Times New Roman" w:hAnsi="Times New Roman" w:eastAsia="Times New Roman" w:cs="Times New Roman"/>
                <w:sz w:val="21"/>
                <w:szCs w:val="21"/>
              </w:rPr>
            </w:pPr>
            <w:r>
              <w:rPr>
                <w:rFonts w:ascii="Times New Roman"/>
                <w:spacing w:val="-1"/>
                <w:sz w:val="21"/>
              </w:rPr>
              <w:t>14.52</w:t>
            </w:r>
          </w:p>
        </w:tc>
      </w:tr>
    </w:tbl>
    <w:p>
      <w:pPr>
        <w:pStyle w:val="2"/>
        <w:rPr>
          <w:rFonts w:hint="default" w:ascii="Times New Roman" w:hAnsi="Times New Roman" w:eastAsia="宋体" w:cs="Times New Roman"/>
          <w:sz w:val="24"/>
        </w:rPr>
      </w:pPr>
      <w:r>
        <w:rPr>
          <w:rFonts w:hint="default" w:ascii="Times New Roman" w:hAnsi="Times New Roman" w:eastAsia="宋体" w:cs="Times New Roman"/>
          <w:sz w:val="24"/>
        </w:rPr>
        <w:t>由上述预测结果可知，若不对厂区产生的恶臭采取措施，将对周边环境造成严重影响，污染环境空气质量。因此，必须加强处理恶臭措施的管理，加大绿化，对堆肥间粪便日产日清，减少厂区粪便堆存。</w:t>
      </w:r>
    </w:p>
    <w:p>
      <w:pPr>
        <w:pStyle w:val="6"/>
        <w:rPr>
          <w:highlight w:val="none"/>
        </w:rPr>
      </w:pPr>
      <w:bookmarkStart w:id="235" w:name="_Toc21569"/>
      <w:r>
        <w:rPr>
          <w:rFonts w:hint="eastAsia"/>
          <w:highlight w:val="none"/>
          <w:lang w:eastAsia="zh-CN"/>
        </w:rPr>
        <w:t>环境防护距离</w:t>
      </w:r>
      <w:bookmarkEnd w:id="235"/>
    </w:p>
    <w:p>
      <w:pPr>
        <w:pStyle w:val="2"/>
        <w:spacing w:before="9" w:line="328" w:lineRule="auto"/>
        <w:ind w:right="232"/>
        <w:jc w:val="left"/>
      </w:pPr>
      <w:r>
        <w:rPr>
          <w:spacing w:val="-1"/>
        </w:rPr>
        <w:t>（</w:t>
      </w:r>
      <w:r>
        <w:rPr>
          <w:rFonts w:ascii="Calibri" w:hAnsi="Calibri" w:eastAsia="Calibri" w:cs="Calibri"/>
          <w:spacing w:val="-1"/>
        </w:rPr>
        <w:t>1</w:t>
      </w:r>
      <w:r>
        <w:rPr>
          <w:spacing w:val="-1"/>
        </w:rPr>
        <w:t>）大气环境防护距离</w:t>
      </w:r>
      <w:r>
        <w:rPr>
          <w:spacing w:val="20"/>
        </w:rPr>
        <w:t xml:space="preserve"> </w:t>
      </w:r>
      <w:r>
        <w:t>大气环境防护距离是为了保护人群健康</w:t>
      </w:r>
      <w:r>
        <w:rPr>
          <w:spacing w:val="-120"/>
        </w:rPr>
        <w:t>，</w:t>
      </w:r>
      <w:r>
        <w:t>减少正常排放条件下大气污染物对居住区的环境影响</w:t>
      </w:r>
      <w:r>
        <w:rPr>
          <w:spacing w:val="-81"/>
        </w:rPr>
        <w:t>，</w:t>
      </w:r>
      <w:r>
        <w:t>在项目厂界以外设置的环境防护距离</w:t>
      </w:r>
      <w:r>
        <w:rPr>
          <w:spacing w:val="-80"/>
        </w:rPr>
        <w:t>。</w:t>
      </w:r>
      <w:r>
        <w:t>参</w:t>
      </w:r>
      <w:r>
        <w:rPr>
          <w:spacing w:val="-81"/>
        </w:rPr>
        <w:t>照</w:t>
      </w:r>
      <w:r>
        <w:t>《环境影响评价技术导则》</w:t>
      </w:r>
      <w:r>
        <w:rPr>
          <w:spacing w:val="-1"/>
        </w:rPr>
        <w:t>（</w:t>
      </w:r>
      <w:r>
        <w:rPr>
          <w:rFonts w:ascii="Calibri" w:hAnsi="Calibri" w:eastAsia="Calibri" w:cs="Calibri"/>
          <w:spacing w:val="-1"/>
        </w:rPr>
        <w:t>HJ2.2‐2008</w:t>
      </w:r>
      <w:r>
        <w:rPr>
          <w:spacing w:val="-1"/>
        </w:rPr>
        <w:t>）推荐的大气环境距离模式计算无组织排放源的大气环境防护距离，计</w:t>
      </w:r>
      <w:r>
        <w:t>算结果详见</w:t>
      </w:r>
      <w:r>
        <w:rPr>
          <w:rFonts w:ascii="Calibri" w:hAnsi="Calibri" w:eastAsia="Calibri" w:cs="Calibri"/>
          <w:spacing w:val="-1"/>
        </w:rPr>
        <w:t>表</w:t>
      </w:r>
      <w:r>
        <w:rPr>
          <w:rFonts w:hint="eastAsia" w:ascii="Calibri" w:hAnsi="Calibri" w:eastAsia="Calibri" w:cs="Calibri"/>
          <w:spacing w:val="-1"/>
          <w:lang w:val="en-US" w:eastAsia="zh-CN"/>
        </w:rPr>
        <w:t>6.1-8</w:t>
      </w:r>
      <w:r>
        <w:rPr>
          <w:rFonts w:ascii="Calibri" w:hAnsi="Calibri" w:eastAsia="Calibri" w:cs="Calibri"/>
          <w:spacing w:val="-1"/>
        </w:rPr>
        <w:t>。</w:t>
      </w:r>
    </w:p>
    <w:p>
      <w:pPr>
        <w:spacing w:before="14"/>
        <w:ind w:left="2561" w:right="231" w:firstLine="0"/>
        <w:jc w:val="left"/>
        <w:rPr>
          <w:rFonts w:ascii="宋体" w:hAnsi="宋体" w:eastAsia="宋体" w:cs="宋体"/>
          <w:sz w:val="24"/>
          <w:szCs w:val="24"/>
        </w:rPr>
      </w:pPr>
      <w:r>
        <w:rPr>
          <w:rFonts w:ascii="Times New Roman" w:hAnsi="Times New Roman" w:eastAsia="宋体" w:cs="Times New Roman"/>
          <w:snapToGrid w:val="0"/>
          <w:kern w:val="0"/>
          <w:sz w:val="24"/>
          <w:szCs w:val="24"/>
          <w:lang w:val="en-US" w:eastAsia="zh-CN" w:bidi="ar-SA"/>
        </w:rPr>
        <w:t>表</w:t>
      </w:r>
      <w:r>
        <w:rPr>
          <w:rFonts w:hint="eastAsia" w:ascii="Times New Roman" w:hAnsi="Times New Roman" w:eastAsia="宋体" w:cs="Times New Roman"/>
          <w:snapToGrid w:val="0"/>
          <w:kern w:val="0"/>
          <w:sz w:val="24"/>
          <w:szCs w:val="24"/>
          <w:lang w:val="en-US" w:eastAsia="zh-CN" w:bidi="ar-SA"/>
        </w:rPr>
        <w:t>6</w:t>
      </w:r>
      <w:r>
        <w:rPr>
          <w:rFonts w:ascii="Times New Roman" w:hAnsi="Times New Roman" w:eastAsia="宋体" w:cs="Times New Roman"/>
          <w:snapToGrid w:val="0"/>
          <w:kern w:val="0"/>
          <w:sz w:val="24"/>
          <w:szCs w:val="24"/>
          <w:lang w:val="en-US" w:eastAsia="zh-CN" w:bidi="ar-SA"/>
        </w:rPr>
        <w:t>.1‐</w:t>
      </w:r>
      <w:r>
        <w:rPr>
          <w:rFonts w:hint="eastAsia" w:ascii="Times New Roman" w:hAnsi="Times New Roman" w:eastAsia="宋体" w:cs="Times New Roman"/>
          <w:snapToGrid w:val="0"/>
          <w:kern w:val="0"/>
          <w:sz w:val="24"/>
          <w:szCs w:val="24"/>
          <w:lang w:val="en-US" w:eastAsia="zh-CN" w:bidi="ar-SA"/>
        </w:rPr>
        <w:t>8</w:t>
      </w:r>
      <w:r>
        <w:rPr>
          <w:rFonts w:ascii="Times New Roman" w:hAnsi="Times New Roman" w:eastAsia="宋体" w:cs="Times New Roman"/>
          <w:snapToGrid w:val="0"/>
          <w:kern w:val="0"/>
          <w:sz w:val="24"/>
          <w:szCs w:val="24"/>
          <w:lang w:val="en-US" w:eastAsia="zh-CN" w:bidi="ar-SA"/>
        </w:rPr>
        <w:t xml:space="preserve"> 大气</w:t>
      </w:r>
      <w:r>
        <w:rPr>
          <w:rFonts w:ascii="宋体" w:hAnsi="宋体" w:eastAsia="宋体" w:cs="宋体"/>
          <w:sz w:val="24"/>
          <w:szCs w:val="24"/>
        </w:rPr>
        <w:t>环境防护距离计算结果</w:t>
      </w:r>
    </w:p>
    <w:p>
      <w:pPr>
        <w:spacing w:before="17" w:line="160" w:lineRule="exact"/>
        <w:rPr>
          <w:sz w:val="16"/>
          <w:szCs w:val="16"/>
        </w:rPr>
      </w:pPr>
    </w:p>
    <w:tbl>
      <w:tblPr>
        <w:tblStyle w:val="88"/>
        <w:tblW w:w="0" w:type="auto"/>
        <w:tblInd w:w="21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093"/>
        <w:gridCol w:w="1985"/>
        <w:gridCol w:w="2552"/>
        <w:gridCol w:w="18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1" w:hRule="exact"/>
        </w:trPr>
        <w:tc>
          <w:tcPr>
            <w:tcW w:w="2093" w:type="dxa"/>
            <w:tcBorders>
              <w:tl2br w:val="nil"/>
              <w:tr2bl w:val="nil"/>
            </w:tcBorders>
          </w:tcPr>
          <w:p>
            <w:pPr>
              <w:pStyle w:val="4069"/>
              <w:spacing w:before="119" w:line="240" w:lineRule="auto"/>
              <w:ind w:left="506" w:right="0"/>
              <w:jc w:val="left"/>
              <w:rPr>
                <w:rFonts w:ascii="宋体" w:hAnsi="宋体" w:eastAsia="宋体" w:cs="宋体"/>
                <w:sz w:val="21"/>
                <w:szCs w:val="21"/>
              </w:rPr>
            </w:pPr>
            <w:r>
              <w:rPr>
                <w:rFonts w:ascii="宋体" w:hAnsi="宋体" w:eastAsia="宋体" w:cs="宋体"/>
                <w:sz w:val="21"/>
                <w:szCs w:val="21"/>
              </w:rPr>
              <w:t>污染源位置</w:t>
            </w:r>
          </w:p>
        </w:tc>
        <w:tc>
          <w:tcPr>
            <w:tcW w:w="1985" w:type="dxa"/>
            <w:tcBorders>
              <w:tl2br w:val="nil"/>
              <w:tr2bl w:val="nil"/>
            </w:tcBorders>
          </w:tcPr>
          <w:p>
            <w:pPr>
              <w:pStyle w:val="4069"/>
              <w:spacing w:before="119" w:line="240" w:lineRule="auto"/>
              <w:ind w:right="0"/>
              <w:jc w:val="center"/>
              <w:rPr>
                <w:rFonts w:ascii="宋体" w:hAnsi="宋体" w:eastAsia="宋体" w:cs="宋体"/>
                <w:sz w:val="21"/>
                <w:szCs w:val="21"/>
              </w:rPr>
            </w:pPr>
            <w:r>
              <w:rPr>
                <w:rFonts w:ascii="宋体" w:hAnsi="宋体" w:eastAsia="宋体" w:cs="宋体"/>
                <w:sz w:val="21"/>
                <w:szCs w:val="21"/>
              </w:rPr>
              <w:t>污染物</w:t>
            </w:r>
          </w:p>
        </w:tc>
        <w:tc>
          <w:tcPr>
            <w:tcW w:w="2552" w:type="dxa"/>
            <w:tcBorders>
              <w:tl2br w:val="nil"/>
              <w:tr2bl w:val="nil"/>
            </w:tcBorders>
          </w:tcPr>
          <w:p>
            <w:pPr>
              <w:pStyle w:val="4069"/>
              <w:spacing w:line="255" w:lineRule="exact"/>
              <w:ind w:left="5" w:right="0"/>
              <w:jc w:val="center"/>
              <w:rPr>
                <w:rFonts w:ascii="宋体" w:hAnsi="宋体" w:eastAsia="宋体" w:cs="宋体"/>
                <w:sz w:val="21"/>
                <w:szCs w:val="21"/>
              </w:rPr>
            </w:pPr>
            <w:r>
              <w:rPr>
                <w:rFonts w:ascii="宋体" w:hAnsi="宋体" w:eastAsia="宋体" w:cs="宋体"/>
                <w:sz w:val="21"/>
                <w:szCs w:val="21"/>
              </w:rPr>
              <w:t>大气环境防护距离计算值</w:t>
            </w:r>
          </w:p>
          <w:p>
            <w:pPr>
              <w:pStyle w:val="4069"/>
              <w:spacing w:before="2" w:line="240" w:lineRule="auto"/>
              <w:ind w:right="1"/>
              <w:jc w:val="center"/>
              <w:rPr>
                <w:rFonts w:ascii="宋体" w:hAnsi="宋体" w:eastAsia="宋体" w:cs="宋体"/>
                <w:sz w:val="21"/>
                <w:szCs w:val="21"/>
              </w:rPr>
            </w:pPr>
            <w:r>
              <w:rPr>
                <w:rFonts w:ascii="宋体" w:hAnsi="宋体" w:eastAsia="宋体" w:cs="宋体"/>
                <w:spacing w:val="-1"/>
                <w:sz w:val="21"/>
                <w:szCs w:val="21"/>
              </w:rPr>
              <w:t>（</w:t>
            </w:r>
            <w:r>
              <w:rPr>
                <w:rFonts w:ascii="Calibri" w:hAnsi="Calibri" w:eastAsia="Calibri" w:cs="Calibri"/>
                <w:b/>
                <w:bCs/>
                <w:spacing w:val="-1"/>
                <w:sz w:val="21"/>
                <w:szCs w:val="21"/>
              </w:rPr>
              <w:t>m</w:t>
            </w:r>
            <w:r>
              <w:rPr>
                <w:rFonts w:ascii="宋体" w:hAnsi="宋体" w:eastAsia="宋体" w:cs="宋体"/>
                <w:spacing w:val="-1"/>
                <w:sz w:val="21"/>
                <w:szCs w:val="21"/>
              </w:rPr>
              <w:t>）</w:t>
            </w:r>
          </w:p>
        </w:tc>
        <w:tc>
          <w:tcPr>
            <w:tcW w:w="1898" w:type="dxa"/>
            <w:tcBorders>
              <w:tl2br w:val="nil"/>
              <w:tr2bl w:val="nil"/>
            </w:tcBorders>
          </w:tcPr>
          <w:p>
            <w:pPr>
              <w:pStyle w:val="4069"/>
              <w:spacing w:before="120" w:line="240" w:lineRule="auto"/>
              <w:ind w:left="439" w:right="0"/>
              <w:jc w:val="left"/>
              <w:rPr>
                <w:rFonts w:ascii="宋体" w:hAnsi="宋体" w:eastAsia="宋体" w:cs="宋体"/>
                <w:sz w:val="21"/>
                <w:szCs w:val="21"/>
              </w:rPr>
            </w:pPr>
            <w:r>
              <w:rPr>
                <w:rFonts w:ascii="宋体" w:hAnsi="宋体" w:eastAsia="宋体" w:cs="宋体"/>
                <w:sz w:val="21"/>
                <w:szCs w:val="21"/>
              </w:rPr>
              <w:t>取值（</w:t>
            </w:r>
            <w:r>
              <w:rPr>
                <w:rFonts w:ascii="Calibri" w:hAnsi="Calibri" w:eastAsia="Calibri" w:cs="Calibri"/>
                <w:b/>
                <w:bCs/>
                <w:sz w:val="21"/>
                <w:szCs w:val="21"/>
              </w:rPr>
              <w:t>m</w:t>
            </w:r>
            <w:r>
              <w:rPr>
                <w:rFonts w:ascii="宋体" w:hAnsi="宋体" w:eastAsia="宋体" w:cs="宋体"/>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2093" w:type="dxa"/>
            <w:tcBorders>
              <w:tl2br w:val="nil"/>
              <w:tr2bl w:val="nil"/>
            </w:tcBorders>
          </w:tcPr>
          <w:p>
            <w:pPr>
              <w:pStyle w:val="4069"/>
              <w:spacing w:line="271" w:lineRule="exact"/>
              <w:ind w:left="506" w:right="0"/>
              <w:jc w:val="left"/>
              <w:rPr>
                <w:rFonts w:ascii="宋体" w:hAnsi="宋体" w:eastAsia="宋体" w:cs="宋体"/>
                <w:sz w:val="21"/>
                <w:szCs w:val="21"/>
              </w:rPr>
            </w:pPr>
            <w:r>
              <w:rPr>
                <w:rFonts w:ascii="宋体" w:hAnsi="宋体" w:eastAsia="宋体" w:cs="宋体"/>
                <w:sz w:val="21"/>
                <w:szCs w:val="21"/>
              </w:rPr>
              <w:t>牛待宰圈</w:t>
            </w:r>
          </w:p>
        </w:tc>
        <w:tc>
          <w:tcPr>
            <w:tcW w:w="1985" w:type="dxa"/>
            <w:tcBorders>
              <w:tl2br w:val="nil"/>
              <w:tr2bl w:val="nil"/>
            </w:tcBorders>
          </w:tcPr>
          <w:p>
            <w:pPr>
              <w:pStyle w:val="4069"/>
              <w:spacing w:line="298" w:lineRule="exact"/>
              <w:ind w:left="567" w:right="0"/>
              <w:jc w:val="left"/>
              <w:rPr>
                <w:rFonts w:ascii="Calibri" w:hAnsi="Calibri" w:eastAsia="Calibri" w:cs="Calibri"/>
                <w:sz w:val="21"/>
                <w:szCs w:val="21"/>
              </w:rPr>
            </w:pPr>
            <w:r>
              <w:rPr>
                <w:rFonts w:ascii="Calibri" w:hAnsi="Calibri" w:eastAsia="Calibri" w:cs="Calibri"/>
                <w:spacing w:val="-1"/>
                <w:position w:val="2"/>
                <w:sz w:val="21"/>
                <w:szCs w:val="21"/>
              </w:rPr>
              <w:t>NH</w:t>
            </w:r>
            <w:r>
              <w:rPr>
                <w:rFonts w:ascii="Calibri" w:hAnsi="Calibri" w:eastAsia="Calibri" w:cs="Calibri"/>
                <w:spacing w:val="-1"/>
                <w:sz w:val="13"/>
                <w:szCs w:val="13"/>
              </w:rPr>
              <w:t>3</w:t>
            </w:r>
            <w:r>
              <w:rPr>
                <w:rFonts w:ascii="宋体" w:hAnsi="宋体" w:eastAsia="宋体" w:cs="宋体"/>
                <w:spacing w:val="-1"/>
                <w:position w:val="2"/>
                <w:sz w:val="21"/>
                <w:szCs w:val="21"/>
              </w:rPr>
              <w:t>、</w:t>
            </w:r>
            <w:r>
              <w:rPr>
                <w:rFonts w:ascii="Calibri" w:hAnsi="Calibri" w:eastAsia="Calibri" w:cs="Calibri"/>
                <w:spacing w:val="-1"/>
                <w:position w:val="2"/>
                <w:sz w:val="21"/>
                <w:szCs w:val="21"/>
              </w:rPr>
              <w:t>H</w:t>
            </w:r>
            <w:r>
              <w:rPr>
                <w:rFonts w:ascii="Calibri" w:hAnsi="Calibri" w:eastAsia="Calibri" w:cs="Calibri"/>
                <w:spacing w:val="-1"/>
                <w:sz w:val="13"/>
                <w:szCs w:val="13"/>
              </w:rPr>
              <w:t>2</w:t>
            </w:r>
            <w:r>
              <w:rPr>
                <w:rFonts w:ascii="Calibri" w:hAnsi="Calibri" w:eastAsia="Calibri" w:cs="Calibri"/>
                <w:spacing w:val="-1"/>
                <w:position w:val="2"/>
                <w:sz w:val="21"/>
                <w:szCs w:val="21"/>
              </w:rPr>
              <w:t>S</w:t>
            </w:r>
          </w:p>
        </w:tc>
        <w:tc>
          <w:tcPr>
            <w:tcW w:w="2552" w:type="dxa"/>
            <w:tcBorders>
              <w:tl2br w:val="nil"/>
              <w:tr2bl w:val="nil"/>
            </w:tcBorders>
          </w:tcPr>
          <w:p>
            <w:pPr>
              <w:pStyle w:val="4069"/>
              <w:spacing w:line="271" w:lineRule="exact"/>
              <w:ind w:left="830" w:right="833"/>
              <w:jc w:val="center"/>
              <w:rPr>
                <w:rFonts w:ascii="宋体" w:hAnsi="宋体" w:eastAsia="宋体" w:cs="宋体"/>
                <w:sz w:val="21"/>
                <w:szCs w:val="21"/>
              </w:rPr>
            </w:pPr>
            <w:r>
              <w:rPr>
                <w:rFonts w:ascii="宋体" w:hAnsi="宋体" w:eastAsia="宋体" w:cs="宋体"/>
                <w:sz w:val="21"/>
                <w:szCs w:val="21"/>
              </w:rPr>
              <w:t>无超标点</w:t>
            </w:r>
          </w:p>
        </w:tc>
        <w:tc>
          <w:tcPr>
            <w:tcW w:w="1898" w:type="dxa"/>
            <w:vMerge w:val="restart"/>
            <w:tcBorders>
              <w:tl2br w:val="nil"/>
              <w:tr2bl w:val="nil"/>
            </w:tcBorders>
          </w:tcPr>
          <w:p>
            <w:pPr>
              <w:pStyle w:val="4069"/>
              <w:spacing w:before="9" w:line="180" w:lineRule="exact"/>
              <w:ind w:right="0"/>
              <w:jc w:val="left"/>
              <w:rPr>
                <w:sz w:val="18"/>
                <w:szCs w:val="18"/>
              </w:rPr>
            </w:pPr>
          </w:p>
          <w:p>
            <w:pPr>
              <w:pStyle w:val="4069"/>
              <w:spacing w:line="200" w:lineRule="exact"/>
              <w:ind w:right="0"/>
              <w:jc w:val="left"/>
              <w:rPr>
                <w:sz w:val="20"/>
                <w:szCs w:val="20"/>
              </w:rPr>
            </w:pPr>
          </w:p>
          <w:p>
            <w:pPr>
              <w:pStyle w:val="4069"/>
              <w:spacing w:line="240" w:lineRule="auto"/>
              <w:ind w:left="9" w:right="0"/>
              <w:jc w:val="center"/>
              <w:rPr>
                <w:rFonts w:ascii="Calibri" w:hAnsi="Calibri" w:eastAsia="Calibri" w:cs="Calibri"/>
                <w:sz w:val="21"/>
                <w:szCs w:val="21"/>
              </w:rPr>
            </w:pPr>
            <w:r>
              <w:rPr>
                <w:rFonts w:ascii="Calibri" w:hAnsi="Calibri" w:eastAsia="Calibri" w:cs="Calibri"/>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2093" w:type="dxa"/>
            <w:tcBorders>
              <w:tl2br w:val="nil"/>
              <w:tr2bl w:val="nil"/>
            </w:tcBorders>
          </w:tcPr>
          <w:p>
            <w:pPr>
              <w:pStyle w:val="4069"/>
              <w:spacing w:line="271" w:lineRule="exact"/>
              <w:ind w:right="10"/>
              <w:jc w:val="center"/>
              <w:rPr>
                <w:rFonts w:ascii="宋体" w:hAnsi="宋体" w:eastAsia="宋体" w:cs="宋体"/>
                <w:sz w:val="21"/>
                <w:szCs w:val="21"/>
              </w:rPr>
            </w:pPr>
            <w:r>
              <w:rPr>
                <w:rFonts w:ascii="宋体" w:hAnsi="宋体" w:eastAsia="宋体" w:cs="宋体"/>
                <w:sz w:val="21"/>
                <w:szCs w:val="21"/>
              </w:rPr>
              <w:t>屠宰区</w:t>
            </w:r>
          </w:p>
        </w:tc>
        <w:tc>
          <w:tcPr>
            <w:tcW w:w="1985" w:type="dxa"/>
            <w:tcBorders>
              <w:tl2br w:val="nil"/>
              <w:tr2bl w:val="nil"/>
            </w:tcBorders>
          </w:tcPr>
          <w:p>
            <w:pPr>
              <w:pStyle w:val="4069"/>
              <w:spacing w:line="298" w:lineRule="exact"/>
              <w:ind w:left="567" w:right="0"/>
              <w:jc w:val="left"/>
              <w:rPr>
                <w:rFonts w:ascii="Calibri" w:hAnsi="Calibri" w:eastAsia="Calibri" w:cs="Calibri"/>
                <w:sz w:val="21"/>
                <w:szCs w:val="21"/>
              </w:rPr>
            </w:pPr>
            <w:r>
              <w:rPr>
                <w:rFonts w:ascii="Calibri" w:hAnsi="Calibri" w:eastAsia="Calibri" w:cs="Calibri"/>
                <w:spacing w:val="-1"/>
                <w:position w:val="2"/>
                <w:sz w:val="21"/>
                <w:szCs w:val="21"/>
              </w:rPr>
              <w:t>NH</w:t>
            </w:r>
            <w:r>
              <w:rPr>
                <w:rFonts w:ascii="Calibri" w:hAnsi="Calibri" w:eastAsia="Calibri" w:cs="Calibri"/>
                <w:spacing w:val="-1"/>
                <w:sz w:val="13"/>
                <w:szCs w:val="13"/>
              </w:rPr>
              <w:t>3</w:t>
            </w:r>
            <w:r>
              <w:rPr>
                <w:rFonts w:ascii="宋体" w:hAnsi="宋体" w:eastAsia="宋体" w:cs="宋体"/>
                <w:spacing w:val="-1"/>
                <w:position w:val="2"/>
                <w:sz w:val="21"/>
                <w:szCs w:val="21"/>
              </w:rPr>
              <w:t>、</w:t>
            </w:r>
            <w:r>
              <w:rPr>
                <w:rFonts w:ascii="Calibri" w:hAnsi="Calibri" w:eastAsia="Calibri" w:cs="Calibri"/>
                <w:spacing w:val="-1"/>
                <w:position w:val="2"/>
                <w:sz w:val="21"/>
                <w:szCs w:val="21"/>
              </w:rPr>
              <w:t>H</w:t>
            </w:r>
            <w:r>
              <w:rPr>
                <w:rFonts w:ascii="Calibri" w:hAnsi="Calibri" w:eastAsia="Calibri" w:cs="Calibri"/>
                <w:spacing w:val="-1"/>
                <w:sz w:val="13"/>
                <w:szCs w:val="13"/>
              </w:rPr>
              <w:t>2</w:t>
            </w:r>
            <w:r>
              <w:rPr>
                <w:rFonts w:ascii="Calibri" w:hAnsi="Calibri" w:eastAsia="Calibri" w:cs="Calibri"/>
                <w:spacing w:val="-1"/>
                <w:position w:val="2"/>
                <w:sz w:val="21"/>
                <w:szCs w:val="21"/>
              </w:rPr>
              <w:t>S</w:t>
            </w:r>
          </w:p>
        </w:tc>
        <w:tc>
          <w:tcPr>
            <w:tcW w:w="2552" w:type="dxa"/>
            <w:tcBorders>
              <w:tl2br w:val="nil"/>
              <w:tr2bl w:val="nil"/>
            </w:tcBorders>
          </w:tcPr>
          <w:p>
            <w:pPr>
              <w:pStyle w:val="4069"/>
              <w:spacing w:line="271" w:lineRule="exact"/>
              <w:ind w:left="830" w:right="833"/>
              <w:jc w:val="center"/>
              <w:rPr>
                <w:rFonts w:ascii="宋体" w:hAnsi="宋体" w:eastAsia="宋体" w:cs="宋体"/>
                <w:sz w:val="21"/>
                <w:szCs w:val="21"/>
              </w:rPr>
            </w:pPr>
            <w:r>
              <w:rPr>
                <w:rFonts w:ascii="宋体" w:hAnsi="宋体" w:eastAsia="宋体" w:cs="宋体"/>
                <w:sz w:val="21"/>
                <w:szCs w:val="21"/>
              </w:rPr>
              <w:t>无超标点</w:t>
            </w:r>
          </w:p>
        </w:tc>
        <w:tc>
          <w:tcPr>
            <w:tcW w:w="1898"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4" w:hRule="exact"/>
        </w:trPr>
        <w:tc>
          <w:tcPr>
            <w:tcW w:w="2093" w:type="dxa"/>
            <w:tcBorders>
              <w:tl2br w:val="nil"/>
              <w:tr2bl w:val="nil"/>
            </w:tcBorders>
          </w:tcPr>
          <w:p>
            <w:pPr>
              <w:pStyle w:val="4069"/>
              <w:spacing w:line="240" w:lineRule="auto"/>
              <w:ind w:left="506" w:right="0"/>
              <w:jc w:val="left"/>
              <w:rPr>
                <w:rFonts w:ascii="宋体" w:hAnsi="宋体" w:eastAsia="宋体" w:cs="宋体"/>
                <w:sz w:val="21"/>
                <w:szCs w:val="21"/>
              </w:rPr>
            </w:pPr>
            <w:r>
              <w:rPr>
                <w:rFonts w:ascii="宋体" w:hAnsi="宋体" w:eastAsia="宋体" w:cs="宋体"/>
                <w:sz w:val="21"/>
                <w:szCs w:val="21"/>
              </w:rPr>
              <w:t>污水处理站</w:t>
            </w:r>
          </w:p>
        </w:tc>
        <w:tc>
          <w:tcPr>
            <w:tcW w:w="1985" w:type="dxa"/>
            <w:tcBorders>
              <w:tl2br w:val="nil"/>
              <w:tr2bl w:val="nil"/>
            </w:tcBorders>
          </w:tcPr>
          <w:p>
            <w:pPr>
              <w:pStyle w:val="4069"/>
              <w:spacing w:line="298" w:lineRule="exact"/>
              <w:ind w:left="567" w:right="0"/>
              <w:jc w:val="left"/>
              <w:rPr>
                <w:rFonts w:ascii="Calibri" w:hAnsi="Calibri" w:eastAsia="Calibri" w:cs="Calibri"/>
                <w:sz w:val="21"/>
                <w:szCs w:val="21"/>
              </w:rPr>
            </w:pPr>
            <w:r>
              <w:rPr>
                <w:rFonts w:ascii="Calibri" w:hAnsi="Calibri" w:eastAsia="Calibri" w:cs="Calibri"/>
                <w:spacing w:val="-1"/>
                <w:position w:val="2"/>
                <w:sz w:val="21"/>
                <w:szCs w:val="21"/>
              </w:rPr>
              <w:t>NH</w:t>
            </w:r>
            <w:r>
              <w:rPr>
                <w:rFonts w:ascii="Calibri" w:hAnsi="Calibri" w:eastAsia="Calibri" w:cs="Calibri"/>
                <w:spacing w:val="-1"/>
                <w:sz w:val="13"/>
                <w:szCs w:val="13"/>
              </w:rPr>
              <w:t>3</w:t>
            </w:r>
            <w:r>
              <w:rPr>
                <w:rFonts w:ascii="宋体" w:hAnsi="宋体" w:eastAsia="宋体" w:cs="宋体"/>
                <w:spacing w:val="-1"/>
                <w:position w:val="2"/>
                <w:sz w:val="21"/>
                <w:szCs w:val="21"/>
              </w:rPr>
              <w:t>、</w:t>
            </w:r>
            <w:r>
              <w:rPr>
                <w:rFonts w:ascii="Calibri" w:hAnsi="Calibri" w:eastAsia="Calibri" w:cs="Calibri"/>
                <w:spacing w:val="-1"/>
                <w:position w:val="2"/>
                <w:sz w:val="21"/>
                <w:szCs w:val="21"/>
              </w:rPr>
              <w:t>H</w:t>
            </w:r>
            <w:r>
              <w:rPr>
                <w:rFonts w:ascii="Calibri" w:hAnsi="Calibri" w:eastAsia="Calibri" w:cs="Calibri"/>
                <w:spacing w:val="-1"/>
                <w:sz w:val="13"/>
                <w:szCs w:val="13"/>
              </w:rPr>
              <w:t>2</w:t>
            </w:r>
            <w:r>
              <w:rPr>
                <w:rFonts w:ascii="Calibri" w:hAnsi="Calibri" w:eastAsia="Calibri" w:cs="Calibri"/>
                <w:spacing w:val="-1"/>
                <w:position w:val="2"/>
                <w:sz w:val="21"/>
                <w:szCs w:val="21"/>
              </w:rPr>
              <w:t>S</w:t>
            </w:r>
          </w:p>
        </w:tc>
        <w:tc>
          <w:tcPr>
            <w:tcW w:w="2552" w:type="dxa"/>
            <w:tcBorders>
              <w:tl2br w:val="nil"/>
              <w:tr2bl w:val="nil"/>
            </w:tcBorders>
          </w:tcPr>
          <w:p>
            <w:pPr>
              <w:pStyle w:val="4069"/>
              <w:spacing w:line="240" w:lineRule="auto"/>
              <w:ind w:left="830" w:right="833"/>
              <w:jc w:val="center"/>
              <w:rPr>
                <w:rFonts w:ascii="宋体" w:hAnsi="宋体" w:eastAsia="宋体" w:cs="宋体"/>
                <w:sz w:val="21"/>
                <w:szCs w:val="21"/>
              </w:rPr>
            </w:pPr>
            <w:r>
              <w:rPr>
                <w:rFonts w:ascii="宋体" w:hAnsi="宋体" w:eastAsia="宋体" w:cs="宋体"/>
                <w:sz w:val="21"/>
                <w:szCs w:val="21"/>
              </w:rPr>
              <w:t>无超标点</w:t>
            </w:r>
          </w:p>
        </w:tc>
        <w:tc>
          <w:tcPr>
            <w:tcW w:w="1898" w:type="dxa"/>
            <w:vMerge w:val="continue"/>
            <w:tcBorders>
              <w:tl2br w:val="nil"/>
              <w:tr2bl w:val="nil"/>
            </w:tcBorders>
          </w:tcPr>
          <w:p/>
        </w:tc>
      </w:tr>
    </w:tbl>
    <w:p>
      <w:pPr>
        <w:spacing w:before="9" w:line="60" w:lineRule="exact"/>
        <w:rPr>
          <w:sz w:val="6"/>
          <w:szCs w:val="6"/>
        </w:rPr>
      </w:pPr>
    </w:p>
    <w:p>
      <w:pPr>
        <w:pStyle w:val="2"/>
        <w:spacing w:before="29" w:line="329" w:lineRule="auto"/>
        <w:ind w:left="112" w:right="0" w:firstLine="480"/>
        <w:jc w:val="left"/>
      </w:pPr>
      <w:r>
        <w:t>根据环境保护部环境工程评估中心大气环境防护距离标准计算程序</w:t>
      </w:r>
      <w:r>
        <w:rPr>
          <w:spacing w:val="-66"/>
        </w:rPr>
        <w:t xml:space="preserve"> </w:t>
      </w:r>
      <w:r>
        <w:rPr>
          <w:rFonts w:ascii="Calibri" w:hAnsi="Calibri" w:eastAsia="Calibri" w:cs="Calibri"/>
          <w:spacing w:val="-1"/>
        </w:rPr>
        <w:t>ve</w:t>
      </w:r>
      <w:r>
        <w:rPr>
          <w:rFonts w:ascii="Calibri" w:hAnsi="Calibri" w:eastAsia="Calibri" w:cs="Calibri"/>
        </w:rPr>
        <w:t>r</w:t>
      </w:r>
      <w:r>
        <w:rPr>
          <w:rFonts w:ascii="Calibri" w:hAnsi="Calibri" w:eastAsia="Calibri" w:cs="Calibri"/>
          <w:spacing w:val="-1"/>
        </w:rPr>
        <w:t>1.</w:t>
      </w:r>
      <w:r>
        <w:rPr>
          <w:rFonts w:ascii="Calibri" w:hAnsi="Calibri" w:eastAsia="Calibri" w:cs="Calibri"/>
        </w:rPr>
        <w:t>2</w:t>
      </w:r>
      <w:r>
        <w:rPr>
          <w:spacing w:val="-74"/>
        </w:rPr>
        <w:t>，</w:t>
      </w:r>
      <w:r>
        <w:t>本项 目在厂界外无超标点，因此本项目不需要设置大气环境防护距离。</w:t>
      </w:r>
    </w:p>
    <w:p>
      <w:pPr>
        <w:pStyle w:val="2"/>
        <w:spacing w:before="67" w:line="328" w:lineRule="auto"/>
        <w:ind w:right="31"/>
        <w:jc w:val="left"/>
        <w:rPr>
          <w:spacing w:val="-1"/>
        </w:rPr>
      </w:pPr>
      <w:r>
        <w:rPr>
          <w:spacing w:val="-1"/>
        </w:rPr>
        <w:t>（</w:t>
      </w:r>
      <w:r>
        <w:rPr>
          <w:rFonts w:ascii="Calibri" w:hAnsi="Calibri" w:eastAsia="Calibri" w:cs="Calibri"/>
          <w:spacing w:val="-1"/>
        </w:rPr>
        <w:t>2</w:t>
      </w:r>
      <w:r>
        <w:rPr>
          <w:spacing w:val="-1"/>
        </w:rPr>
        <w:t>）卫生防护距离</w:t>
      </w:r>
    </w:p>
    <w:p>
      <w:pPr>
        <w:spacing w:line="360" w:lineRule="auto"/>
        <w:ind w:firstLine="448" w:firstLineChars="187"/>
        <w:rPr>
          <w:sz w:val="24"/>
        </w:rPr>
      </w:pPr>
      <w:r>
        <w:rPr>
          <w:sz w:val="24"/>
        </w:rPr>
        <w:t>卫生防护距离计算公式采用《制定地方大气污染物排放标准的技术方法》（GB13201－91）中的公式，即：</w:t>
      </w:r>
    </w:p>
    <w:p>
      <w:pPr>
        <w:ind w:firstLine="200"/>
        <w:jc w:val="center"/>
      </w:pPr>
      <w:r>
        <w:rPr>
          <w:position w:val="-30"/>
        </w:rPr>
        <w:object>
          <v:shape id="_x0000_i1027" o:spt="75" type="#_x0000_t75" style="height:33.5pt;width:144pt;" o:ole="t" filled="f" o:preferrelative="t" stroked="f" coordsize="21600,21600">
            <v:path/>
            <v:fill on="f" focussize="0,0"/>
            <v:stroke on="f" joinstyle="miter"/>
            <v:imagedata r:id="rId25" o:title=""/>
            <o:lock v:ext="edit" aspectratio="t"/>
            <w10:wrap type="none"/>
            <w10:anchorlock/>
          </v:shape>
          <o:OLEObject Type="Embed" ProgID="Equation.3" ShapeID="_x0000_i1027" DrawAspect="Content" ObjectID="_1468075727" r:id="rId24">
            <o:LockedField>false</o:LockedField>
          </o:OLEObject>
        </w:object>
      </w:r>
    </w:p>
    <w:p>
      <w:pPr>
        <w:spacing w:line="360" w:lineRule="auto"/>
        <w:ind w:firstLine="480" w:firstLineChars="200"/>
        <w:rPr>
          <w:sz w:val="24"/>
        </w:rPr>
      </w:pPr>
      <w:r>
        <w:rPr>
          <w:sz w:val="24"/>
        </w:rPr>
        <w:t>式中Cm－为环境一次浓度标准限值（mg/m3）；</w:t>
      </w:r>
    </w:p>
    <w:p>
      <w:pPr>
        <w:spacing w:line="360" w:lineRule="auto"/>
        <w:ind w:firstLine="1200" w:firstLineChars="500"/>
        <w:rPr>
          <w:sz w:val="24"/>
        </w:rPr>
      </w:pPr>
      <w:r>
        <w:rPr>
          <w:sz w:val="24"/>
        </w:rPr>
        <w:t>L－工业企业所需的防护距离（m）；</w:t>
      </w:r>
    </w:p>
    <w:p>
      <w:pPr>
        <w:spacing w:line="360" w:lineRule="auto"/>
        <w:ind w:firstLine="1200" w:firstLineChars="500"/>
        <w:rPr>
          <w:sz w:val="24"/>
        </w:rPr>
      </w:pPr>
      <w:r>
        <w:rPr>
          <w:sz w:val="24"/>
        </w:rPr>
        <w:object>
          <v:shape id="_x0000_i1028" o:spt="75" type="#_x0000_t75" style="height:19.25pt;width:14.25pt;" o:ole="t" filled="f" o:preferrelative="t" stroked="f" coordsize="21600,21600">
            <v:path/>
            <v:fill on="f" focussize="0,0"/>
            <v:stroke on="f" joinstyle="miter"/>
            <v:imagedata r:id="rId27" o:title=""/>
            <o:lock v:ext="edit" aspectratio="t"/>
            <w10:wrap type="none"/>
            <w10:anchorlock/>
          </v:shape>
          <o:OLEObject Type="Embed" ProgID="Equation.3" ShapeID="_x0000_i1028" DrawAspect="Content" ObjectID="_1468075728" r:id="rId26">
            <o:LockedField>false</o:LockedField>
          </o:OLEObject>
        </w:object>
      </w:r>
      <w:r>
        <w:rPr>
          <w:sz w:val="24"/>
        </w:rPr>
        <w:t>－有害气体无组织排放量可以达到的控制水平（kg/h）；</w:t>
      </w:r>
    </w:p>
    <w:p>
      <w:pPr>
        <w:spacing w:line="360" w:lineRule="auto"/>
        <w:ind w:firstLine="1200" w:firstLineChars="500"/>
      </w:pPr>
      <w:r>
        <w:rPr>
          <w:sz w:val="24"/>
        </w:rPr>
        <w:t>r－有害气体无组织排放源所在单元的等效半径（m）；根据生产单元的占地面积S(m</w:t>
      </w:r>
      <w:r>
        <w:rPr>
          <w:sz w:val="24"/>
          <w:vertAlign w:val="superscript"/>
        </w:rPr>
        <w:t>2</w:t>
      </w:r>
      <w:r>
        <w:rPr>
          <w:sz w:val="24"/>
        </w:rPr>
        <w:t>)计算，r=(S/</w:t>
      </w:r>
      <w:r>
        <w:rPr>
          <w:sz w:val="24"/>
        </w:rPr>
        <w:sym w:font="Symbol" w:char="F070"/>
      </w:r>
      <w:r>
        <w:rPr>
          <w:sz w:val="24"/>
        </w:rPr>
        <w:t>)</w:t>
      </w:r>
      <w:r>
        <w:rPr>
          <w:sz w:val="24"/>
          <w:vertAlign w:val="superscript"/>
        </w:rPr>
        <w:t>0.5</w:t>
      </w:r>
      <w:r>
        <w:rPr>
          <w:sz w:val="24"/>
        </w:rPr>
        <w:t>。</w:t>
      </w:r>
    </w:p>
    <w:p>
      <w:pPr>
        <w:spacing w:line="360" w:lineRule="auto"/>
        <w:ind w:firstLine="480" w:firstLineChars="200"/>
        <w:rPr>
          <w:sz w:val="24"/>
        </w:rPr>
      </w:pPr>
      <w:r>
        <w:rPr>
          <w:sz w:val="24"/>
        </w:rPr>
        <w:t>A、B、C、D为计算系数。</w:t>
      </w:r>
    </w:p>
    <w:p>
      <w:pPr>
        <w:pStyle w:val="2"/>
        <w:spacing w:before="67" w:line="328" w:lineRule="auto"/>
        <w:ind w:left="592" w:right="31"/>
        <w:jc w:val="left"/>
      </w:pPr>
      <w:r>
        <w:rPr>
          <w:sz w:val="24"/>
        </w:rPr>
        <w:t>本项目计算选取所在地区多年来平均风速</w:t>
      </w:r>
      <w:r>
        <w:rPr>
          <w:rFonts w:hint="eastAsia"/>
          <w:sz w:val="24"/>
          <w:lang w:val="en-US" w:eastAsia="zh-CN"/>
        </w:rPr>
        <w:t>2.4</w:t>
      </w:r>
      <w:r>
        <w:rPr>
          <w:sz w:val="24"/>
        </w:rPr>
        <w:t>m/s，根据条件参数选择：A=700；B=0.021；C=1.85；D=0.84。计算结果见表</w:t>
      </w:r>
      <w:r>
        <w:rPr>
          <w:rFonts w:hint="eastAsia"/>
          <w:sz w:val="24"/>
          <w:lang w:val="en-US" w:eastAsia="zh-CN"/>
        </w:rPr>
        <w:t>6.1-9</w:t>
      </w:r>
      <w:r>
        <w:rPr>
          <w:sz w:val="24"/>
        </w:rPr>
        <w:t>。</w:t>
      </w:r>
    </w:p>
    <w:p>
      <w:pPr>
        <w:pStyle w:val="2"/>
        <w:spacing w:before="67" w:line="328" w:lineRule="auto"/>
        <w:ind w:left="592" w:right="31"/>
        <w:jc w:val="left"/>
      </w:pPr>
      <w:r>
        <w:t>卫生防护距离按《制定地方大气污染物排放标准的技术方法》（</w:t>
      </w:r>
      <w:r>
        <w:rPr>
          <w:rFonts w:ascii="Calibri" w:hAnsi="Calibri" w:eastAsia="Calibri" w:cs="Calibri"/>
        </w:rPr>
        <w:t>GB/T3840‐91</w:t>
      </w:r>
      <w:r>
        <w:t>）</w:t>
      </w:r>
    </w:p>
    <w:p>
      <w:pPr>
        <w:pStyle w:val="2"/>
        <w:spacing w:before="17" w:line="240" w:lineRule="auto"/>
        <w:ind w:left="112" w:right="0"/>
        <w:jc w:val="left"/>
      </w:pPr>
      <w:r>
        <w:t>中规定的方法及当地的污染物气象条件来确定，其计算公式如下：</w:t>
      </w:r>
    </w:p>
    <w:p>
      <w:pPr>
        <w:spacing w:before="6" w:line="120" w:lineRule="exact"/>
        <w:rPr>
          <w:sz w:val="12"/>
          <w:szCs w:val="12"/>
        </w:rPr>
      </w:pPr>
    </w:p>
    <w:p>
      <w:pPr>
        <w:spacing w:after="0" w:line="120" w:lineRule="exact"/>
        <w:rPr>
          <w:sz w:val="12"/>
          <w:szCs w:val="12"/>
        </w:rPr>
        <w:sectPr>
          <w:pgSz w:w="11905" w:h="16840"/>
          <w:pgMar w:top="1080" w:right="1340" w:bottom="1480" w:left="1460" w:header="0" w:footer="1285" w:gutter="0"/>
          <w:pgBorders>
            <w:top w:val="none" w:sz="0" w:space="0"/>
            <w:left w:val="none" w:sz="0" w:space="0"/>
            <w:bottom w:val="none" w:sz="0" w:space="0"/>
            <w:right w:val="none" w:sz="0" w:space="0"/>
          </w:pgBorders>
        </w:sectPr>
      </w:pPr>
    </w:p>
    <w:p>
      <w:pPr>
        <w:spacing w:before="28" w:line="413" w:lineRule="exact"/>
        <w:ind w:left="0" w:right="0" w:firstLine="0"/>
        <w:jc w:val="right"/>
        <w:rPr>
          <w:rFonts w:ascii="宋体" w:hAnsi="宋体" w:eastAsia="宋体" w:cs="宋体"/>
          <w:sz w:val="14"/>
          <w:szCs w:val="14"/>
        </w:rPr>
      </w:pPr>
      <w:r>
        <mc:AlternateContent>
          <mc:Choice Requires="wpg">
            <w:drawing>
              <wp:anchor distT="0" distB="0" distL="114300" distR="114300" simplePos="0" relativeHeight="2780192768" behindDoc="1" locked="0" layoutInCell="1" allowOverlap="1">
                <wp:simplePos x="0" y="0"/>
                <wp:positionH relativeFrom="page">
                  <wp:posOffset>2991485</wp:posOffset>
                </wp:positionH>
                <wp:positionV relativeFrom="paragraph">
                  <wp:posOffset>257810</wp:posOffset>
                </wp:positionV>
                <wp:extent cx="173355" cy="1270"/>
                <wp:effectExtent l="0" t="0" r="0" b="0"/>
                <wp:wrapNone/>
                <wp:docPr id="833" name="组合 833"/>
                <wp:cNvGraphicFramePr/>
                <a:graphic xmlns:a="http://schemas.openxmlformats.org/drawingml/2006/main">
                  <a:graphicData uri="http://schemas.microsoft.com/office/word/2010/wordprocessingGroup">
                    <wpg:wgp>
                      <wpg:cNvGrpSpPr/>
                      <wpg:grpSpPr>
                        <a:xfrm>
                          <a:off x="0" y="0"/>
                          <a:ext cx="173355" cy="1270"/>
                          <a:chOff x="4711" y="406"/>
                          <a:chExt cx="274" cy="2"/>
                        </a:xfrm>
                      </wpg:grpSpPr>
                      <wps:wsp>
                        <wps:cNvPr id="830" name="任意多边形 830"/>
                        <wps:cNvSpPr/>
                        <wps:spPr>
                          <a:xfrm>
                            <a:off x="4711" y="406"/>
                            <a:ext cx="274" cy="2"/>
                          </a:xfrm>
                          <a:custGeom>
                            <a:avLst/>
                            <a:gdLst/>
                            <a:ahLst/>
                            <a:cxnLst/>
                            <a:pathLst>
                              <a:path w="274">
                                <a:moveTo>
                                  <a:pt x="0" y="0"/>
                                </a:moveTo>
                                <a:lnTo>
                                  <a:pt x="274" y="0"/>
                                </a:lnTo>
                              </a:path>
                            </a:pathLst>
                          </a:custGeom>
                          <a:noFill/>
                          <a:ln w="6337"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35.55pt;margin-top:20.3pt;height:0.1pt;width:13.65pt;mso-position-horizontal-relative:page;z-index:-2018091008;mso-width-relative:page;mso-height-relative:page;" coordorigin="4711,406" coordsize="274,2" o:gfxdata="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8wdpdkAAAAJAQAADwAAAAAAAAABACAAAAAiAAAA&#10;ZHJzL2Rvd25yZXYueG1sUEsBAhQAFAAAAAgAh07iQGeUorR4AgAAYwUAAA4AAAAAAAAAAQAgAAAA&#10;KAEAAGRycy9lMm9Eb2MueG1sUEsFBgAAAAAGAAYAWQEAABIGAAAAAA==&#10;">
                <o:lock v:ext="edit" aspectratio="f"/>
                <v:shape id="_x0000_s1026" o:spid="_x0000_s1026" o:spt="100" style="position:absolute;left:4711;top:406;height:2;width:274;" filled="f" stroked="t" coordsize="274,1" o:gfxdata="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kXLmtwAAANwAAAAP&#10;AAAAAAAAAAEAIAAAACIAAABkcnMvZG93bnJldi54bWxQSwECFAAUAAAACACHTuJAMy8FnjsAAAA5&#10;AAAAEAAAAAAAAAABACAAAAAGAQAAZHJzL3NoYXBleG1sLnhtbFBLBQYAAAAABgAGAFsBAACwAwAA&#10;AAA=&#10;" path="m0,0l274,0e">
                  <v:fill on="f" focussize="0,0"/>
                  <v:stroke weight="0.498976377952756pt" color="#000000" joinstyle="round"/>
                  <v:imagedata o:title=""/>
                  <o:lock v:ext="edit" aspectratio="f"/>
                </v:shape>
              </v:group>
            </w:pict>
          </mc:Fallback>
        </mc:AlternateContent>
      </w:r>
      <w:r>
        <mc:AlternateContent>
          <mc:Choice Requires="wpg">
            <w:drawing>
              <wp:anchor distT="0" distB="0" distL="114300" distR="114300" simplePos="0" relativeHeight="2780192768" behindDoc="1" locked="0" layoutInCell="1" allowOverlap="1">
                <wp:simplePos x="0" y="0"/>
                <wp:positionH relativeFrom="page">
                  <wp:posOffset>3412490</wp:posOffset>
                </wp:positionH>
                <wp:positionV relativeFrom="paragraph">
                  <wp:posOffset>257810</wp:posOffset>
                </wp:positionV>
                <wp:extent cx="99060" cy="1270"/>
                <wp:effectExtent l="0" t="0" r="0" b="0"/>
                <wp:wrapNone/>
                <wp:docPr id="819" name="组合 819"/>
                <wp:cNvGraphicFramePr/>
                <a:graphic xmlns:a="http://schemas.openxmlformats.org/drawingml/2006/main">
                  <a:graphicData uri="http://schemas.microsoft.com/office/word/2010/wordprocessingGroup">
                    <wpg:wgp>
                      <wpg:cNvGrpSpPr/>
                      <wpg:grpSpPr>
                        <a:xfrm>
                          <a:off x="0" y="0"/>
                          <a:ext cx="99060" cy="1270"/>
                          <a:chOff x="5375" y="406"/>
                          <a:chExt cx="156" cy="2"/>
                        </a:xfrm>
                      </wpg:grpSpPr>
                      <wps:wsp>
                        <wps:cNvPr id="818" name="任意多边形 818"/>
                        <wps:cNvSpPr/>
                        <wps:spPr>
                          <a:xfrm>
                            <a:off x="5375" y="406"/>
                            <a:ext cx="156" cy="2"/>
                          </a:xfrm>
                          <a:custGeom>
                            <a:avLst/>
                            <a:gdLst/>
                            <a:ahLst/>
                            <a:cxnLst/>
                            <a:pathLst>
                              <a:path w="156">
                                <a:moveTo>
                                  <a:pt x="0" y="0"/>
                                </a:moveTo>
                                <a:lnTo>
                                  <a:pt x="156" y="0"/>
                                </a:lnTo>
                              </a:path>
                            </a:pathLst>
                          </a:custGeom>
                          <a:noFill/>
                          <a:ln w="6337"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68.7pt;margin-top:20.3pt;height:0.1pt;width:7.8pt;mso-position-horizontal-relative:page;z-index:-2018091008;mso-width-relative:page;mso-height-relative:page;" coordorigin="5375,406" coordsize="156,2" o:gfxdata="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&#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yS8++2QAAAAkBAAAPAAAAAAAAAAEAIAAAACIAAABk&#10;cnMvZG93bnJldi54bWxQSwECFAAUAAAACACHTuJA9DUoA3cCAABiBQAADgAAAAAAAAABACAAAAAo&#10;AQAAZHJzL2Uyb0RvYy54bWxQSwUGAAAAAAYABgBZAQAAEQYAAAAA&#10;">
                <o:lock v:ext="edit" aspectratio="f"/>
                <v:shape id="_x0000_s1026" o:spid="_x0000_s1026" o:spt="100" style="position:absolute;left:5375;top:406;height:2;width:156;" filled="f" stroked="t" coordsize="156,1" o:gfxdata="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6DNbsAAADc&#10;AAAADwAAAAAAAAABACAAAAAiAAAAZHJzL2Rvd25yZXYueG1sUEsBAhQAFAAAAAgAh07iQDMvBZ47&#10;AAAAOQAAABAAAAAAAAAAAQAgAAAACgEAAGRycy9zaGFwZXhtbC54bWxQSwUGAAAAAAYABgBbAQAA&#10;tAMAAAAA&#10;" path="m0,0l156,0e">
                  <v:fill on="f" focussize="0,0"/>
                  <v:stroke weight="0.498976377952756pt" color="#000000" joinstyle="round"/>
                  <v:imagedata o:title=""/>
                  <o:lock v:ext="edit" aspectratio="f"/>
                </v:shape>
              </v:group>
            </w:pict>
          </mc:Fallback>
        </mc:AlternateContent>
      </w:r>
      <w:r>
        <w:rPr>
          <w:rFonts w:ascii="宋体" w:hAnsi="宋体" w:eastAsia="宋体" w:cs="宋体"/>
          <w:i/>
          <w:spacing w:val="8"/>
          <w:position w:val="15"/>
          <w:sz w:val="25"/>
          <w:szCs w:val="25"/>
        </w:rPr>
        <w:t>Q</w:t>
      </w:r>
      <w:r>
        <w:rPr>
          <w:rFonts w:ascii="宋体" w:hAnsi="宋体" w:eastAsia="宋体" w:cs="宋体"/>
          <w:i/>
          <w:position w:val="9"/>
          <w:sz w:val="14"/>
          <w:szCs w:val="14"/>
        </w:rPr>
        <w:t xml:space="preserve">c </w:t>
      </w:r>
      <w:r>
        <w:rPr>
          <w:rFonts w:ascii="宋体" w:hAnsi="宋体" w:eastAsia="宋体" w:cs="宋体"/>
          <w:i/>
          <w:spacing w:val="45"/>
          <w:position w:val="9"/>
          <w:sz w:val="14"/>
          <w:szCs w:val="14"/>
        </w:rPr>
        <w:t xml:space="preserve"> </w:t>
      </w:r>
      <w:r>
        <w:rPr>
          <w:rFonts w:ascii="Symbol" w:hAnsi="Symbol" w:eastAsia="Symbol" w:cs="Symbol"/>
          <w:sz w:val="24"/>
          <w:szCs w:val="24"/>
        </w:rPr>
        <w:t></w:t>
      </w:r>
      <w:r>
        <w:rPr>
          <w:rFonts w:ascii="Symbol" w:hAnsi="Symbol" w:eastAsia="Symbol" w:cs="Symbol"/>
          <w:spacing w:val="16"/>
          <w:sz w:val="24"/>
          <w:szCs w:val="24"/>
        </w:rPr>
        <w:t></w:t>
      </w:r>
      <w:r>
        <w:rPr>
          <w:rFonts w:ascii="宋体" w:hAnsi="宋体" w:eastAsia="宋体" w:cs="宋体"/>
          <w:position w:val="15"/>
          <w:sz w:val="24"/>
          <w:szCs w:val="24"/>
        </w:rPr>
        <w:t>1</w:t>
      </w:r>
      <w:r>
        <w:rPr>
          <w:rFonts w:ascii="宋体" w:hAnsi="宋体" w:eastAsia="宋体" w:cs="宋体"/>
          <w:spacing w:val="-79"/>
          <w:position w:val="15"/>
          <w:sz w:val="24"/>
          <w:szCs w:val="24"/>
        </w:rPr>
        <w:t xml:space="preserve"> </w:t>
      </w:r>
      <w:r>
        <w:rPr>
          <w:rFonts w:ascii="宋体" w:hAnsi="宋体" w:eastAsia="宋体" w:cs="宋体"/>
          <w:sz w:val="24"/>
          <w:szCs w:val="24"/>
        </w:rPr>
        <w:t>(</w:t>
      </w:r>
      <w:r>
        <w:rPr>
          <w:rFonts w:ascii="宋体" w:hAnsi="宋体" w:eastAsia="宋体" w:cs="宋体"/>
          <w:i/>
          <w:sz w:val="25"/>
          <w:szCs w:val="25"/>
        </w:rPr>
        <w:t>B</w:t>
      </w:r>
      <w:r>
        <w:rPr>
          <w:rFonts w:ascii="宋体" w:hAnsi="宋体" w:eastAsia="宋体" w:cs="宋体"/>
          <w:i/>
          <w:spacing w:val="-17"/>
          <w:sz w:val="25"/>
          <w:szCs w:val="25"/>
        </w:rPr>
        <w:t>L</w:t>
      </w:r>
      <w:r>
        <w:rPr>
          <w:rFonts w:ascii="宋体" w:hAnsi="宋体" w:eastAsia="宋体" w:cs="宋体"/>
          <w:i/>
          <w:position w:val="11"/>
          <w:sz w:val="14"/>
          <w:szCs w:val="14"/>
        </w:rPr>
        <w:t>C</w:t>
      </w:r>
    </w:p>
    <w:p>
      <w:pPr>
        <w:tabs>
          <w:tab w:val="left" w:pos="681"/>
        </w:tabs>
        <w:spacing w:before="0" w:line="290" w:lineRule="exact"/>
        <w:ind w:left="0" w:right="463" w:firstLine="0"/>
        <w:jc w:val="right"/>
        <w:rPr>
          <w:rFonts w:ascii="宋体" w:hAnsi="宋体" w:eastAsia="宋体" w:cs="宋体"/>
          <w:sz w:val="25"/>
          <w:szCs w:val="25"/>
        </w:rPr>
      </w:pPr>
      <w:r>
        <w:rPr>
          <w:rFonts w:ascii="宋体"/>
          <w:i/>
          <w:w w:val="95"/>
          <w:sz w:val="25"/>
        </w:rPr>
        <w:t>C</w:t>
      </w:r>
      <w:r>
        <w:rPr>
          <w:rFonts w:ascii="宋体"/>
          <w:i/>
          <w:spacing w:val="-85"/>
          <w:w w:val="95"/>
          <w:sz w:val="25"/>
        </w:rPr>
        <w:t xml:space="preserve"> </w:t>
      </w:r>
      <w:r>
        <w:rPr>
          <w:rFonts w:ascii="宋体"/>
          <w:i/>
          <w:w w:val="95"/>
          <w:position w:val="-5"/>
          <w:sz w:val="14"/>
        </w:rPr>
        <w:t>m</w:t>
      </w:r>
      <w:r>
        <w:rPr>
          <w:rFonts w:ascii="宋体"/>
          <w:i/>
          <w:w w:val="95"/>
          <w:position w:val="-5"/>
          <w:sz w:val="14"/>
        </w:rPr>
        <w:tab/>
      </w:r>
      <w:r>
        <w:rPr>
          <w:rFonts w:ascii="宋体"/>
          <w:i/>
          <w:w w:val="95"/>
          <w:sz w:val="25"/>
        </w:rPr>
        <w:t>A</w:t>
      </w:r>
    </w:p>
    <w:p>
      <w:pPr>
        <w:spacing w:before="178"/>
        <w:ind w:left="115" w:right="0" w:firstLine="0"/>
        <w:jc w:val="left"/>
        <w:rPr>
          <w:rFonts w:ascii="宋体" w:hAnsi="宋体" w:eastAsia="宋体" w:cs="宋体"/>
          <w:sz w:val="14"/>
          <w:szCs w:val="14"/>
        </w:rPr>
      </w:pPr>
      <w:r>
        <w:br w:type="column"/>
      </w:r>
      <w:r>
        <w:rPr>
          <w:rFonts w:ascii="Symbol" w:hAnsi="Symbol" w:eastAsia="Symbol" w:cs="Symbol"/>
          <w:sz w:val="24"/>
          <w:szCs w:val="24"/>
        </w:rPr>
        <w:t></w:t>
      </w:r>
      <w:r>
        <w:rPr>
          <w:rFonts w:ascii="Symbol" w:hAnsi="Symbol" w:eastAsia="Symbol" w:cs="Symbol"/>
          <w:spacing w:val="29"/>
          <w:sz w:val="24"/>
          <w:szCs w:val="24"/>
        </w:rPr>
        <w:t></w:t>
      </w:r>
      <w:r>
        <w:rPr>
          <w:rFonts w:ascii="宋体" w:hAnsi="宋体" w:eastAsia="宋体" w:cs="宋体"/>
          <w:sz w:val="24"/>
          <w:szCs w:val="24"/>
        </w:rPr>
        <w:t>0.2</w:t>
      </w:r>
      <w:r>
        <w:rPr>
          <w:rFonts w:ascii="宋体" w:hAnsi="宋体" w:eastAsia="宋体" w:cs="宋体"/>
          <w:spacing w:val="-8"/>
          <w:sz w:val="24"/>
          <w:szCs w:val="24"/>
        </w:rPr>
        <w:t>5</w:t>
      </w:r>
      <w:r>
        <w:rPr>
          <w:rFonts w:ascii="宋体" w:hAnsi="宋体" w:eastAsia="宋体" w:cs="宋体"/>
          <w:i/>
          <w:sz w:val="25"/>
          <w:szCs w:val="25"/>
        </w:rPr>
        <w:t>r</w:t>
      </w:r>
      <w:r>
        <w:rPr>
          <w:rFonts w:ascii="宋体" w:hAnsi="宋体" w:eastAsia="宋体" w:cs="宋体"/>
          <w:i/>
          <w:spacing w:val="-90"/>
          <w:sz w:val="25"/>
          <w:szCs w:val="25"/>
        </w:rPr>
        <w:t xml:space="preserve"> </w:t>
      </w:r>
      <w:r>
        <w:rPr>
          <w:rFonts w:ascii="宋体" w:hAnsi="宋体" w:eastAsia="宋体" w:cs="宋体"/>
          <w:position w:val="11"/>
          <w:sz w:val="14"/>
          <w:szCs w:val="14"/>
        </w:rPr>
        <w:t>2</w:t>
      </w:r>
      <w:r>
        <w:rPr>
          <w:rFonts w:ascii="宋体" w:hAnsi="宋体" w:eastAsia="宋体" w:cs="宋体"/>
          <w:spacing w:val="-46"/>
          <w:position w:val="11"/>
          <w:sz w:val="14"/>
          <w:szCs w:val="14"/>
        </w:rPr>
        <w:t xml:space="preserve"> </w:t>
      </w:r>
      <w:r>
        <w:rPr>
          <w:rFonts w:ascii="宋体" w:hAnsi="宋体" w:eastAsia="宋体" w:cs="宋体"/>
          <w:spacing w:val="-38"/>
          <w:sz w:val="24"/>
          <w:szCs w:val="24"/>
        </w:rPr>
        <w:t>)</w:t>
      </w:r>
      <w:r>
        <w:rPr>
          <w:rFonts w:ascii="宋体" w:hAnsi="宋体" w:eastAsia="宋体" w:cs="宋体"/>
          <w:position w:val="11"/>
          <w:sz w:val="14"/>
          <w:szCs w:val="14"/>
        </w:rPr>
        <w:t>0</w:t>
      </w:r>
      <w:r>
        <w:rPr>
          <w:rFonts w:ascii="宋体" w:hAnsi="宋体" w:eastAsia="宋体" w:cs="宋体"/>
          <w:spacing w:val="-1"/>
          <w:position w:val="11"/>
          <w:sz w:val="14"/>
          <w:szCs w:val="14"/>
        </w:rPr>
        <w:t>.</w:t>
      </w:r>
      <w:r>
        <w:rPr>
          <w:rFonts w:ascii="宋体" w:hAnsi="宋体" w:eastAsia="宋体" w:cs="宋体"/>
          <w:position w:val="11"/>
          <w:sz w:val="14"/>
          <w:szCs w:val="14"/>
        </w:rPr>
        <w:t>50</w:t>
      </w:r>
      <w:r>
        <w:rPr>
          <w:rFonts w:ascii="宋体" w:hAnsi="宋体" w:eastAsia="宋体" w:cs="宋体"/>
          <w:spacing w:val="-49"/>
          <w:position w:val="11"/>
          <w:sz w:val="14"/>
          <w:szCs w:val="14"/>
        </w:rPr>
        <w:t xml:space="preserve"> </w:t>
      </w:r>
      <w:r>
        <w:rPr>
          <w:rFonts w:ascii="宋体" w:hAnsi="宋体" w:eastAsia="宋体" w:cs="宋体"/>
          <w:i/>
          <w:spacing w:val="-6"/>
          <w:sz w:val="25"/>
          <w:szCs w:val="25"/>
        </w:rPr>
        <w:t>L</w:t>
      </w:r>
      <w:r>
        <w:rPr>
          <w:rFonts w:ascii="宋体" w:hAnsi="宋体" w:eastAsia="宋体" w:cs="宋体"/>
          <w:i/>
          <w:position w:val="11"/>
          <w:sz w:val="14"/>
          <w:szCs w:val="14"/>
        </w:rPr>
        <w:t>D</w:t>
      </w:r>
    </w:p>
    <w:p>
      <w:pPr>
        <w:spacing w:after="0"/>
        <w:jc w:val="left"/>
        <w:rPr>
          <w:rFonts w:ascii="宋体" w:hAnsi="宋体" w:eastAsia="宋体" w:cs="宋体"/>
          <w:sz w:val="14"/>
          <w:szCs w:val="14"/>
        </w:rPr>
        <w:sectPr>
          <w:type w:val="continuous"/>
          <w:pgSz w:w="11905" w:h="16840"/>
          <w:pgMar w:top="820" w:right="1340" w:bottom="1500" w:left="1460" w:header="720" w:footer="720" w:gutter="0"/>
          <w:pgBorders>
            <w:top w:val="none" w:sz="0" w:space="0"/>
            <w:left w:val="none" w:sz="0" w:space="0"/>
            <w:bottom w:val="none" w:sz="0" w:space="0"/>
            <w:right w:val="none" w:sz="0" w:space="0"/>
          </w:pgBorders>
          <w:cols w:equalWidth="0" w:num="2">
            <w:col w:w="4511" w:space="40"/>
            <w:col w:w="4554"/>
          </w:cols>
        </w:sectPr>
      </w:pPr>
    </w:p>
    <w:p>
      <w:pPr>
        <w:spacing w:before="14" w:line="100" w:lineRule="exact"/>
        <w:rPr>
          <w:sz w:val="10"/>
          <w:szCs w:val="10"/>
        </w:rPr>
      </w:pPr>
    </w:p>
    <w:p>
      <w:pPr>
        <w:pStyle w:val="2"/>
        <w:spacing w:before="29" w:line="326" w:lineRule="auto"/>
        <w:ind w:left="1188" w:right="0" w:hanging="597"/>
        <w:jc w:val="left"/>
      </w:pPr>
      <w:r>
        <w:t>式中：</w:t>
      </w:r>
      <w:r>
        <w:rPr>
          <w:rFonts w:ascii="Calibri" w:hAnsi="Calibri" w:eastAsia="Calibri" w:cs="Calibri"/>
          <w:i/>
        </w:rPr>
        <w:t>C</w:t>
      </w:r>
      <w:r>
        <w:rPr>
          <w:rFonts w:ascii="Calibri" w:hAnsi="Calibri" w:eastAsia="Calibri" w:cs="Calibri"/>
          <w:i/>
          <w:position w:val="-1"/>
          <w:sz w:val="15"/>
          <w:szCs w:val="15"/>
        </w:rPr>
        <w:t>m</w:t>
      </w:r>
      <w:r>
        <w:t>—标准浓度限值，</w:t>
      </w:r>
      <w:r>
        <w:rPr>
          <w:rFonts w:ascii="Calibri" w:hAnsi="Calibri" w:eastAsia="Calibri" w:cs="Calibri"/>
        </w:rPr>
        <w:t>mg/m</w:t>
      </w:r>
      <w:r>
        <w:rPr>
          <w:rFonts w:ascii="Calibri" w:hAnsi="Calibri" w:eastAsia="Calibri" w:cs="Calibri"/>
          <w:position w:val="8"/>
          <w:sz w:val="15"/>
          <w:szCs w:val="15"/>
        </w:rPr>
        <w:t>3</w:t>
      </w:r>
      <w:r>
        <w:t>，见表</w:t>
      </w:r>
      <w:r>
        <w:rPr>
          <w:rFonts w:ascii="Calibri" w:hAnsi="Calibri" w:eastAsia="Calibri" w:cs="Calibri"/>
        </w:rPr>
        <w:t>5.3‐9</w:t>
      </w:r>
      <w:r>
        <w:t>。</w:t>
      </w:r>
      <w:r>
        <w:rPr>
          <w:spacing w:val="21"/>
        </w:rPr>
        <w:t xml:space="preserve"> </w:t>
      </w:r>
      <w:r>
        <w:rPr>
          <w:rFonts w:ascii="Calibri" w:hAnsi="Calibri" w:eastAsia="Calibri" w:cs="Calibri"/>
          <w:i/>
          <w:spacing w:val="-1"/>
        </w:rPr>
        <w:t>L</w:t>
      </w:r>
      <w:r>
        <w:rPr>
          <w:spacing w:val="-1"/>
        </w:rPr>
        <w:t>—企业无组织排放有害气体所需卫生防护距离，</w:t>
      </w:r>
      <w:r>
        <w:rPr>
          <w:rFonts w:ascii="Calibri" w:hAnsi="Calibri" w:eastAsia="Calibri" w:cs="Calibri"/>
          <w:spacing w:val="-1"/>
        </w:rPr>
        <w:t>m</w:t>
      </w:r>
      <w:r>
        <w:rPr>
          <w:spacing w:val="-1"/>
        </w:rPr>
        <w:t>；</w:t>
      </w:r>
      <w:r>
        <w:rPr>
          <w:spacing w:val="44"/>
        </w:rPr>
        <w:t xml:space="preserve"> </w:t>
      </w:r>
      <w:r>
        <w:rPr>
          <w:rFonts w:ascii="Calibri" w:hAnsi="Calibri" w:eastAsia="Calibri" w:cs="Calibri"/>
          <w:i/>
          <w:spacing w:val="-1"/>
        </w:rPr>
        <w:t>r</w:t>
      </w:r>
      <w:r>
        <w:rPr>
          <w:spacing w:val="-1"/>
        </w:rPr>
        <w:t>—有害气体无组织排放源所在生产单元的等效半径，</w:t>
      </w:r>
      <w:r>
        <w:rPr>
          <w:rFonts w:ascii="Calibri" w:hAnsi="Calibri" w:eastAsia="Calibri" w:cs="Calibri"/>
          <w:spacing w:val="-1"/>
        </w:rPr>
        <w:t>m</w:t>
      </w:r>
      <w:r>
        <w:rPr>
          <w:spacing w:val="-1"/>
        </w:rPr>
        <w:t>；</w:t>
      </w:r>
      <w:r>
        <w:rPr>
          <w:spacing w:val="50"/>
        </w:rPr>
        <w:t xml:space="preserve"> </w:t>
      </w:r>
      <w:r>
        <w:rPr>
          <w:rFonts w:ascii="Calibri" w:hAnsi="Calibri" w:eastAsia="Calibri" w:cs="Calibri"/>
          <w:i/>
        </w:rPr>
        <w:t>Q</w:t>
      </w:r>
      <w:r>
        <w:rPr>
          <w:rFonts w:ascii="Calibri" w:hAnsi="Calibri" w:eastAsia="Calibri" w:cs="Calibri"/>
          <w:i/>
          <w:position w:val="-1"/>
          <w:sz w:val="15"/>
          <w:szCs w:val="15"/>
        </w:rPr>
        <w:t>C</w:t>
      </w:r>
      <w:r>
        <w:t>—企业有害气体无组织排放量可以达到的控制水平，</w:t>
      </w:r>
      <w:r>
        <w:rPr>
          <w:rFonts w:ascii="Calibri" w:hAnsi="Calibri" w:eastAsia="Calibri" w:cs="Calibri"/>
        </w:rPr>
        <w:t>kg/h</w:t>
      </w:r>
      <w:r>
        <w:t>；</w:t>
      </w:r>
      <w:r>
        <w:rPr>
          <w:spacing w:val="28"/>
        </w:rPr>
        <w:t xml:space="preserve"> </w:t>
      </w:r>
      <w:r>
        <w:rPr>
          <w:rFonts w:ascii="Calibri" w:hAnsi="Calibri" w:eastAsia="Calibri" w:cs="Calibri"/>
          <w:i/>
          <w:spacing w:val="-1"/>
        </w:rPr>
        <w:t>A</w:t>
      </w:r>
      <w:r>
        <w:rPr>
          <w:rFonts w:ascii="宋体" w:hAnsi="宋体" w:eastAsia="宋体" w:cs="宋体"/>
          <w:i/>
          <w:spacing w:val="-2"/>
          <w:sz w:val="25"/>
          <w:szCs w:val="25"/>
        </w:rPr>
        <w:t>、</w:t>
      </w:r>
      <w:r>
        <w:rPr>
          <w:rFonts w:ascii="Calibri" w:hAnsi="Calibri" w:eastAsia="Calibri" w:cs="Calibri"/>
          <w:i/>
          <w:spacing w:val="-1"/>
        </w:rPr>
        <w:t>B</w:t>
      </w:r>
      <w:r>
        <w:rPr>
          <w:rFonts w:ascii="宋体" w:hAnsi="宋体" w:eastAsia="宋体" w:cs="宋体"/>
          <w:i/>
          <w:spacing w:val="-2"/>
          <w:sz w:val="25"/>
          <w:szCs w:val="25"/>
        </w:rPr>
        <w:t>、</w:t>
      </w:r>
      <w:r>
        <w:rPr>
          <w:rFonts w:ascii="Calibri" w:hAnsi="Calibri" w:eastAsia="Calibri" w:cs="Calibri"/>
          <w:i/>
          <w:spacing w:val="-1"/>
        </w:rPr>
        <w:t>C</w:t>
      </w:r>
      <w:r>
        <w:rPr>
          <w:rFonts w:ascii="宋体" w:hAnsi="宋体" w:eastAsia="宋体" w:cs="宋体"/>
          <w:i/>
          <w:spacing w:val="-2"/>
          <w:sz w:val="25"/>
          <w:szCs w:val="25"/>
        </w:rPr>
        <w:t>、</w:t>
      </w:r>
      <w:r>
        <w:rPr>
          <w:rFonts w:ascii="Calibri" w:hAnsi="Calibri" w:eastAsia="Calibri" w:cs="Calibri"/>
          <w:i/>
          <w:spacing w:val="-1"/>
        </w:rPr>
        <w:t>D</w:t>
      </w:r>
      <w:r>
        <w:rPr>
          <w:spacing w:val="-1"/>
        </w:rPr>
        <w:t>—卫生防护距离计算系数，无因次。</w:t>
      </w:r>
    </w:p>
    <w:p>
      <w:pPr>
        <w:pStyle w:val="2"/>
        <w:spacing w:before="19" w:line="328" w:lineRule="auto"/>
        <w:ind w:left="111" w:right="0" w:firstLine="480"/>
        <w:jc w:val="left"/>
        <w:sectPr>
          <w:type w:val="continuous"/>
          <w:pgSz w:w="11905" w:h="16840"/>
          <w:pgMar w:top="820" w:right="1340" w:bottom="1500" w:left="1460" w:header="720" w:footer="720" w:gutter="0"/>
          <w:pgBorders>
            <w:top w:val="none" w:sz="0" w:space="0"/>
            <w:left w:val="none" w:sz="0" w:space="0"/>
            <w:bottom w:val="none" w:sz="0" w:space="0"/>
            <w:right w:val="none" w:sz="0" w:space="0"/>
          </w:pgBorders>
        </w:sectPr>
      </w:pPr>
      <w:r>
        <w:t>根据该项目所在地的气象特征（年平均风速</w:t>
      </w:r>
      <w:r>
        <w:rPr>
          <w:rFonts w:ascii="Calibri" w:hAnsi="Calibri" w:eastAsia="Calibri" w:cs="Calibri"/>
          <w:spacing w:val="-1"/>
        </w:rPr>
        <w:t>为</w:t>
      </w:r>
      <w:r>
        <w:rPr>
          <w:rFonts w:hint="eastAsia" w:ascii="Calibri" w:hAnsi="Calibri" w:eastAsia="Calibri" w:cs="Calibri"/>
          <w:spacing w:val="-1"/>
          <w:lang w:val="en-US" w:eastAsia="zh-CN"/>
        </w:rPr>
        <w:t>2.4</w:t>
      </w:r>
      <w:r>
        <w:rPr>
          <w:rFonts w:ascii="Calibri" w:hAnsi="Calibri" w:eastAsia="Calibri" w:cs="Calibri"/>
          <w:spacing w:val="-1"/>
        </w:rPr>
        <w:t>5m/s</w:t>
      </w:r>
      <w:r>
        <w:rPr>
          <w:spacing w:val="-1"/>
        </w:rPr>
        <w:t>）和表</w:t>
      </w:r>
      <w:r>
        <w:rPr>
          <w:spacing w:val="-59"/>
        </w:rPr>
        <w:t xml:space="preserve"> </w:t>
      </w:r>
      <w:r>
        <w:rPr>
          <w:rFonts w:hint="eastAsia" w:ascii="Calibri" w:hAnsi="Calibri" w:eastAsia="宋体" w:cs="Calibri"/>
          <w:lang w:val="en-US" w:eastAsia="zh-CN"/>
        </w:rPr>
        <w:t>6.1-9</w:t>
      </w:r>
      <w:r>
        <w:t>，项目卫生</w:t>
      </w:r>
      <w:r>
        <w:rPr>
          <w:spacing w:val="-1"/>
        </w:rPr>
        <w:t>防护距离计算系数：</w:t>
      </w:r>
      <w:r>
        <w:rPr>
          <w:rFonts w:ascii="Calibri" w:hAnsi="Calibri" w:eastAsia="Calibri" w:cs="Calibri"/>
          <w:spacing w:val="-1"/>
        </w:rPr>
        <w:t>A=470</w:t>
      </w:r>
      <w:r>
        <w:rPr>
          <w:spacing w:val="-1"/>
        </w:rPr>
        <w:t>；</w:t>
      </w:r>
      <w:r>
        <w:rPr>
          <w:rFonts w:ascii="Calibri" w:hAnsi="Calibri" w:eastAsia="Calibri" w:cs="Calibri"/>
          <w:spacing w:val="-1"/>
        </w:rPr>
        <w:t>B=0.021</w:t>
      </w:r>
      <w:r>
        <w:rPr>
          <w:spacing w:val="-1"/>
        </w:rPr>
        <w:t>；</w:t>
      </w:r>
      <w:r>
        <w:rPr>
          <w:rFonts w:ascii="Calibri" w:hAnsi="Calibri" w:eastAsia="Calibri" w:cs="Calibri"/>
          <w:spacing w:val="-1"/>
        </w:rPr>
        <w:t>C=1.85</w:t>
      </w:r>
      <w:r>
        <w:rPr>
          <w:spacing w:val="-1"/>
        </w:rPr>
        <w:t>；</w:t>
      </w:r>
      <w:r>
        <w:rPr>
          <w:rFonts w:ascii="Calibri" w:hAnsi="Calibri" w:eastAsia="Calibri" w:cs="Calibri"/>
          <w:spacing w:val="-1"/>
        </w:rPr>
        <w:t>D=0.84</w:t>
      </w:r>
      <w:r>
        <w:rPr>
          <w:spacing w:val="-1"/>
        </w:rPr>
        <w:t>。</w:t>
      </w:r>
    </w:p>
    <w:p>
      <w:pPr>
        <w:spacing w:before="29"/>
        <w:ind w:left="2801" w:right="1324" w:firstLine="0"/>
        <w:jc w:val="left"/>
        <w:rPr>
          <w:rFonts w:ascii="宋体" w:hAnsi="宋体" w:eastAsia="宋体" w:cs="宋体"/>
          <w:sz w:val="24"/>
          <w:szCs w:val="24"/>
        </w:rPr>
      </w:pPr>
      <w:r>
        <w:rPr>
          <w:rFonts w:ascii="宋体" w:hAnsi="宋体" w:eastAsia="宋体" w:cs="宋体"/>
          <w:sz w:val="24"/>
          <w:szCs w:val="24"/>
        </w:rPr>
        <w:t>表</w:t>
      </w:r>
      <w:r>
        <w:rPr>
          <w:rFonts w:ascii="宋体" w:hAnsi="宋体" w:eastAsia="宋体" w:cs="宋体"/>
          <w:spacing w:val="-63"/>
          <w:sz w:val="24"/>
          <w:szCs w:val="24"/>
        </w:rPr>
        <w:t xml:space="preserve"> </w:t>
      </w:r>
      <w:r>
        <w:rPr>
          <w:rFonts w:hint="eastAsia" w:ascii="Calibri" w:hAnsi="Calibri" w:eastAsia="宋体" w:cs="Calibri"/>
          <w:b/>
          <w:bCs/>
          <w:spacing w:val="-1"/>
          <w:sz w:val="24"/>
          <w:szCs w:val="24"/>
          <w:lang w:val="en-US" w:eastAsia="zh-CN"/>
        </w:rPr>
        <w:t>6</w:t>
      </w:r>
      <w:r>
        <w:rPr>
          <w:rFonts w:ascii="Calibri" w:hAnsi="Calibri" w:eastAsia="Calibri" w:cs="Calibri"/>
          <w:b/>
          <w:bCs/>
          <w:spacing w:val="-1"/>
          <w:sz w:val="24"/>
          <w:szCs w:val="24"/>
        </w:rPr>
        <w:t>.1‐</w:t>
      </w:r>
      <w:r>
        <w:rPr>
          <w:rFonts w:hint="eastAsia" w:ascii="Calibri" w:hAnsi="Calibri" w:eastAsia="宋体" w:cs="Calibri"/>
          <w:b/>
          <w:bCs/>
          <w:spacing w:val="-1"/>
          <w:sz w:val="24"/>
          <w:szCs w:val="24"/>
          <w:lang w:val="en-US" w:eastAsia="zh-CN"/>
        </w:rPr>
        <w:t>9</w:t>
      </w:r>
      <w:r>
        <w:rPr>
          <w:rFonts w:ascii="Calibri" w:hAnsi="Calibri" w:eastAsia="Calibri" w:cs="Calibri"/>
          <w:b/>
          <w:bCs/>
          <w:spacing w:val="5"/>
          <w:sz w:val="24"/>
          <w:szCs w:val="24"/>
        </w:rPr>
        <w:t xml:space="preserve"> </w:t>
      </w:r>
      <w:r>
        <w:rPr>
          <w:rFonts w:ascii="宋体" w:hAnsi="宋体" w:eastAsia="宋体" w:cs="宋体"/>
          <w:sz w:val="24"/>
          <w:szCs w:val="24"/>
        </w:rPr>
        <w:t>卫生防护距离计算系数</w:t>
      </w:r>
    </w:p>
    <w:p>
      <w:pPr>
        <w:spacing w:before="18" w:line="160" w:lineRule="exact"/>
        <w:rPr>
          <w:sz w:val="16"/>
          <w:szCs w:val="16"/>
        </w:rPr>
      </w:pPr>
    </w:p>
    <w:tbl>
      <w:tblPr>
        <w:tblStyle w:val="88"/>
        <w:tblW w:w="0" w:type="auto"/>
        <w:tblInd w:w="21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21"/>
        <w:gridCol w:w="1690"/>
        <w:gridCol w:w="646"/>
        <w:gridCol w:w="644"/>
        <w:gridCol w:w="605"/>
        <w:gridCol w:w="43"/>
        <w:gridCol w:w="646"/>
        <w:gridCol w:w="644"/>
        <w:gridCol w:w="648"/>
        <w:gridCol w:w="634"/>
        <w:gridCol w:w="644"/>
        <w:gridCol w:w="65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exact"/>
        </w:trPr>
        <w:tc>
          <w:tcPr>
            <w:tcW w:w="1021" w:type="dxa"/>
            <w:vMerge w:val="restart"/>
            <w:tcBorders>
              <w:tl2br w:val="nil"/>
              <w:tr2bl w:val="nil"/>
            </w:tcBorders>
          </w:tcPr>
          <w:p>
            <w:pPr>
              <w:pStyle w:val="4069"/>
              <w:spacing w:line="200" w:lineRule="exact"/>
              <w:ind w:right="0"/>
              <w:jc w:val="left"/>
              <w:rPr>
                <w:sz w:val="20"/>
                <w:szCs w:val="20"/>
              </w:rPr>
            </w:pPr>
          </w:p>
          <w:p>
            <w:pPr>
              <w:pStyle w:val="4069"/>
              <w:spacing w:before="5" w:line="200" w:lineRule="exact"/>
              <w:ind w:right="0"/>
              <w:jc w:val="left"/>
              <w:rPr>
                <w:sz w:val="20"/>
                <w:szCs w:val="20"/>
              </w:rPr>
            </w:pPr>
          </w:p>
          <w:p>
            <w:pPr>
              <w:pStyle w:val="4069"/>
              <w:spacing w:line="240" w:lineRule="auto"/>
              <w:ind w:left="285" w:right="0"/>
              <w:jc w:val="left"/>
              <w:rPr>
                <w:rFonts w:ascii="宋体" w:hAnsi="宋体" w:eastAsia="宋体" w:cs="宋体"/>
                <w:sz w:val="21"/>
                <w:szCs w:val="21"/>
              </w:rPr>
            </w:pPr>
            <w:r>
              <w:rPr>
                <w:rFonts w:ascii="宋体" w:hAnsi="宋体" w:eastAsia="宋体" w:cs="宋体"/>
                <w:sz w:val="21"/>
                <w:szCs w:val="21"/>
              </w:rPr>
              <w:t>计算 系数</w:t>
            </w:r>
          </w:p>
        </w:tc>
        <w:tc>
          <w:tcPr>
            <w:tcW w:w="1690" w:type="dxa"/>
            <w:vMerge w:val="restart"/>
            <w:tcBorders>
              <w:tl2br w:val="nil"/>
              <w:tr2bl w:val="nil"/>
            </w:tcBorders>
          </w:tcPr>
          <w:p>
            <w:pPr>
              <w:pStyle w:val="4069"/>
              <w:spacing w:before="9" w:line="260" w:lineRule="exact"/>
              <w:ind w:right="0"/>
              <w:jc w:val="left"/>
              <w:rPr>
                <w:sz w:val="26"/>
                <w:szCs w:val="26"/>
              </w:rPr>
            </w:pPr>
          </w:p>
          <w:p>
            <w:pPr>
              <w:pStyle w:val="4069"/>
              <w:spacing w:line="240" w:lineRule="auto"/>
              <w:ind w:left="145" w:right="142"/>
              <w:jc w:val="center"/>
              <w:rPr>
                <w:rFonts w:ascii="宋体" w:hAnsi="宋体" w:eastAsia="宋体" w:cs="宋体"/>
                <w:sz w:val="21"/>
                <w:szCs w:val="21"/>
              </w:rPr>
            </w:pPr>
            <w:r>
              <w:rPr>
                <w:rFonts w:ascii="宋体" w:hAnsi="宋体" w:eastAsia="宋体" w:cs="宋体"/>
                <w:sz w:val="21"/>
                <w:szCs w:val="21"/>
              </w:rPr>
              <w:t>工业企业所在</w:t>
            </w:r>
            <w:r>
              <w:rPr>
                <w:rFonts w:ascii="宋体" w:hAnsi="宋体" w:eastAsia="宋体" w:cs="宋体"/>
                <w:spacing w:val="22"/>
                <w:sz w:val="21"/>
                <w:szCs w:val="21"/>
              </w:rPr>
              <w:t xml:space="preserve"> </w:t>
            </w:r>
            <w:r>
              <w:rPr>
                <w:rFonts w:ascii="宋体" w:hAnsi="宋体" w:eastAsia="宋体" w:cs="宋体"/>
                <w:sz w:val="21"/>
                <w:szCs w:val="21"/>
              </w:rPr>
              <w:t>地区近五年平</w:t>
            </w:r>
            <w:r>
              <w:rPr>
                <w:rFonts w:ascii="宋体" w:hAnsi="宋体" w:eastAsia="宋体" w:cs="宋体"/>
                <w:spacing w:val="22"/>
                <w:sz w:val="21"/>
                <w:szCs w:val="21"/>
              </w:rPr>
              <w:t xml:space="preserve"> </w:t>
            </w:r>
            <w:r>
              <w:rPr>
                <w:rFonts w:ascii="宋体" w:hAnsi="宋体" w:eastAsia="宋体" w:cs="宋体"/>
                <w:spacing w:val="-1"/>
                <w:sz w:val="21"/>
                <w:szCs w:val="21"/>
              </w:rPr>
              <w:t>均风速（</w:t>
            </w:r>
            <w:r>
              <w:rPr>
                <w:rFonts w:ascii="Calibri" w:hAnsi="Calibri" w:eastAsia="Calibri" w:cs="Calibri"/>
                <w:b/>
                <w:bCs/>
                <w:spacing w:val="-1"/>
                <w:sz w:val="21"/>
                <w:szCs w:val="21"/>
              </w:rPr>
              <w:t>m/s</w:t>
            </w:r>
            <w:r>
              <w:rPr>
                <w:rFonts w:ascii="宋体" w:hAnsi="宋体" w:eastAsia="宋体" w:cs="宋体"/>
                <w:spacing w:val="-1"/>
                <w:sz w:val="21"/>
                <w:szCs w:val="21"/>
              </w:rPr>
              <w:t>）</w:t>
            </w:r>
          </w:p>
        </w:tc>
        <w:tc>
          <w:tcPr>
            <w:tcW w:w="5807" w:type="dxa"/>
            <w:gridSpan w:val="10"/>
            <w:tcBorders>
              <w:tl2br w:val="nil"/>
              <w:tr2bl w:val="nil"/>
            </w:tcBorders>
          </w:tcPr>
          <w:p>
            <w:pPr>
              <w:pStyle w:val="4069"/>
              <w:spacing w:before="16" w:line="240" w:lineRule="auto"/>
              <w:ind w:left="21" w:right="0"/>
              <w:jc w:val="center"/>
              <w:rPr>
                <w:rFonts w:ascii="宋体" w:hAnsi="宋体" w:eastAsia="宋体" w:cs="宋体"/>
                <w:sz w:val="21"/>
                <w:szCs w:val="21"/>
              </w:rPr>
            </w:pPr>
            <w:r>
              <w:rPr>
                <w:rFonts w:ascii="宋体" w:hAnsi="宋体" w:eastAsia="宋体" w:cs="宋体"/>
                <w:sz w:val="21"/>
                <w:szCs w:val="21"/>
              </w:rPr>
              <w:t>卫生防护距离</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021" w:type="dxa"/>
            <w:vMerge w:val="continue"/>
            <w:tcBorders>
              <w:tl2br w:val="nil"/>
              <w:tr2bl w:val="nil"/>
            </w:tcBorders>
          </w:tcPr>
          <w:p/>
        </w:tc>
        <w:tc>
          <w:tcPr>
            <w:tcW w:w="1690" w:type="dxa"/>
            <w:vMerge w:val="continue"/>
            <w:tcBorders>
              <w:tl2br w:val="nil"/>
              <w:tr2bl w:val="nil"/>
            </w:tcBorders>
          </w:tcPr>
          <w:p/>
        </w:tc>
        <w:tc>
          <w:tcPr>
            <w:tcW w:w="1938" w:type="dxa"/>
            <w:gridSpan w:val="4"/>
            <w:tcBorders>
              <w:tl2br w:val="nil"/>
              <w:tr2bl w:val="nil"/>
            </w:tcBorders>
          </w:tcPr>
          <w:p>
            <w:pPr>
              <w:pStyle w:val="4069"/>
              <w:spacing w:line="240" w:lineRule="auto"/>
              <w:ind w:left="602" w:right="0"/>
              <w:jc w:val="left"/>
              <w:rPr>
                <w:rFonts w:ascii="Calibri" w:hAnsi="Calibri" w:eastAsia="Calibri" w:cs="Calibri"/>
                <w:sz w:val="21"/>
                <w:szCs w:val="21"/>
              </w:rPr>
            </w:pPr>
            <w:r>
              <w:rPr>
                <w:rFonts w:ascii="Calibri" w:hAnsi="Calibri" w:eastAsia="Calibri" w:cs="Calibri"/>
                <w:b/>
                <w:bCs/>
                <w:sz w:val="21"/>
                <w:szCs w:val="21"/>
              </w:rPr>
              <w:t>L</w:t>
            </w:r>
            <w:r>
              <w:rPr>
                <w:rFonts w:ascii="宋体" w:hAnsi="宋体" w:eastAsia="宋体" w:cs="宋体"/>
                <w:sz w:val="21"/>
                <w:szCs w:val="21"/>
              </w:rPr>
              <w:t>≤</w:t>
            </w:r>
            <w:r>
              <w:rPr>
                <w:rFonts w:ascii="Calibri" w:hAnsi="Calibri" w:eastAsia="Calibri" w:cs="Calibri"/>
                <w:b/>
                <w:bCs/>
                <w:sz w:val="21"/>
                <w:szCs w:val="21"/>
              </w:rPr>
              <w:t>1000</w:t>
            </w:r>
          </w:p>
        </w:tc>
        <w:tc>
          <w:tcPr>
            <w:tcW w:w="1938" w:type="dxa"/>
            <w:gridSpan w:val="3"/>
            <w:tcBorders>
              <w:tl2br w:val="nil"/>
              <w:tr2bl w:val="nil"/>
            </w:tcBorders>
          </w:tcPr>
          <w:p>
            <w:pPr>
              <w:pStyle w:val="4069"/>
              <w:spacing w:line="240" w:lineRule="auto"/>
              <w:ind w:left="338" w:right="0"/>
              <w:jc w:val="left"/>
              <w:rPr>
                <w:rFonts w:ascii="Calibri" w:hAnsi="Calibri" w:eastAsia="Calibri" w:cs="Calibri"/>
                <w:sz w:val="21"/>
                <w:szCs w:val="21"/>
              </w:rPr>
            </w:pPr>
            <w:r>
              <w:rPr>
                <w:rFonts w:ascii="Calibri" w:hAnsi="Calibri" w:eastAsia="Calibri" w:cs="Calibri"/>
                <w:b/>
                <w:bCs/>
                <w:sz w:val="21"/>
                <w:szCs w:val="21"/>
              </w:rPr>
              <w:t>1000&lt;L</w:t>
            </w:r>
            <w:r>
              <w:rPr>
                <w:rFonts w:ascii="宋体" w:hAnsi="宋体" w:eastAsia="宋体" w:cs="宋体"/>
                <w:sz w:val="21"/>
                <w:szCs w:val="21"/>
              </w:rPr>
              <w:t>≤</w:t>
            </w:r>
            <w:r>
              <w:rPr>
                <w:rFonts w:ascii="Calibri" w:hAnsi="Calibri" w:eastAsia="Calibri" w:cs="Calibri"/>
                <w:b/>
                <w:bCs/>
                <w:sz w:val="21"/>
                <w:szCs w:val="21"/>
              </w:rPr>
              <w:t>2000</w:t>
            </w:r>
          </w:p>
        </w:tc>
        <w:tc>
          <w:tcPr>
            <w:tcW w:w="1931" w:type="dxa"/>
            <w:gridSpan w:val="3"/>
            <w:tcBorders>
              <w:tl2br w:val="nil"/>
              <w:tr2bl w:val="nil"/>
            </w:tcBorders>
          </w:tcPr>
          <w:p>
            <w:pPr>
              <w:pStyle w:val="4069"/>
              <w:spacing w:line="240" w:lineRule="auto"/>
              <w:ind w:left="603" w:right="0"/>
              <w:jc w:val="left"/>
              <w:rPr>
                <w:rFonts w:ascii="Calibri" w:hAnsi="Calibri" w:eastAsia="Calibri" w:cs="Calibri"/>
                <w:sz w:val="21"/>
                <w:szCs w:val="21"/>
              </w:rPr>
            </w:pPr>
            <w:r>
              <w:rPr>
                <w:rFonts w:ascii="Calibri" w:hAnsi="Calibri" w:eastAsia="Calibri" w:cs="Calibri"/>
                <w:b/>
                <w:bCs/>
                <w:spacing w:val="-1"/>
                <w:sz w:val="21"/>
                <w:szCs w:val="21"/>
              </w:rPr>
              <w:t>L</w:t>
            </w:r>
            <w:r>
              <w:rPr>
                <w:rFonts w:ascii="宋体" w:hAnsi="宋体" w:eastAsia="宋体" w:cs="宋体"/>
                <w:spacing w:val="-1"/>
                <w:sz w:val="21"/>
                <w:szCs w:val="21"/>
              </w:rPr>
              <w:t>≥</w:t>
            </w:r>
            <w:r>
              <w:rPr>
                <w:rFonts w:ascii="Calibri" w:hAnsi="Calibri" w:eastAsia="Calibri" w:cs="Calibri"/>
                <w:b/>
                <w:bCs/>
                <w:spacing w:val="-1"/>
                <w:sz w:val="21"/>
                <w:szCs w:val="21"/>
              </w:rPr>
              <w:t>2000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9" w:hRule="exact"/>
        </w:trPr>
        <w:tc>
          <w:tcPr>
            <w:tcW w:w="1021" w:type="dxa"/>
            <w:vMerge w:val="continue"/>
            <w:tcBorders>
              <w:tl2br w:val="nil"/>
              <w:tr2bl w:val="nil"/>
            </w:tcBorders>
          </w:tcPr>
          <w:p/>
        </w:tc>
        <w:tc>
          <w:tcPr>
            <w:tcW w:w="1690" w:type="dxa"/>
            <w:vMerge w:val="continue"/>
            <w:tcBorders>
              <w:tl2br w:val="nil"/>
              <w:tr2bl w:val="nil"/>
            </w:tcBorders>
          </w:tcPr>
          <w:p/>
        </w:tc>
        <w:tc>
          <w:tcPr>
            <w:tcW w:w="5807" w:type="dxa"/>
            <w:gridSpan w:val="10"/>
            <w:tcBorders>
              <w:tl2br w:val="nil"/>
              <w:tr2bl w:val="nil"/>
            </w:tcBorders>
          </w:tcPr>
          <w:p>
            <w:pPr>
              <w:pStyle w:val="4069"/>
              <w:spacing w:line="271" w:lineRule="exact"/>
              <w:ind w:left="1538" w:right="0"/>
              <w:jc w:val="left"/>
              <w:rPr>
                <w:rFonts w:ascii="宋体" w:hAnsi="宋体" w:eastAsia="宋体" w:cs="宋体"/>
                <w:sz w:val="21"/>
                <w:szCs w:val="21"/>
              </w:rPr>
            </w:pPr>
            <w:r>
              <w:rPr>
                <w:rFonts w:ascii="宋体" w:hAnsi="宋体" w:eastAsia="宋体" w:cs="宋体"/>
                <w:sz w:val="21"/>
                <w:szCs w:val="21"/>
              </w:rPr>
              <w:t>工业企业大气污染物构成类别</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0" w:hRule="exact"/>
        </w:trPr>
        <w:tc>
          <w:tcPr>
            <w:tcW w:w="1021" w:type="dxa"/>
            <w:vMerge w:val="continue"/>
            <w:tcBorders>
              <w:tl2br w:val="nil"/>
              <w:tr2bl w:val="nil"/>
            </w:tcBorders>
          </w:tcPr>
          <w:p/>
        </w:tc>
        <w:tc>
          <w:tcPr>
            <w:tcW w:w="1690" w:type="dxa"/>
            <w:vMerge w:val="continue"/>
            <w:tcBorders>
              <w:tl2br w:val="nil"/>
              <w:tr2bl w:val="nil"/>
            </w:tcBorders>
          </w:tcPr>
          <w:p/>
        </w:tc>
        <w:tc>
          <w:tcPr>
            <w:tcW w:w="646" w:type="dxa"/>
            <w:tcBorders>
              <w:tl2br w:val="nil"/>
              <w:tr2bl w:val="nil"/>
            </w:tcBorders>
          </w:tcPr>
          <w:p>
            <w:pPr>
              <w:pStyle w:val="4069"/>
              <w:spacing w:before="39" w:line="240" w:lineRule="auto"/>
              <w:ind w:left="0" w:right="0"/>
              <w:jc w:val="center"/>
              <w:rPr>
                <w:rFonts w:ascii="Calibri" w:hAnsi="Calibri" w:eastAsia="Calibri" w:cs="Calibri"/>
                <w:sz w:val="21"/>
                <w:szCs w:val="21"/>
              </w:rPr>
            </w:pPr>
            <w:r>
              <w:rPr>
                <w:rFonts w:ascii="Calibri"/>
                <w:b/>
                <w:sz w:val="21"/>
              </w:rPr>
              <w:t>I</w:t>
            </w:r>
          </w:p>
        </w:tc>
        <w:tc>
          <w:tcPr>
            <w:tcW w:w="644" w:type="dxa"/>
            <w:tcBorders>
              <w:tl2br w:val="nil"/>
              <w:tr2bl w:val="nil"/>
            </w:tcBorders>
          </w:tcPr>
          <w:p>
            <w:pPr>
              <w:pStyle w:val="4069"/>
              <w:spacing w:before="39" w:line="240" w:lineRule="auto"/>
              <w:ind w:left="0" w:right="0"/>
              <w:jc w:val="center"/>
              <w:rPr>
                <w:rFonts w:ascii="Calibri" w:hAnsi="Calibri" w:eastAsia="Calibri" w:cs="Calibri"/>
                <w:sz w:val="21"/>
                <w:szCs w:val="21"/>
              </w:rPr>
            </w:pPr>
            <w:r>
              <w:rPr>
                <w:rFonts w:ascii="Calibri"/>
                <w:b/>
                <w:sz w:val="21"/>
              </w:rPr>
              <w:t>II</w:t>
            </w:r>
          </w:p>
        </w:tc>
        <w:tc>
          <w:tcPr>
            <w:tcW w:w="605" w:type="dxa"/>
            <w:tcBorders>
              <w:tl2br w:val="nil"/>
              <w:tr2bl w:val="nil"/>
            </w:tcBorders>
          </w:tcPr>
          <w:p>
            <w:pPr>
              <w:pStyle w:val="4069"/>
              <w:spacing w:before="39" w:line="240" w:lineRule="auto"/>
              <w:ind w:left="1" w:right="0"/>
              <w:jc w:val="center"/>
              <w:rPr>
                <w:rFonts w:ascii="Calibri" w:hAnsi="Calibri" w:eastAsia="Calibri" w:cs="Calibri"/>
                <w:sz w:val="21"/>
                <w:szCs w:val="21"/>
              </w:rPr>
            </w:pPr>
            <w:r>
              <w:rPr>
                <w:rFonts w:ascii="Calibri"/>
                <w:b/>
                <w:spacing w:val="-1"/>
                <w:sz w:val="21"/>
              </w:rPr>
              <w:t>III</w:t>
            </w:r>
          </w:p>
        </w:tc>
        <w:tc>
          <w:tcPr>
            <w:tcW w:w="689" w:type="dxa"/>
            <w:gridSpan w:val="2"/>
            <w:tcBorders>
              <w:tl2br w:val="nil"/>
              <w:tr2bl w:val="nil"/>
            </w:tcBorders>
          </w:tcPr>
          <w:p>
            <w:pPr>
              <w:pStyle w:val="4069"/>
              <w:spacing w:before="39" w:line="240" w:lineRule="auto"/>
              <w:ind w:right="0"/>
              <w:jc w:val="center"/>
              <w:rPr>
                <w:rFonts w:ascii="Calibri" w:hAnsi="Calibri" w:eastAsia="Calibri" w:cs="Calibri"/>
                <w:sz w:val="21"/>
                <w:szCs w:val="21"/>
              </w:rPr>
            </w:pPr>
            <w:r>
              <w:rPr>
                <w:rFonts w:ascii="Calibri"/>
                <w:b/>
                <w:sz w:val="21"/>
              </w:rPr>
              <w:t>I</w:t>
            </w:r>
          </w:p>
        </w:tc>
        <w:tc>
          <w:tcPr>
            <w:tcW w:w="644" w:type="dxa"/>
            <w:tcBorders>
              <w:tl2br w:val="nil"/>
              <w:tr2bl w:val="nil"/>
            </w:tcBorders>
          </w:tcPr>
          <w:p>
            <w:pPr>
              <w:pStyle w:val="4069"/>
              <w:spacing w:before="39" w:line="240" w:lineRule="auto"/>
              <w:ind w:left="1" w:right="0"/>
              <w:jc w:val="center"/>
              <w:rPr>
                <w:rFonts w:ascii="Calibri" w:hAnsi="Calibri" w:eastAsia="Calibri" w:cs="Calibri"/>
                <w:sz w:val="21"/>
                <w:szCs w:val="21"/>
              </w:rPr>
            </w:pPr>
            <w:r>
              <w:rPr>
                <w:rFonts w:ascii="Calibri"/>
                <w:b/>
                <w:sz w:val="21"/>
              </w:rPr>
              <w:t>II</w:t>
            </w:r>
          </w:p>
        </w:tc>
        <w:tc>
          <w:tcPr>
            <w:tcW w:w="648" w:type="dxa"/>
            <w:tcBorders>
              <w:tl2br w:val="nil"/>
              <w:tr2bl w:val="nil"/>
            </w:tcBorders>
          </w:tcPr>
          <w:p>
            <w:pPr>
              <w:pStyle w:val="4069"/>
              <w:spacing w:before="39" w:line="240" w:lineRule="auto"/>
              <w:ind w:left="12" w:right="0"/>
              <w:jc w:val="center"/>
              <w:rPr>
                <w:rFonts w:ascii="Calibri" w:hAnsi="Calibri" w:eastAsia="Calibri" w:cs="Calibri"/>
                <w:sz w:val="21"/>
                <w:szCs w:val="21"/>
              </w:rPr>
            </w:pPr>
            <w:r>
              <w:rPr>
                <w:rFonts w:ascii="Calibri"/>
                <w:b/>
                <w:spacing w:val="-1"/>
                <w:sz w:val="21"/>
              </w:rPr>
              <w:t>III</w:t>
            </w:r>
          </w:p>
        </w:tc>
        <w:tc>
          <w:tcPr>
            <w:tcW w:w="634" w:type="dxa"/>
            <w:tcBorders>
              <w:tl2br w:val="nil"/>
              <w:tr2bl w:val="nil"/>
            </w:tcBorders>
          </w:tcPr>
          <w:p>
            <w:pPr>
              <w:pStyle w:val="4069"/>
              <w:spacing w:before="39" w:line="240" w:lineRule="auto"/>
              <w:ind w:left="0" w:right="0"/>
              <w:jc w:val="center"/>
              <w:rPr>
                <w:rFonts w:ascii="Calibri" w:hAnsi="Calibri" w:eastAsia="Calibri" w:cs="Calibri"/>
                <w:sz w:val="21"/>
                <w:szCs w:val="21"/>
              </w:rPr>
            </w:pPr>
            <w:r>
              <w:rPr>
                <w:rFonts w:ascii="Calibri"/>
                <w:b/>
                <w:sz w:val="21"/>
              </w:rPr>
              <w:t>I</w:t>
            </w:r>
          </w:p>
        </w:tc>
        <w:tc>
          <w:tcPr>
            <w:tcW w:w="644" w:type="dxa"/>
            <w:tcBorders>
              <w:tl2br w:val="nil"/>
              <w:tr2bl w:val="nil"/>
            </w:tcBorders>
          </w:tcPr>
          <w:p>
            <w:pPr>
              <w:pStyle w:val="4069"/>
              <w:spacing w:before="39" w:line="240" w:lineRule="auto"/>
              <w:ind w:left="3" w:right="0"/>
              <w:jc w:val="center"/>
              <w:rPr>
                <w:rFonts w:ascii="Calibri" w:hAnsi="Calibri" w:eastAsia="Calibri" w:cs="Calibri"/>
                <w:sz w:val="21"/>
                <w:szCs w:val="21"/>
              </w:rPr>
            </w:pPr>
            <w:r>
              <w:rPr>
                <w:rFonts w:ascii="Calibri"/>
                <w:b/>
                <w:sz w:val="21"/>
              </w:rPr>
              <w:t>II</w:t>
            </w:r>
          </w:p>
        </w:tc>
        <w:tc>
          <w:tcPr>
            <w:tcW w:w="653" w:type="dxa"/>
            <w:tcBorders>
              <w:tl2br w:val="nil"/>
              <w:tr2bl w:val="nil"/>
            </w:tcBorders>
          </w:tcPr>
          <w:p>
            <w:pPr>
              <w:pStyle w:val="4069"/>
              <w:spacing w:before="39" w:line="240" w:lineRule="auto"/>
              <w:ind w:left="11" w:right="0"/>
              <w:jc w:val="center"/>
              <w:rPr>
                <w:rFonts w:ascii="Calibri" w:hAnsi="Calibri" w:eastAsia="Calibri" w:cs="Calibri"/>
                <w:sz w:val="21"/>
                <w:szCs w:val="21"/>
              </w:rPr>
            </w:pPr>
            <w:r>
              <w:rPr>
                <w:rFonts w:ascii="Calibri"/>
                <w:b/>
                <w:spacing w:val="-1"/>
                <w:sz w:val="21"/>
              </w:rPr>
              <w:t>III</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94" w:hRule="exact"/>
        </w:trPr>
        <w:tc>
          <w:tcPr>
            <w:tcW w:w="1021" w:type="dxa"/>
            <w:tcBorders>
              <w:tl2br w:val="nil"/>
              <w:tr2bl w:val="nil"/>
            </w:tcBorders>
          </w:tcPr>
          <w:p>
            <w:pPr>
              <w:pStyle w:val="4069"/>
              <w:spacing w:before="2" w:line="260" w:lineRule="exact"/>
              <w:ind w:right="0"/>
              <w:jc w:val="left"/>
              <w:rPr>
                <w:sz w:val="26"/>
                <w:szCs w:val="26"/>
              </w:rPr>
            </w:pPr>
          </w:p>
          <w:p>
            <w:pPr>
              <w:pStyle w:val="4069"/>
              <w:spacing w:line="240" w:lineRule="auto"/>
              <w:ind w:right="9"/>
              <w:jc w:val="center"/>
              <w:rPr>
                <w:rFonts w:ascii="Calibri" w:hAnsi="Calibri" w:eastAsia="Calibri" w:cs="Calibri"/>
                <w:sz w:val="21"/>
                <w:szCs w:val="21"/>
              </w:rPr>
            </w:pPr>
            <w:r>
              <w:rPr>
                <w:rFonts w:ascii="Calibri"/>
                <w:sz w:val="21"/>
              </w:rPr>
              <w:t>A</w:t>
            </w:r>
          </w:p>
        </w:tc>
        <w:tc>
          <w:tcPr>
            <w:tcW w:w="1690" w:type="dxa"/>
            <w:tcBorders>
              <w:tl2br w:val="nil"/>
              <w:tr2bl w:val="nil"/>
            </w:tcBorders>
          </w:tcPr>
          <w:p>
            <w:pPr>
              <w:pStyle w:val="4069"/>
              <w:spacing w:line="239" w:lineRule="exact"/>
              <w:ind w:left="715" w:right="716"/>
              <w:jc w:val="center"/>
              <w:rPr>
                <w:rFonts w:ascii="Calibri" w:hAnsi="Calibri" w:eastAsia="Calibri" w:cs="Calibri"/>
                <w:sz w:val="21"/>
                <w:szCs w:val="21"/>
              </w:rPr>
            </w:pPr>
            <w:r>
              <w:rPr>
                <w:rFonts w:ascii="Calibri"/>
                <w:spacing w:val="-1"/>
                <w:sz w:val="21"/>
              </w:rPr>
              <w:t>&lt;2</w:t>
            </w:r>
          </w:p>
          <w:p>
            <w:pPr>
              <w:pStyle w:val="4069"/>
              <w:spacing w:line="283" w:lineRule="exact"/>
              <w:ind w:right="0"/>
              <w:jc w:val="center"/>
              <w:rPr>
                <w:rFonts w:ascii="Calibri" w:hAnsi="Calibri" w:eastAsia="Calibri" w:cs="Calibri"/>
                <w:sz w:val="21"/>
                <w:szCs w:val="21"/>
              </w:rPr>
            </w:pPr>
            <w:r>
              <w:rPr>
                <w:rFonts w:ascii="Calibri" w:hAnsi="Calibri" w:eastAsia="Calibri" w:cs="Calibri"/>
                <w:spacing w:val="-1"/>
                <w:sz w:val="21"/>
                <w:szCs w:val="21"/>
              </w:rPr>
              <w:t>2</w:t>
            </w:r>
            <w:r>
              <w:rPr>
                <w:rFonts w:ascii="宋体" w:hAnsi="宋体" w:eastAsia="宋体" w:cs="宋体"/>
                <w:spacing w:val="-1"/>
                <w:sz w:val="21"/>
                <w:szCs w:val="21"/>
              </w:rPr>
              <w:t>～</w:t>
            </w:r>
            <w:r>
              <w:rPr>
                <w:rFonts w:ascii="Calibri" w:hAnsi="Calibri" w:eastAsia="Calibri" w:cs="Calibri"/>
                <w:spacing w:val="-1"/>
                <w:sz w:val="21"/>
                <w:szCs w:val="21"/>
              </w:rPr>
              <w:t>4</w:t>
            </w:r>
          </w:p>
          <w:p>
            <w:pPr>
              <w:pStyle w:val="4069"/>
              <w:spacing w:before="4" w:line="240" w:lineRule="auto"/>
              <w:ind w:left="715" w:right="716"/>
              <w:jc w:val="center"/>
              <w:rPr>
                <w:rFonts w:ascii="Calibri" w:hAnsi="Calibri" w:eastAsia="Calibri" w:cs="Calibri"/>
                <w:sz w:val="21"/>
                <w:szCs w:val="21"/>
              </w:rPr>
            </w:pPr>
            <w:r>
              <w:rPr>
                <w:rFonts w:ascii="Calibri"/>
                <w:spacing w:val="-1"/>
                <w:sz w:val="21"/>
              </w:rPr>
              <w:t>&gt;4</w:t>
            </w:r>
          </w:p>
        </w:tc>
        <w:tc>
          <w:tcPr>
            <w:tcW w:w="646" w:type="dxa"/>
            <w:tcBorders>
              <w:tl2br w:val="nil"/>
              <w:tr2bl w:val="nil"/>
            </w:tcBorders>
          </w:tcPr>
          <w:p>
            <w:pPr>
              <w:pStyle w:val="4069"/>
              <w:spacing w:before="5" w:line="256" w:lineRule="exact"/>
              <w:ind w:left="158" w:right="0"/>
              <w:jc w:val="left"/>
              <w:rPr>
                <w:rFonts w:ascii="Calibri" w:hAnsi="Calibri" w:eastAsia="Calibri" w:cs="Calibri"/>
                <w:sz w:val="21"/>
                <w:szCs w:val="21"/>
              </w:rPr>
            </w:pPr>
            <w:r>
              <w:rPr>
                <w:rFonts w:ascii="Calibri"/>
                <w:sz w:val="21"/>
              </w:rPr>
              <w:t>400</w:t>
            </w:r>
          </w:p>
          <w:p>
            <w:pPr>
              <w:pStyle w:val="4069"/>
              <w:spacing w:line="256" w:lineRule="exact"/>
              <w:ind w:left="158" w:right="0"/>
              <w:jc w:val="left"/>
              <w:rPr>
                <w:rFonts w:ascii="Calibri" w:hAnsi="Calibri" w:eastAsia="Calibri" w:cs="Calibri"/>
                <w:sz w:val="21"/>
                <w:szCs w:val="21"/>
              </w:rPr>
            </w:pPr>
            <w:r>
              <w:rPr>
                <w:rFonts w:ascii="Calibri"/>
                <w:sz w:val="21"/>
              </w:rPr>
              <w:t>700</w:t>
            </w:r>
          </w:p>
          <w:p>
            <w:pPr>
              <w:pStyle w:val="4069"/>
              <w:spacing w:line="256" w:lineRule="exact"/>
              <w:ind w:left="158" w:right="0"/>
              <w:jc w:val="left"/>
              <w:rPr>
                <w:rFonts w:ascii="Calibri" w:hAnsi="Calibri" w:eastAsia="Calibri" w:cs="Calibri"/>
                <w:sz w:val="21"/>
                <w:szCs w:val="21"/>
              </w:rPr>
            </w:pPr>
            <w:r>
              <w:rPr>
                <w:rFonts w:ascii="Calibri"/>
                <w:sz w:val="21"/>
              </w:rPr>
              <w:t>530</w:t>
            </w:r>
          </w:p>
        </w:tc>
        <w:tc>
          <w:tcPr>
            <w:tcW w:w="644" w:type="dxa"/>
            <w:tcBorders>
              <w:tl2br w:val="nil"/>
              <w:tr2bl w:val="nil"/>
            </w:tcBorders>
          </w:tcPr>
          <w:p>
            <w:pPr>
              <w:pStyle w:val="4069"/>
              <w:spacing w:before="5" w:line="256" w:lineRule="exact"/>
              <w:ind w:left="157" w:right="0"/>
              <w:jc w:val="left"/>
              <w:rPr>
                <w:rFonts w:ascii="Calibri" w:hAnsi="Calibri" w:eastAsia="Calibri" w:cs="Calibri"/>
                <w:sz w:val="21"/>
                <w:szCs w:val="21"/>
              </w:rPr>
            </w:pPr>
            <w:r>
              <w:rPr>
                <w:rFonts w:ascii="Calibri"/>
                <w:sz w:val="21"/>
              </w:rPr>
              <w:t>400</w:t>
            </w:r>
          </w:p>
          <w:p>
            <w:pPr>
              <w:pStyle w:val="4069"/>
              <w:spacing w:line="256" w:lineRule="exact"/>
              <w:ind w:left="157" w:right="0"/>
              <w:jc w:val="left"/>
              <w:rPr>
                <w:rFonts w:ascii="Calibri" w:hAnsi="Calibri" w:eastAsia="Calibri" w:cs="Calibri"/>
                <w:sz w:val="21"/>
                <w:szCs w:val="21"/>
              </w:rPr>
            </w:pPr>
            <w:r>
              <w:rPr>
                <w:rFonts w:ascii="Calibri"/>
                <w:sz w:val="21"/>
              </w:rPr>
              <w:t>470</w:t>
            </w:r>
          </w:p>
          <w:p>
            <w:pPr>
              <w:pStyle w:val="4069"/>
              <w:spacing w:line="256" w:lineRule="exact"/>
              <w:ind w:left="157" w:right="0"/>
              <w:jc w:val="left"/>
              <w:rPr>
                <w:rFonts w:ascii="Calibri" w:hAnsi="Calibri" w:eastAsia="Calibri" w:cs="Calibri"/>
                <w:sz w:val="21"/>
                <w:szCs w:val="21"/>
              </w:rPr>
            </w:pPr>
            <w:r>
              <w:rPr>
                <w:rFonts w:ascii="Calibri"/>
                <w:sz w:val="21"/>
              </w:rPr>
              <w:t>350</w:t>
            </w:r>
          </w:p>
        </w:tc>
        <w:tc>
          <w:tcPr>
            <w:tcW w:w="605" w:type="dxa"/>
            <w:tcBorders>
              <w:tl2br w:val="nil"/>
              <w:tr2bl w:val="nil"/>
            </w:tcBorders>
          </w:tcPr>
          <w:p>
            <w:pPr>
              <w:pStyle w:val="4069"/>
              <w:spacing w:before="5" w:line="256" w:lineRule="exact"/>
              <w:ind w:left="137" w:right="0"/>
              <w:jc w:val="left"/>
              <w:rPr>
                <w:rFonts w:ascii="Calibri" w:hAnsi="Calibri" w:eastAsia="Calibri" w:cs="Calibri"/>
                <w:sz w:val="21"/>
                <w:szCs w:val="21"/>
              </w:rPr>
            </w:pPr>
            <w:r>
              <w:rPr>
                <w:rFonts w:ascii="Calibri"/>
                <w:sz w:val="21"/>
              </w:rPr>
              <w:t>400</w:t>
            </w:r>
          </w:p>
          <w:p>
            <w:pPr>
              <w:pStyle w:val="4069"/>
              <w:spacing w:line="256" w:lineRule="exact"/>
              <w:ind w:left="137" w:right="0"/>
              <w:jc w:val="left"/>
              <w:rPr>
                <w:rFonts w:ascii="Calibri" w:hAnsi="Calibri" w:eastAsia="Calibri" w:cs="Calibri"/>
                <w:sz w:val="21"/>
                <w:szCs w:val="21"/>
              </w:rPr>
            </w:pPr>
            <w:r>
              <w:rPr>
                <w:rFonts w:ascii="Calibri"/>
                <w:sz w:val="21"/>
              </w:rPr>
              <w:t>350</w:t>
            </w:r>
          </w:p>
          <w:p>
            <w:pPr>
              <w:pStyle w:val="4069"/>
              <w:spacing w:line="256" w:lineRule="exact"/>
              <w:ind w:left="137" w:right="0"/>
              <w:jc w:val="left"/>
              <w:rPr>
                <w:rFonts w:ascii="Calibri" w:hAnsi="Calibri" w:eastAsia="Calibri" w:cs="Calibri"/>
                <w:sz w:val="21"/>
                <w:szCs w:val="21"/>
              </w:rPr>
            </w:pPr>
            <w:r>
              <w:rPr>
                <w:rFonts w:ascii="Calibri"/>
                <w:sz w:val="21"/>
              </w:rPr>
              <w:t>260</w:t>
            </w:r>
          </w:p>
        </w:tc>
        <w:tc>
          <w:tcPr>
            <w:tcW w:w="689" w:type="dxa"/>
            <w:gridSpan w:val="2"/>
            <w:tcBorders>
              <w:tl2br w:val="nil"/>
              <w:tr2bl w:val="nil"/>
            </w:tcBorders>
          </w:tcPr>
          <w:p>
            <w:pPr>
              <w:pStyle w:val="4069"/>
              <w:spacing w:before="5" w:line="256" w:lineRule="exact"/>
              <w:ind w:left="179" w:right="0"/>
              <w:jc w:val="left"/>
              <w:rPr>
                <w:rFonts w:ascii="Calibri" w:hAnsi="Calibri" w:eastAsia="Calibri" w:cs="Calibri"/>
                <w:sz w:val="21"/>
                <w:szCs w:val="21"/>
              </w:rPr>
            </w:pPr>
            <w:r>
              <w:rPr>
                <w:rFonts w:ascii="Calibri"/>
                <w:sz w:val="21"/>
              </w:rPr>
              <w:t>400</w:t>
            </w:r>
          </w:p>
          <w:p>
            <w:pPr>
              <w:pStyle w:val="4069"/>
              <w:spacing w:line="256" w:lineRule="exact"/>
              <w:ind w:left="179" w:right="0"/>
              <w:jc w:val="left"/>
              <w:rPr>
                <w:rFonts w:ascii="Calibri" w:hAnsi="Calibri" w:eastAsia="Calibri" w:cs="Calibri"/>
                <w:sz w:val="21"/>
                <w:szCs w:val="21"/>
              </w:rPr>
            </w:pPr>
            <w:r>
              <w:rPr>
                <w:rFonts w:ascii="Calibri"/>
                <w:sz w:val="21"/>
              </w:rPr>
              <w:t>700</w:t>
            </w:r>
          </w:p>
          <w:p>
            <w:pPr>
              <w:pStyle w:val="4069"/>
              <w:spacing w:line="256" w:lineRule="exact"/>
              <w:ind w:left="179" w:right="0"/>
              <w:jc w:val="left"/>
              <w:rPr>
                <w:rFonts w:ascii="Calibri" w:hAnsi="Calibri" w:eastAsia="Calibri" w:cs="Calibri"/>
                <w:sz w:val="21"/>
                <w:szCs w:val="21"/>
              </w:rPr>
            </w:pPr>
            <w:r>
              <w:rPr>
                <w:rFonts w:ascii="Calibri"/>
                <w:sz w:val="21"/>
              </w:rPr>
              <w:t>530</w:t>
            </w:r>
          </w:p>
        </w:tc>
        <w:tc>
          <w:tcPr>
            <w:tcW w:w="644" w:type="dxa"/>
            <w:tcBorders>
              <w:tl2br w:val="nil"/>
              <w:tr2bl w:val="nil"/>
            </w:tcBorders>
          </w:tcPr>
          <w:p>
            <w:pPr>
              <w:pStyle w:val="4069"/>
              <w:spacing w:before="5" w:line="256" w:lineRule="exact"/>
              <w:ind w:left="157" w:right="0"/>
              <w:jc w:val="left"/>
              <w:rPr>
                <w:rFonts w:ascii="Calibri" w:hAnsi="Calibri" w:eastAsia="Calibri" w:cs="Calibri"/>
                <w:sz w:val="21"/>
                <w:szCs w:val="21"/>
              </w:rPr>
            </w:pPr>
            <w:r>
              <w:rPr>
                <w:rFonts w:ascii="Calibri"/>
                <w:sz w:val="21"/>
              </w:rPr>
              <w:t>400</w:t>
            </w:r>
          </w:p>
          <w:p>
            <w:pPr>
              <w:pStyle w:val="4069"/>
              <w:spacing w:line="256" w:lineRule="exact"/>
              <w:ind w:left="157" w:right="0"/>
              <w:jc w:val="left"/>
              <w:rPr>
                <w:rFonts w:ascii="Calibri" w:hAnsi="Calibri" w:eastAsia="Calibri" w:cs="Calibri"/>
                <w:sz w:val="21"/>
                <w:szCs w:val="21"/>
              </w:rPr>
            </w:pPr>
            <w:r>
              <w:rPr>
                <w:rFonts w:ascii="Calibri"/>
                <w:sz w:val="21"/>
              </w:rPr>
              <w:t>470</w:t>
            </w:r>
          </w:p>
          <w:p>
            <w:pPr>
              <w:pStyle w:val="4069"/>
              <w:spacing w:line="256" w:lineRule="exact"/>
              <w:ind w:left="157" w:right="0"/>
              <w:jc w:val="left"/>
              <w:rPr>
                <w:rFonts w:ascii="Calibri" w:hAnsi="Calibri" w:eastAsia="Calibri" w:cs="Calibri"/>
                <w:sz w:val="21"/>
                <w:szCs w:val="21"/>
              </w:rPr>
            </w:pPr>
            <w:r>
              <w:rPr>
                <w:rFonts w:ascii="Calibri"/>
                <w:sz w:val="21"/>
              </w:rPr>
              <w:t>350</w:t>
            </w:r>
          </w:p>
        </w:tc>
        <w:tc>
          <w:tcPr>
            <w:tcW w:w="648" w:type="dxa"/>
            <w:tcBorders>
              <w:tl2br w:val="nil"/>
              <w:tr2bl w:val="nil"/>
            </w:tcBorders>
          </w:tcPr>
          <w:p>
            <w:pPr>
              <w:pStyle w:val="4069"/>
              <w:spacing w:before="5" w:line="256" w:lineRule="exact"/>
              <w:ind w:left="164" w:right="0"/>
              <w:jc w:val="left"/>
              <w:rPr>
                <w:rFonts w:ascii="Calibri" w:hAnsi="Calibri" w:eastAsia="Calibri" w:cs="Calibri"/>
                <w:sz w:val="21"/>
                <w:szCs w:val="21"/>
              </w:rPr>
            </w:pPr>
            <w:r>
              <w:rPr>
                <w:rFonts w:ascii="Calibri"/>
                <w:sz w:val="21"/>
              </w:rPr>
              <w:t>400</w:t>
            </w:r>
          </w:p>
          <w:p>
            <w:pPr>
              <w:pStyle w:val="4069"/>
              <w:spacing w:line="256" w:lineRule="exact"/>
              <w:ind w:left="164" w:right="0"/>
              <w:jc w:val="left"/>
              <w:rPr>
                <w:rFonts w:ascii="Calibri" w:hAnsi="Calibri" w:eastAsia="Calibri" w:cs="Calibri"/>
                <w:sz w:val="21"/>
                <w:szCs w:val="21"/>
              </w:rPr>
            </w:pPr>
            <w:r>
              <w:rPr>
                <w:rFonts w:ascii="Calibri"/>
                <w:sz w:val="21"/>
              </w:rPr>
              <w:t>350</w:t>
            </w:r>
          </w:p>
          <w:p>
            <w:pPr>
              <w:pStyle w:val="4069"/>
              <w:spacing w:line="256" w:lineRule="exact"/>
              <w:ind w:left="164" w:right="0"/>
              <w:jc w:val="left"/>
              <w:rPr>
                <w:rFonts w:ascii="Calibri" w:hAnsi="Calibri" w:eastAsia="Calibri" w:cs="Calibri"/>
                <w:sz w:val="21"/>
                <w:szCs w:val="21"/>
              </w:rPr>
            </w:pPr>
            <w:r>
              <w:rPr>
                <w:rFonts w:ascii="Calibri"/>
                <w:sz w:val="21"/>
              </w:rPr>
              <w:t>260</w:t>
            </w:r>
          </w:p>
        </w:tc>
        <w:tc>
          <w:tcPr>
            <w:tcW w:w="634" w:type="dxa"/>
            <w:tcBorders>
              <w:tl2br w:val="nil"/>
              <w:tr2bl w:val="nil"/>
            </w:tcBorders>
          </w:tcPr>
          <w:p>
            <w:pPr>
              <w:pStyle w:val="4069"/>
              <w:spacing w:before="5" w:line="256" w:lineRule="exact"/>
              <w:ind w:left="205" w:right="0"/>
              <w:jc w:val="left"/>
              <w:rPr>
                <w:rFonts w:ascii="Calibri" w:hAnsi="Calibri" w:eastAsia="Calibri" w:cs="Calibri"/>
                <w:sz w:val="21"/>
                <w:szCs w:val="21"/>
              </w:rPr>
            </w:pPr>
            <w:r>
              <w:rPr>
                <w:rFonts w:ascii="Calibri"/>
                <w:sz w:val="21"/>
              </w:rPr>
              <w:t>80</w:t>
            </w:r>
          </w:p>
          <w:p>
            <w:pPr>
              <w:pStyle w:val="4069"/>
              <w:spacing w:line="256" w:lineRule="exact"/>
              <w:ind w:left="152" w:right="0"/>
              <w:jc w:val="left"/>
              <w:rPr>
                <w:rFonts w:ascii="Calibri" w:hAnsi="Calibri" w:eastAsia="Calibri" w:cs="Calibri"/>
                <w:sz w:val="21"/>
                <w:szCs w:val="21"/>
              </w:rPr>
            </w:pPr>
            <w:r>
              <w:rPr>
                <w:rFonts w:ascii="Calibri"/>
                <w:sz w:val="21"/>
              </w:rPr>
              <w:t>380</w:t>
            </w:r>
          </w:p>
          <w:p>
            <w:pPr>
              <w:pStyle w:val="4069"/>
              <w:spacing w:line="256" w:lineRule="exact"/>
              <w:ind w:left="152" w:right="0"/>
              <w:jc w:val="left"/>
              <w:rPr>
                <w:rFonts w:ascii="Calibri" w:hAnsi="Calibri" w:eastAsia="Calibri" w:cs="Calibri"/>
                <w:sz w:val="21"/>
                <w:szCs w:val="21"/>
              </w:rPr>
            </w:pPr>
            <w:r>
              <w:rPr>
                <w:rFonts w:ascii="Calibri"/>
                <w:sz w:val="21"/>
              </w:rPr>
              <w:t>290</w:t>
            </w:r>
          </w:p>
        </w:tc>
        <w:tc>
          <w:tcPr>
            <w:tcW w:w="644" w:type="dxa"/>
            <w:tcBorders>
              <w:tl2br w:val="nil"/>
              <w:tr2bl w:val="nil"/>
            </w:tcBorders>
          </w:tcPr>
          <w:p>
            <w:pPr>
              <w:pStyle w:val="4069"/>
              <w:spacing w:before="5" w:line="256" w:lineRule="exact"/>
              <w:ind w:left="209" w:right="0"/>
              <w:jc w:val="left"/>
              <w:rPr>
                <w:rFonts w:ascii="Calibri" w:hAnsi="Calibri" w:eastAsia="Calibri" w:cs="Calibri"/>
                <w:sz w:val="21"/>
                <w:szCs w:val="21"/>
              </w:rPr>
            </w:pPr>
            <w:r>
              <w:rPr>
                <w:rFonts w:ascii="Calibri"/>
                <w:sz w:val="21"/>
              </w:rPr>
              <w:t>80</w:t>
            </w:r>
          </w:p>
          <w:p>
            <w:pPr>
              <w:pStyle w:val="4069"/>
              <w:spacing w:line="256" w:lineRule="exact"/>
              <w:ind w:left="157" w:right="0"/>
              <w:jc w:val="left"/>
              <w:rPr>
                <w:rFonts w:ascii="Calibri" w:hAnsi="Calibri" w:eastAsia="Calibri" w:cs="Calibri"/>
                <w:sz w:val="21"/>
                <w:szCs w:val="21"/>
              </w:rPr>
            </w:pPr>
            <w:r>
              <w:rPr>
                <w:rFonts w:ascii="Calibri"/>
                <w:sz w:val="21"/>
              </w:rPr>
              <w:t>250</w:t>
            </w:r>
          </w:p>
          <w:p>
            <w:pPr>
              <w:pStyle w:val="4069"/>
              <w:spacing w:line="256" w:lineRule="exact"/>
              <w:ind w:left="157" w:right="0"/>
              <w:jc w:val="left"/>
              <w:rPr>
                <w:rFonts w:ascii="Calibri" w:hAnsi="Calibri" w:eastAsia="Calibri" w:cs="Calibri"/>
                <w:sz w:val="21"/>
                <w:szCs w:val="21"/>
              </w:rPr>
            </w:pPr>
            <w:r>
              <w:rPr>
                <w:rFonts w:ascii="Calibri"/>
                <w:sz w:val="21"/>
              </w:rPr>
              <w:t>190</w:t>
            </w:r>
          </w:p>
        </w:tc>
        <w:tc>
          <w:tcPr>
            <w:tcW w:w="653" w:type="dxa"/>
            <w:tcBorders>
              <w:tl2br w:val="nil"/>
              <w:tr2bl w:val="nil"/>
            </w:tcBorders>
          </w:tcPr>
          <w:p>
            <w:pPr>
              <w:pStyle w:val="4069"/>
              <w:spacing w:before="5" w:line="256" w:lineRule="exact"/>
              <w:ind w:left="214" w:right="0"/>
              <w:jc w:val="left"/>
              <w:rPr>
                <w:rFonts w:ascii="Calibri" w:hAnsi="Calibri" w:eastAsia="Calibri" w:cs="Calibri"/>
                <w:sz w:val="21"/>
                <w:szCs w:val="21"/>
              </w:rPr>
            </w:pPr>
            <w:r>
              <w:rPr>
                <w:rFonts w:ascii="Calibri"/>
                <w:spacing w:val="1"/>
                <w:sz w:val="21"/>
              </w:rPr>
              <w:t>80</w:t>
            </w:r>
          </w:p>
          <w:p>
            <w:pPr>
              <w:pStyle w:val="4069"/>
              <w:spacing w:line="256" w:lineRule="exact"/>
              <w:ind w:left="161" w:right="0"/>
              <w:jc w:val="left"/>
              <w:rPr>
                <w:rFonts w:ascii="Calibri" w:hAnsi="Calibri" w:eastAsia="Calibri" w:cs="Calibri"/>
                <w:sz w:val="21"/>
                <w:szCs w:val="21"/>
              </w:rPr>
            </w:pPr>
            <w:r>
              <w:rPr>
                <w:rFonts w:ascii="Calibri"/>
                <w:sz w:val="21"/>
              </w:rPr>
              <w:t>160</w:t>
            </w:r>
          </w:p>
          <w:p>
            <w:pPr>
              <w:pStyle w:val="4069"/>
              <w:spacing w:line="256" w:lineRule="exact"/>
              <w:ind w:left="161" w:right="0"/>
              <w:jc w:val="left"/>
              <w:rPr>
                <w:rFonts w:ascii="Calibri" w:hAnsi="Calibri" w:eastAsia="Calibri" w:cs="Calibri"/>
                <w:sz w:val="21"/>
                <w:szCs w:val="21"/>
              </w:rPr>
            </w:pPr>
            <w:r>
              <w:rPr>
                <w:rFonts w:ascii="Calibri"/>
                <w:sz w:val="21"/>
              </w:rPr>
              <w:t>140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exact"/>
        </w:trPr>
        <w:tc>
          <w:tcPr>
            <w:tcW w:w="1021" w:type="dxa"/>
            <w:tcBorders>
              <w:tl2br w:val="nil"/>
              <w:tr2bl w:val="nil"/>
            </w:tcBorders>
          </w:tcPr>
          <w:p>
            <w:pPr>
              <w:pStyle w:val="4069"/>
              <w:spacing w:before="125" w:line="240" w:lineRule="auto"/>
              <w:ind w:right="11"/>
              <w:jc w:val="center"/>
              <w:rPr>
                <w:rFonts w:ascii="Calibri" w:hAnsi="Calibri" w:eastAsia="Calibri" w:cs="Calibri"/>
                <w:sz w:val="21"/>
                <w:szCs w:val="21"/>
              </w:rPr>
            </w:pPr>
            <w:r>
              <w:rPr>
                <w:rFonts w:ascii="Calibri"/>
                <w:sz w:val="21"/>
              </w:rPr>
              <w:t>B</w:t>
            </w:r>
          </w:p>
        </w:tc>
        <w:tc>
          <w:tcPr>
            <w:tcW w:w="1690" w:type="dxa"/>
            <w:tcBorders>
              <w:tl2br w:val="nil"/>
              <w:tr2bl w:val="nil"/>
            </w:tcBorders>
          </w:tcPr>
          <w:p>
            <w:pPr>
              <w:pStyle w:val="4069"/>
              <w:spacing w:line="254" w:lineRule="exact"/>
              <w:ind w:left="715" w:right="716"/>
              <w:jc w:val="center"/>
              <w:rPr>
                <w:rFonts w:ascii="Calibri" w:hAnsi="Calibri" w:eastAsia="Calibri" w:cs="Calibri"/>
                <w:sz w:val="21"/>
                <w:szCs w:val="21"/>
              </w:rPr>
            </w:pPr>
            <w:r>
              <w:rPr>
                <w:rFonts w:ascii="Calibri"/>
                <w:spacing w:val="-1"/>
                <w:sz w:val="21"/>
              </w:rPr>
              <w:t>&lt;2</w:t>
            </w:r>
          </w:p>
          <w:p>
            <w:pPr>
              <w:pStyle w:val="4069"/>
              <w:spacing w:line="240" w:lineRule="auto"/>
              <w:ind w:left="715" w:right="716"/>
              <w:jc w:val="center"/>
              <w:rPr>
                <w:rFonts w:ascii="Calibri" w:hAnsi="Calibri" w:eastAsia="Calibri" w:cs="Calibri"/>
                <w:sz w:val="21"/>
                <w:szCs w:val="21"/>
              </w:rPr>
            </w:pPr>
            <w:r>
              <w:rPr>
                <w:rFonts w:ascii="Calibri"/>
                <w:spacing w:val="-1"/>
                <w:sz w:val="21"/>
              </w:rPr>
              <w:t>&gt;2</w:t>
            </w:r>
          </w:p>
        </w:tc>
        <w:tc>
          <w:tcPr>
            <w:tcW w:w="1895" w:type="dxa"/>
            <w:gridSpan w:val="3"/>
            <w:tcBorders>
              <w:tl2br w:val="nil"/>
              <w:tr2bl w:val="nil"/>
            </w:tcBorders>
          </w:tcPr>
          <w:p>
            <w:pPr>
              <w:pStyle w:val="4069"/>
              <w:spacing w:line="254" w:lineRule="exact"/>
              <w:ind w:left="2" w:right="0"/>
              <w:jc w:val="center"/>
              <w:rPr>
                <w:rFonts w:ascii="Calibri" w:hAnsi="Calibri" w:eastAsia="Calibri" w:cs="Calibri"/>
                <w:sz w:val="21"/>
                <w:szCs w:val="21"/>
              </w:rPr>
            </w:pPr>
            <w:r>
              <w:rPr>
                <w:rFonts w:ascii="Calibri"/>
                <w:sz w:val="21"/>
              </w:rPr>
              <w:t>0.01</w:t>
            </w:r>
          </w:p>
          <w:p>
            <w:pPr>
              <w:pStyle w:val="4069"/>
              <w:spacing w:line="240" w:lineRule="auto"/>
              <w:ind w:left="2" w:right="0"/>
              <w:jc w:val="center"/>
              <w:rPr>
                <w:rFonts w:ascii="Calibri" w:hAnsi="Calibri" w:eastAsia="Calibri" w:cs="Calibri"/>
                <w:sz w:val="21"/>
                <w:szCs w:val="21"/>
              </w:rPr>
            </w:pPr>
            <w:r>
              <w:rPr>
                <w:rFonts w:ascii="Calibri"/>
                <w:spacing w:val="-1"/>
                <w:sz w:val="21"/>
              </w:rPr>
              <w:t>0.021</w:t>
            </w:r>
          </w:p>
        </w:tc>
        <w:tc>
          <w:tcPr>
            <w:tcW w:w="1981" w:type="dxa"/>
            <w:gridSpan w:val="4"/>
            <w:tcBorders>
              <w:tl2br w:val="nil"/>
              <w:tr2bl w:val="nil"/>
            </w:tcBorders>
          </w:tcPr>
          <w:p>
            <w:pPr>
              <w:pStyle w:val="4069"/>
              <w:spacing w:line="254" w:lineRule="exact"/>
              <w:ind w:left="734" w:right="720"/>
              <w:jc w:val="center"/>
              <w:rPr>
                <w:rFonts w:ascii="Calibri" w:hAnsi="Calibri" w:eastAsia="Calibri" w:cs="Calibri"/>
                <w:sz w:val="21"/>
                <w:szCs w:val="21"/>
              </w:rPr>
            </w:pPr>
            <w:r>
              <w:rPr>
                <w:rFonts w:ascii="Calibri"/>
                <w:sz w:val="21"/>
              </w:rPr>
              <w:t>0.015</w:t>
            </w:r>
          </w:p>
          <w:p>
            <w:pPr>
              <w:pStyle w:val="4069"/>
              <w:spacing w:line="240" w:lineRule="auto"/>
              <w:ind w:left="734" w:right="720"/>
              <w:jc w:val="center"/>
              <w:rPr>
                <w:rFonts w:ascii="Calibri" w:hAnsi="Calibri" w:eastAsia="Calibri" w:cs="Calibri"/>
                <w:sz w:val="21"/>
                <w:szCs w:val="21"/>
              </w:rPr>
            </w:pPr>
            <w:r>
              <w:rPr>
                <w:rFonts w:ascii="Calibri"/>
                <w:sz w:val="21"/>
              </w:rPr>
              <w:t>0.036</w:t>
            </w:r>
          </w:p>
        </w:tc>
        <w:tc>
          <w:tcPr>
            <w:tcW w:w="1931" w:type="dxa"/>
            <w:gridSpan w:val="3"/>
            <w:tcBorders>
              <w:tl2br w:val="nil"/>
              <w:tr2bl w:val="nil"/>
            </w:tcBorders>
          </w:tcPr>
          <w:p>
            <w:pPr>
              <w:pStyle w:val="4069"/>
              <w:spacing w:line="254" w:lineRule="exact"/>
              <w:ind w:left="702" w:right="691"/>
              <w:jc w:val="center"/>
              <w:rPr>
                <w:rFonts w:ascii="Calibri" w:hAnsi="Calibri" w:eastAsia="Calibri" w:cs="Calibri"/>
                <w:sz w:val="21"/>
                <w:szCs w:val="21"/>
              </w:rPr>
            </w:pPr>
            <w:r>
              <w:rPr>
                <w:rFonts w:ascii="Calibri"/>
                <w:sz w:val="21"/>
              </w:rPr>
              <w:t>0.015</w:t>
            </w:r>
          </w:p>
          <w:p>
            <w:pPr>
              <w:pStyle w:val="4069"/>
              <w:spacing w:line="240" w:lineRule="auto"/>
              <w:ind w:left="702" w:right="691"/>
              <w:jc w:val="center"/>
              <w:rPr>
                <w:rFonts w:ascii="Calibri" w:hAnsi="Calibri" w:eastAsia="Calibri" w:cs="Calibri"/>
                <w:sz w:val="21"/>
                <w:szCs w:val="21"/>
              </w:rPr>
            </w:pPr>
            <w:r>
              <w:rPr>
                <w:rFonts w:ascii="Calibri"/>
                <w:sz w:val="21"/>
              </w:rPr>
              <w:t>0.036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2" w:hRule="exact"/>
        </w:trPr>
        <w:tc>
          <w:tcPr>
            <w:tcW w:w="1021" w:type="dxa"/>
            <w:tcBorders>
              <w:tl2br w:val="nil"/>
              <w:tr2bl w:val="nil"/>
            </w:tcBorders>
          </w:tcPr>
          <w:p>
            <w:pPr>
              <w:pStyle w:val="4069"/>
              <w:spacing w:before="125" w:line="240" w:lineRule="auto"/>
              <w:ind w:right="9"/>
              <w:jc w:val="center"/>
              <w:rPr>
                <w:rFonts w:ascii="Calibri" w:hAnsi="Calibri" w:eastAsia="Calibri" w:cs="Calibri"/>
                <w:sz w:val="21"/>
                <w:szCs w:val="21"/>
              </w:rPr>
            </w:pPr>
            <w:r>
              <w:rPr>
                <w:rFonts w:ascii="Calibri"/>
                <w:sz w:val="21"/>
              </w:rPr>
              <w:t>C</w:t>
            </w:r>
          </w:p>
        </w:tc>
        <w:tc>
          <w:tcPr>
            <w:tcW w:w="1690" w:type="dxa"/>
            <w:tcBorders>
              <w:tl2br w:val="nil"/>
              <w:tr2bl w:val="nil"/>
            </w:tcBorders>
          </w:tcPr>
          <w:p>
            <w:pPr>
              <w:pStyle w:val="4069"/>
              <w:spacing w:line="254" w:lineRule="exact"/>
              <w:ind w:left="715" w:right="716"/>
              <w:jc w:val="center"/>
              <w:rPr>
                <w:rFonts w:ascii="Calibri" w:hAnsi="Calibri" w:eastAsia="Calibri" w:cs="Calibri"/>
                <w:sz w:val="21"/>
                <w:szCs w:val="21"/>
              </w:rPr>
            </w:pPr>
            <w:r>
              <w:rPr>
                <w:rFonts w:ascii="Calibri"/>
                <w:spacing w:val="-1"/>
                <w:sz w:val="21"/>
              </w:rPr>
              <w:t>&lt;2</w:t>
            </w:r>
          </w:p>
          <w:p>
            <w:pPr>
              <w:pStyle w:val="4069"/>
              <w:spacing w:line="256" w:lineRule="exact"/>
              <w:ind w:left="715" w:right="716"/>
              <w:jc w:val="center"/>
              <w:rPr>
                <w:rFonts w:ascii="Calibri" w:hAnsi="Calibri" w:eastAsia="Calibri" w:cs="Calibri"/>
                <w:sz w:val="21"/>
                <w:szCs w:val="21"/>
              </w:rPr>
            </w:pPr>
            <w:r>
              <w:rPr>
                <w:rFonts w:ascii="Calibri"/>
                <w:spacing w:val="-1"/>
                <w:sz w:val="21"/>
              </w:rPr>
              <w:t>&gt;2</w:t>
            </w:r>
          </w:p>
        </w:tc>
        <w:tc>
          <w:tcPr>
            <w:tcW w:w="1895" w:type="dxa"/>
            <w:gridSpan w:val="3"/>
            <w:tcBorders>
              <w:tl2br w:val="nil"/>
              <w:tr2bl w:val="nil"/>
            </w:tcBorders>
          </w:tcPr>
          <w:p>
            <w:pPr>
              <w:pStyle w:val="4069"/>
              <w:spacing w:line="254" w:lineRule="exact"/>
              <w:ind w:left="738" w:right="735"/>
              <w:jc w:val="center"/>
              <w:rPr>
                <w:rFonts w:ascii="Calibri" w:hAnsi="Calibri" w:eastAsia="Calibri" w:cs="Calibri"/>
                <w:sz w:val="21"/>
                <w:szCs w:val="21"/>
              </w:rPr>
            </w:pPr>
            <w:r>
              <w:rPr>
                <w:rFonts w:ascii="Calibri"/>
                <w:sz w:val="21"/>
              </w:rPr>
              <w:t>1.85</w:t>
            </w:r>
          </w:p>
          <w:p>
            <w:pPr>
              <w:pStyle w:val="4069"/>
              <w:spacing w:line="256" w:lineRule="exact"/>
              <w:ind w:left="738" w:right="735"/>
              <w:jc w:val="center"/>
              <w:rPr>
                <w:rFonts w:ascii="Calibri" w:hAnsi="Calibri" w:eastAsia="Calibri" w:cs="Calibri"/>
                <w:sz w:val="21"/>
                <w:szCs w:val="21"/>
              </w:rPr>
            </w:pPr>
            <w:r>
              <w:rPr>
                <w:rFonts w:ascii="Calibri"/>
                <w:sz w:val="21"/>
              </w:rPr>
              <w:t>1.85</w:t>
            </w:r>
          </w:p>
        </w:tc>
        <w:tc>
          <w:tcPr>
            <w:tcW w:w="1981" w:type="dxa"/>
            <w:gridSpan w:val="4"/>
            <w:tcBorders>
              <w:tl2br w:val="nil"/>
              <w:tr2bl w:val="nil"/>
            </w:tcBorders>
          </w:tcPr>
          <w:p>
            <w:pPr>
              <w:pStyle w:val="4069"/>
              <w:spacing w:line="254" w:lineRule="exact"/>
              <w:ind w:left="786" w:right="773"/>
              <w:jc w:val="center"/>
              <w:rPr>
                <w:rFonts w:ascii="Calibri" w:hAnsi="Calibri" w:eastAsia="Calibri" w:cs="Calibri"/>
                <w:sz w:val="21"/>
                <w:szCs w:val="21"/>
              </w:rPr>
            </w:pPr>
            <w:r>
              <w:rPr>
                <w:rFonts w:ascii="Calibri"/>
                <w:sz w:val="21"/>
              </w:rPr>
              <w:t>1.79</w:t>
            </w:r>
          </w:p>
          <w:p>
            <w:pPr>
              <w:pStyle w:val="4069"/>
              <w:spacing w:line="256" w:lineRule="exact"/>
              <w:ind w:left="786" w:right="773"/>
              <w:jc w:val="center"/>
              <w:rPr>
                <w:rFonts w:ascii="Calibri" w:hAnsi="Calibri" w:eastAsia="Calibri" w:cs="Calibri"/>
                <w:sz w:val="21"/>
                <w:szCs w:val="21"/>
              </w:rPr>
            </w:pPr>
            <w:r>
              <w:rPr>
                <w:rFonts w:ascii="Calibri"/>
                <w:sz w:val="21"/>
              </w:rPr>
              <w:t>1.77</w:t>
            </w:r>
          </w:p>
        </w:tc>
        <w:tc>
          <w:tcPr>
            <w:tcW w:w="1931" w:type="dxa"/>
            <w:gridSpan w:val="3"/>
            <w:tcBorders>
              <w:tl2br w:val="nil"/>
              <w:tr2bl w:val="nil"/>
            </w:tcBorders>
          </w:tcPr>
          <w:p>
            <w:pPr>
              <w:pStyle w:val="4069"/>
              <w:spacing w:line="254" w:lineRule="exact"/>
              <w:ind w:left="755" w:right="744"/>
              <w:jc w:val="center"/>
              <w:rPr>
                <w:rFonts w:ascii="Calibri" w:hAnsi="Calibri" w:eastAsia="Calibri" w:cs="Calibri"/>
                <w:sz w:val="21"/>
                <w:szCs w:val="21"/>
              </w:rPr>
            </w:pPr>
            <w:r>
              <w:rPr>
                <w:rFonts w:ascii="Calibri"/>
                <w:sz w:val="21"/>
              </w:rPr>
              <w:t>1.79</w:t>
            </w:r>
          </w:p>
          <w:p>
            <w:pPr>
              <w:pStyle w:val="4069"/>
              <w:spacing w:line="256" w:lineRule="exact"/>
              <w:ind w:left="755" w:right="744"/>
              <w:jc w:val="center"/>
              <w:rPr>
                <w:rFonts w:ascii="Calibri" w:hAnsi="Calibri" w:eastAsia="Calibri" w:cs="Calibri"/>
                <w:sz w:val="21"/>
                <w:szCs w:val="21"/>
              </w:rPr>
            </w:pPr>
            <w:r>
              <w:rPr>
                <w:rFonts w:ascii="Calibri"/>
                <w:sz w:val="21"/>
              </w:rPr>
              <w:t>1.77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3" w:hRule="exact"/>
        </w:trPr>
        <w:tc>
          <w:tcPr>
            <w:tcW w:w="1021" w:type="dxa"/>
            <w:tcBorders>
              <w:tl2br w:val="nil"/>
              <w:tr2bl w:val="nil"/>
            </w:tcBorders>
          </w:tcPr>
          <w:p>
            <w:pPr>
              <w:pStyle w:val="4069"/>
              <w:spacing w:before="126" w:line="240" w:lineRule="auto"/>
              <w:ind w:right="11"/>
              <w:jc w:val="center"/>
              <w:rPr>
                <w:rFonts w:ascii="Calibri" w:hAnsi="Calibri" w:eastAsia="Calibri" w:cs="Calibri"/>
                <w:sz w:val="21"/>
                <w:szCs w:val="21"/>
              </w:rPr>
            </w:pPr>
            <w:r>
              <w:rPr>
                <w:rFonts w:ascii="Calibri"/>
                <w:sz w:val="21"/>
              </w:rPr>
              <w:t>D</w:t>
            </w:r>
          </w:p>
        </w:tc>
        <w:tc>
          <w:tcPr>
            <w:tcW w:w="1690" w:type="dxa"/>
            <w:tcBorders>
              <w:tl2br w:val="nil"/>
              <w:tr2bl w:val="nil"/>
            </w:tcBorders>
          </w:tcPr>
          <w:p>
            <w:pPr>
              <w:pStyle w:val="4069"/>
              <w:spacing w:line="255" w:lineRule="exact"/>
              <w:ind w:left="715" w:right="716"/>
              <w:jc w:val="center"/>
              <w:rPr>
                <w:rFonts w:ascii="Calibri" w:hAnsi="Calibri" w:eastAsia="Calibri" w:cs="Calibri"/>
                <w:sz w:val="21"/>
                <w:szCs w:val="21"/>
              </w:rPr>
            </w:pPr>
            <w:r>
              <w:rPr>
                <w:rFonts w:ascii="Calibri"/>
                <w:spacing w:val="-1"/>
                <w:sz w:val="21"/>
              </w:rPr>
              <w:t>&lt;2</w:t>
            </w:r>
          </w:p>
          <w:p>
            <w:pPr>
              <w:pStyle w:val="4069"/>
              <w:spacing w:line="256" w:lineRule="exact"/>
              <w:ind w:left="715" w:right="716"/>
              <w:jc w:val="center"/>
              <w:rPr>
                <w:rFonts w:ascii="Calibri" w:hAnsi="Calibri" w:eastAsia="Calibri" w:cs="Calibri"/>
                <w:sz w:val="21"/>
                <w:szCs w:val="21"/>
              </w:rPr>
            </w:pPr>
            <w:r>
              <w:rPr>
                <w:rFonts w:ascii="Calibri"/>
                <w:spacing w:val="-1"/>
                <w:sz w:val="21"/>
              </w:rPr>
              <w:t>&gt;2</w:t>
            </w:r>
          </w:p>
        </w:tc>
        <w:tc>
          <w:tcPr>
            <w:tcW w:w="1895" w:type="dxa"/>
            <w:gridSpan w:val="3"/>
            <w:tcBorders>
              <w:tl2br w:val="nil"/>
              <w:tr2bl w:val="nil"/>
            </w:tcBorders>
          </w:tcPr>
          <w:p>
            <w:pPr>
              <w:pStyle w:val="4069"/>
              <w:spacing w:line="255" w:lineRule="exact"/>
              <w:ind w:left="738" w:right="735"/>
              <w:jc w:val="center"/>
              <w:rPr>
                <w:rFonts w:ascii="Calibri" w:hAnsi="Calibri" w:eastAsia="Calibri" w:cs="Calibri"/>
                <w:sz w:val="21"/>
                <w:szCs w:val="21"/>
              </w:rPr>
            </w:pPr>
            <w:r>
              <w:rPr>
                <w:rFonts w:ascii="Calibri"/>
                <w:sz w:val="21"/>
              </w:rPr>
              <w:t>0.78</w:t>
            </w:r>
          </w:p>
          <w:p>
            <w:pPr>
              <w:pStyle w:val="4069"/>
              <w:spacing w:line="256" w:lineRule="exact"/>
              <w:ind w:left="738" w:right="735"/>
              <w:jc w:val="center"/>
              <w:rPr>
                <w:rFonts w:ascii="Calibri" w:hAnsi="Calibri" w:eastAsia="Calibri" w:cs="Calibri"/>
                <w:sz w:val="21"/>
                <w:szCs w:val="21"/>
              </w:rPr>
            </w:pPr>
            <w:r>
              <w:rPr>
                <w:rFonts w:ascii="Calibri"/>
                <w:sz w:val="21"/>
              </w:rPr>
              <w:t>0.84</w:t>
            </w:r>
          </w:p>
        </w:tc>
        <w:tc>
          <w:tcPr>
            <w:tcW w:w="1981" w:type="dxa"/>
            <w:gridSpan w:val="4"/>
            <w:tcBorders>
              <w:tl2br w:val="nil"/>
              <w:tr2bl w:val="nil"/>
            </w:tcBorders>
          </w:tcPr>
          <w:p>
            <w:pPr>
              <w:pStyle w:val="4069"/>
              <w:spacing w:line="255" w:lineRule="exact"/>
              <w:ind w:left="786" w:right="773"/>
              <w:jc w:val="center"/>
              <w:rPr>
                <w:rFonts w:ascii="Calibri" w:hAnsi="Calibri" w:eastAsia="Calibri" w:cs="Calibri"/>
                <w:sz w:val="21"/>
                <w:szCs w:val="21"/>
              </w:rPr>
            </w:pPr>
            <w:r>
              <w:rPr>
                <w:rFonts w:ascii="Calibri"/>
                <w:sz w:val="21"/>
              </w:rPr>
              <w:t>0.78</w:t>
            </w:r>
          </w:p>
          <w:p>
            <w:pPr>
              <w:pStyle w:val="4069"/>
              <w:spacing w:line="256" w:lineRule="exact"/>
              <w:ind w:left="786" w:right="773"/>
              <w:jc w:val="center"/>
              <w:rPr>
                <w:rFonts w:ascii="Calibri" w:hAnsi="Calibri" w:eastAsia="Calibri" w:cs="Calibri"/>
                <w:sz w:val="21"/>
                <w:szCs w:val="21"/>
              </w:rPr>
            </w:pPr>
            <w:r>
              <w:rPr>
                <w:rFonts w:ascii="Calibri"/>
                <w:sz w:val="21"/>
              </w:rPr>
              <w:t>0.84</w:t>
            </w:r>
          </w:p>
        </w:tc>
        <w:tc>
          <w:tcPr>
            <w:tcW w:w="1931" w:type="dxa"/>
            <w:gridSpan w:val="3"/>
            <w:tcBorders>
              <w:tl2br w:val="nil"/>
              <w:tr2bl w:val="nil"/>
            </w:tcBorders>
          </w:tcPr>
          <w:p>
            <w:pPr>
              <w:pStyle w:val="4069"/>
              <w:spacing w:line="255" w:lineRule="exact"/>
              <w:ind w:left="755" w:right="744"/>
              <w:jc w:val="center"/>
              <w:rPr>
                <w:rFonts w:ascii="Calibri" w:hAnsi="Calibri" w:eastAsia="Calibri" w:cs="Calibri"/>
                <w:sz w:val="21"/>
                <w:szCs w:val="21"/>
              </w:rPr>
            </w:pPr>
            <w:r>
              <w:rPr>
                <w:rFonts w:ascii="Calibri"/>
                <w:sz w:val="21"/>
              </w:rPr>
              <w:t>0.57</w:t>
            </w:r>
          </w:p>
          <w:p>
            <w:pPr>
              <w:pStyle w:val="4069"/>
              <w:spacing w:line="256" w:lineRule="exact"/>
              <w:ind w:left="755" w:right="744"/>
              <w:jc w:val="center"/>
              <w:rPr>
                <w:rFonts w:ascii="Calibri" w:hAnsi="Calibri" w:eastAsia="Calibri" w:cs="Calibri"/>
                <w:sz w:val="21"/>
                <w:szCs w:val="21"/>
              </w:rPr>
            </w:pPr>
            <w:r>
              <w:rPr>
                <w:rFonts w:ascii="Calibri"/>
                <w:sz w:val="21"/>
              </w:rPr>
              <w:t>0.76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213" w:hRule="exact"/>
        </w:trPr>
        <w:tc>
          <w:tcPr>
            <w:tcW w:w="8518" w:type="dxa"/>
            <w:gridSpan w:val="12"/>
            <w:tcBorders>
              <w:tl2br w:val="nil"/>
              <w:tr2bl w:val="nil"/>
            </w:tcBorders>
          </w:tcPr>
          <w:p>
            <w:pPr>
              <w:pStyle w:val="4069"/>
              <w:spacing w:line="238" w:lineRule="exact"/>
              <w:ind w:left="93" w:right="0"/>
              <w:jc w:val="left"/>
              <w:rPr>
                <w:rFonts w:ascii="宋体" w:hAnsi="宋体" w:eastAsia="宋体" w:cs="宋体"/>
                <w:sz w:val="21"/>
                <w:szCs w:val="21"/>
              </w:rPr>
            </w:pPr>
            <w:r>
              <w:rPr>
                <w:rFonts w:ascii="宋体" w:hAnsi="宋体" w:eastAsia="宋体" w:cs="宋体"/>
                <w:sz w:val="21"/>
                <w:szCs w:val="21"/>
              </w:rPr>
              <w:t>注：工业企业大气污染源构成类别：</w:t>
            </w:r>
          </w:p>
          <w:p>
            <w:pPr>
              <w:pStyle w:val="4069"/>
              <w:spacing w:before="7" w:line="233" w:lineRule="auto"/>
              <w:ind w:left="93" w:right="84"/>
              <w:jc w:val="left"/>
              <w:rPr>
                <w:rFonts w:ascii="宋体" w:hAnsi="宋体" w:eastAsia="宋体" w:cs="宋体"/>
                <w:sz w:val="21"/>
                <w:szCs w:val="21"/>
              </w:rPr>
            </w:pPr>
            <w:r>
              <w:rPr>
                <w:rFonts w:ascii="宋体" w:hAnsi="宋体" w:eastAsia="宋体" w:cs="宋体"/>
                <w:sz w:val="21"/>
                <w:szCs w:val="21"/>
              </w:rPr>
              <w:t xml:space="preserve">Ⅰ类：与无组织排放源共存的排放同种有害气体的排气量，大于标准规定的允许排放量的 </w:t>
            </w:r>
            <w:r>
              <w:rPr>
                <w:rFonts w:ascii="Calibri" w:hAnsi="Calibri" w:eastAsia="Calibri" w:cs="Calibri"/>
                <w:spacing w:val="-1"/>
                <w:sz w:val="21"/>
                <w:szCs w:val="21"/>
              </w:rPr>
              <w:t>1/3</w:t>
            </w:r>
            <w:r>
              <w:rPr>
                <w:rFonts w:ascii="Calibri" w:hAnsi="Calibri" w:eastAsia="Calibri" w:cs="Calibri"/>
                <w:spacing w:val="3"/>
                <w:sz w:val="21"/>
                <w:szCs w:val="21"/>
              </w:rPr>
              <w:t xml:space="preserve"> </w:t>
            </w:r>
            <w:r>
              <w:rPr>
                <w:rFonts w:ascii="宋体" w:hAnsi="宋体" w:eastAsia="宋体" w:cs="宋体"/>
                <w:sz w:val="21"/>
                <w:szCs w:val="21"/>
              </w:rPr>
              <w:t>者；</w:t>
            </w:r>
            <w:r>
              <w:rPr>
                <w:rFonts w:ascii="宋体" w:hAnsi="宋体" w:eastAsia="宋体" w:cs="宋体"/>
                <w:spacing w:val="21"/>
                <w:sz w:val="21"/>
                <w:szCs w:val="21"/>
              </w:rPr>
              <w:t xml:space="preserve"> </w:t>
            </w:r>
            <w:r>
              <w:rPr>
                <w:rFonts w:ascii="宋体" w:hAnsi="宋体" w:eastAsia="宋体" w:cs="宋体"/>
                <w:sz w:val="21"/>
                <w:szCs w:val="21"/>
              </w:rPr>
              <w:t xml:space="preserve">Ⅱ类：与无组织排放源共存的排放同种有害气体的排气量，小于标准规定的允许排放量的 </w:t>
            </w:r>
            <w:r>
              <w:rPr>
                <w:rFonts w:ascii="Calibri" w:hAnsi="Calibri" w:eastAsia="Calibri" w:cs="Calibri"/>
                <w:spacing w:val="-1"/>
                <w:sz w:val="21"/>
                <w:szCs w:val="21"/>
              </w:rPr>
              <w:t>1/3</w:t>
            </w:r>
            <w:r>
              <w:rPr>
                <w:rFonts w:ascii="宋体" w:hAnsi="宋体" w:eastAsia="宋体" w:cs="宋体"/>
                <w:spacing w:val="-1"/>
                <w:sz w:val="21"/>
                <w:szCs w:val="21"/>
              </w:rPr>
              <w:t>，或虽无排放同种大气污染物之排气筒存在，但无组织排放的容许浓度是按急性反应指</w:t>
            </w:r>
            <w:r>
              <w:rPr>
                <w:rFonts w:ascii="宋体" w:hAnsi="宋体" w:eastAsia="宋体" w:cs="宋体"/>
                <w:spacing w:val="78"/>
                <w:sz w:val="21"/>
                <w:szCs w:val="21"/>
              </w:rPr>
              <w:t xml:space="preserve"> </w:t>
            </w:r>
            <w:r>
              <w:rPr>
                <w:rFonts w:ascii="宋体" w:hAnsi="宋体" w:eastAsia="宋体" w:cs="宋体"/>
                <w:sz w:val="21"/>
                <w:szCs w:val="21"/>
              </w:rPr>
              <w:t>标确定者； Ⅲ类</w:t>
            </w:r>
            <w:r>
              <w:rPr>
                <w:rFonts w:ascii="宋体" w:hAnsi="宋体" w:eastAsia="宋体" w:cs="宋体"/>
                <w:spacing w:val="-45"/>
                <w:sz w:val="21"/>
                <w:szCs w:val="21"/>
              </w:rPr>
              <w:t>：</w:t>
            </w:r>
            <w:r>
              <w:rPr>
                <w:rFonts w:ascii="宋体" w:hAnsi="宋体" w:eastAsia="宋体" w:cs="宋体"/>
                <w:sz w:val="21"/>
                <w:szCs w:val="21"/>
              </w:rPr>
              <w:t>无排放同种大气污染物之排气筒存在</w:t>
            </w:r>
            <w:r>
              <w:rPr>
                <w:rFonts w:ascii="宋体" w:hAnsi="宋体" w:eastAsia="宋体" w:cs="宋体"/>
                <w:spacing w:val="-45"/>
                <w:sz w:val="21"/>
                <w:szCs w:val="21"/>
              </w:rPr>
              <w:t>，</w:t>
            </w:r>
            <w:r>
              <w:rPr>
                <w:rFonts w:ascii="宋体" w:hAnsi="宋体" w:eastAsia="宋体" w:cs="宋体"/>
                <w:sz w:val="21"/>
                <w:szCs w:val="21"/>
              </w:rPr>
              <w:t>但无组织排放的容许浓度是按慢性反应指标确 定者。</w:t>
            </w:r>
          </w:p>
        </w:tc>
      </w:tr>
    </w:tbl>
    <w:p>
      <w:pPr>
        <w:spacing w:before="11" w:line="60" w:lineRule="exact"/>
        <w:rPr>
          <w:sz w:val="6"/>
          <w:szCs w:val="6"/>
        </w:rPr>
      </w:pP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sz w:val="24"/>
        </w:rPr>
      </w:pPr>
      <w:r>
        <w:rPr>
          <w:rFonts w:ascii="宋体" w:hAnsi="宋体" w:eastAsia="宋体" w:cs="宋体"/>
          <w:kern w:val="0"/>
          <w:sz w:val="24"/>
          <w:szCs w:val="24"/>
          <w:lang w:val="en-US" w:eastAsia="zh-CN" w:bidi="ar"/>
        </w:rPr>
        <w:drawing>
          <wp:inline distT="0" distB="0" distL="114300" distR="114300">
            <wp:extent cx="5173980" cy="3649345"/>
            <wp:effectExtent l="0" t="0" r="7620" b="825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8"/>
                    <a:stretch>
                      <a:fillRect/>
                    </a:stretch>
                  </pic:blipFill>
                  <pic:spPr>
                    <a:xfrm>
                      <a:off x="0" y="0"/>
                      <a:ext cx="5173980" cy="3649345"/>
                    </a:xfrm>
                    <a:prstGeom prst="rect">
                      <a:avLst/>
                    </a:prstGeom>
                    <a:noFill/>
                    <a:ln w="9525">
                      <a:noFill/>
                    </a:ln>
                  </pic:spPr>
                </pic:pic>
              </a:graphicData>
            </a:graphic>
          </wp:inline>
        </w:drawing>
      </w:r>
    </w:p>
    <w:p>
      <w:pPr>
        <w:snapToGrid w:val="0"/>
        <w:spacing w:line="360"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根据上图，本项目设置</w:t>
      </w:r>
      <w:r>
        <w:rPr>
          <w:rFonts w:hint="eastAsia" w:ascii="Times New Roman" w:hAnsi="Times New Roman" w:eastAsia="宋体" w:cs="Times New Roman"/>
          <w:sz w:val="24"/>
          <w:lang w:val="en-US" w:eastAsia="zh-CN"/>
        </w:rPr>
        <w:t>100m的卫生防护距离，经现场调查，防护距离范围内无居民、医院、学校等敏感目标。根据有关规定，在卫生防护距离控制范围内不得新建居住区、医院、学校等大气敏感目标。</w:t>
      </w:r>
    </w:p>
    <w:p>
      <w:pPr>
        <w:pStyle w:val="5"/>
        <w:spacing w:before="120" w:after="120"/>
        <w:rPr>
          <w:rFonts w:hint="eastAsia"/>
          <w:lang w:eastAsia="zh-CN"/>
        </w:rPr>
      </w:pPr>
      <w:bookmarkStart w:id="236" w:name="_Toc8432"/>
      <w:r>
        <w:rPr>
          <w:rFonts w:hint="eastAsia"/>
          <w:lang w:eastAsia="zh-CN"/>
        </w:rPr>
        <w:t>水环境影响预测及评价</w:t>
      </w:r>
      <w:bookmarkEnd w:id="236"/>
    </w:p>
    <w:p>
      <w:pPr>
        <w:pStyle w:val="6"/>
      </w:pPr>
      <w:bookmarkStart w:id="237" w:name="_Toc18989"/>
      <w:r>
        <w:rPr>
          <w:rFonts w:hint="eastAsia"/>
          <w:lang w:eastAsia="zh-CN"/>
        </w:rPr>
        <w:t>地表水</w:t>
      </w:r>
      <w:bookmarkEnd w:id="237"/>
    </w:p>
    <w:p>
      <w:pPr>
        <w:snapToGrid w:val="0"/>
        <w:spacing w:line="360" w:lineRule="auto"/>
        <w:ind w:firstLine="480" w:firstLineChars="200"/>
        <w:rPr>
          <w:spacing w:val="-1"/>
          <w:position w:val="2"/>
        </w:rPr>
      </w:pPr>
      <w:r>
        <w:rPr>
          <w:rFonts w:hint="eastAsia" w:ascii="Times New Roman" w:hAnsi="Times New Roman" w:eastAsia="宋体" w:cs="Times New Roman"/>
          <w:sz w:val="24"/>
          <w:lang w:eastAsia="zh-CN"/>
        </w:rPr>
        <w:t>项目全场废水主要为生活污水、屠宰相关作业废水，废水总量约为</w:t>
      </w:r>
      <w:r>
        <w:rPr>
          <w:rFonts w:hint="eastAsia" w:ascii="Times New Roman" w:hAnsi="Times New Roman" w:eastAsia="宋体" w:cs="Times New Roman"/>
          <w:sz w:val="24"/>
          <w:lang w:val="en-US" w:eastAsia="zh-CN"/>
        </w:rPr>
        <w:t>44.07</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spacing w:val="-1"/>
        </w:rPr>
        <w:t>，</w:t>
      </w:r>
      <w:r>
        <w:rPr>
          <w:rFonts w:hint="eastAsia"/>
          <w:spacing w:val="-1"/>
          <w:lang w:val="en-US" w:eastAsia="zh-CN"/>
        </w:rPr>
        <w:t>15865.2</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10"/>
          <w:sz w:val="15"/>
          <w:szCs w:val="15"/>
        </w:rPr>
        <w:t>3</w:t>
      </w:r>
      <w:r>
        <w:rPr>
          <w:rFonts w:ascii="Times New Roman" w:hAnsi="Times New Roman" w:eastAsia="Times New Roman" w:cs="Times New Roman"/>
          <w:spacing w:val="-1"/>
          <w:position w:val="2"/>
        </w:rPr>
        <w:t>/a</w:t>
      </w:r>
      <w:r>
        <w:rPr>
          <w:spacing w:val="-1"/>
          <w:position w:val="2"/>
        </w:rPr>
        <w:t>。废水中主要污染物为</w:t>
      </w:r>
      <w:r>
        <w:rPr>
          <w:spacing w:val="-65"/>
          <w:position w:val="2"/>
        </w:rPr>
        <w:t xml:space="preserve"> </w:t>
      </w:r>
      <w:r>
        <w:rPr>
          <w:rFonts w:ascii="Times New Roman" w:hAnsi="Times New Roman" w:eastAsia="Times New Roman" w:cs="Times New Roman"/>
          <w:spacing w:val="-1"/>
          <w:position w:val="2"/>
        </w:rPr>
        <w:t>pH</w:t>
      </w:r>
      <w:r>
        <w:rPr>
          <w:spacing w:val="-1"/>
          <w:position w:val="2"/>
        </w:rPr>
        <w:t>、</w:t>
      </w:r>
      <w:r>
        <w:rPr>
          <w:rFonts w:ascii="Times New Roman" w:hAnsi="Times New Roman" w:eastAsia="Times New Roman" w:cs="Times New Roman"/>
          <w:spacing w:val="-1"/>
          <w:position w:val="2"/>
        </w:rPr>
        <w:t>COD</w:t>
      </w:r>
      <w:r>
        <w:rPr>
          <w:spacing w:val="-1"/>
          <w:position w:val="2"/>
        </w:rPr>
        <w:t>、</w:t>
      </w:r>
      <w:r>
        <w:rPr>
          <w:rFonts w:ascii="Times New Roman" w:hAnsi="Times New Roman" w:eastAsia="Times New Roman" w:cs="Times New Roman"/>
          <w:spacing w:val="-1"/>
          <w:position w:val="2"/>
        </w:rPr>
        <w:t>BOD</w:t>
      </w:r>
      <w:r>
        <w:rPr>
          <w:rFonts w:ascii="Times New Roman" w:hAnsi="Times New Roman" w:eastAsia="Times New Roman" w:cs="Times New Roman"/>
          <w:spacing w:val="-1"/>
          <w:sz w:val="15"/>
          <w:szCs w:val="15"/>
        </w:rPr>
        <w:t>5</w:t>
      </w:r>
      <w:r>
        <w:rPr>
          <w:spacing w:val="-1"/>
          <w:position w:val="2"/>
        </w:rPr>
        <w:t>、</w:t>
      </w:r>
      <w:r>
        <w:rPr>
          <w:rFonts w:ascii="Times New Roman" w:hAnsi="Times New Roman" w:eastAsia="Times New Roman" w:cs="Times New Roman"/>
          <w:spacing w:val="-1"/>
          <w:position w:val="2"/>
        </w:rPr>
        <w:t>NH</w:t>
      </w:r>
      <w:r>
        <w:rPr>
          <w:rFonts w:ascii="Times New Roman" w:hAnsi="Times New Roman" w:eastAsia="Times New Roman" w:cs="Times New Roman"/>
          <w:spacing w:val="-1"/>
          <w:sz w:val="15"/>
          <w:szCs w:val="15"/>
        </w:rPr>
        <w:t>3</w:t>
      </w:r>
      <w:r>
        <w:rPr>
          <w:rFonts w:ascii="Times New Roman" w:hAnsi="Times New Roman" w:eastAsia="Times New Roman" w:cs="Times New Roman"/>
          <w:spacing w:val="-1"/>
          <w:position w:val="2"/>
        </w:rPr>
        <w:t>-N</w:t>
      </w:r>
      <w:r>
        <w:rPr>
          <w:spacing w:val="-1"/>
          <w:position w:val="2"/>
        </w:rPr>
        <w:t>、</w:t>
      </w:r>
      <w:r>
        <w:rPr>
          <w:rFonts w:ascii="Times New Roman" w:hAnsi="Times New Roman" w:eastAsia="Times New Roman" w:cs="Times New Roman"/>
          <w:spacing w:val="-1"/>
          <w:position w:val="2"/>
        </w:rPr>
        <w:t>SS</w:t>
      </w:r>
      <w:r>
        <w:rPr>
          <w:spacing w:val="-1"/>
          <w:position w:val="2"/>
        </w:rPr>
        <w:t>、动植物油。</w:t>
      </w:r>
    </w:p>
    <w:p>
      <w:pPr>
        <w:pStyle w:val="7"/>
      </w:pPr>
      <w:bookmarkStart w:id="238" w:name="_Toc11912"/>
      <w:r>
        <w:rPr>
          <w:rFonts w:hint="eastAsia"/>
          <w:lang w:eastAsia="zh-CN"/>
        </w:rPr>
        <w:t>项目排水方案</w:t>
      </w:r>
      <w:bookmarkEnd w:id="238"/>
    </w:p>
    <w:p>
      <w:pPr>
        <w:snapToGrid w:val="0"/>
        <w:spacing w:line="360" w:lineRule="auto"/>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项目全场废水污染源包括屠宰废水、生活污水等；场区排水采取雨污分流、清污分流方式，分别设置雨水排水系统、生活污水排水系统及工业废水排放系统。</w:t>
      </w:r>
      <w:r>
        <w:rPr>
          <w:rFonts w:hint="eastAsia" w:ascii="Times New Roman" w:hAnsi="Times New Roman" w:eastAsia="宋体" w:cs="Times New Roman"/>
          <w:sz w:val="24"/>
          <w:lang w:val="en-US" w:eastAsia="zh-CN"/>
        </w:rPr>
        <w:t>由于项目所在地纳污水体上游与下游均有饮用水源保护区，故企业设置专管排水。</w:t>
      </w:r>
      <w:r>
        <w:rPr>
          <w:rFonts w:hint="default" w:ascii="Times New Roman" w:hAnsi="Times New Roman" w:eastAsia="宋体" w:cs="Times New Roman"/>
          <w:sz w:val="24"/>
          <w:lang w:val="en-US" w:eastAsia="zh-CN"/>
        </w:rPr>
        <w:t>生活污水经隔油池、化粪池预处理后同屠宰废水经自建污水处理站预处理达《肉类加工工业水污染物排放标准》（GB13457‐92）中的</w:t>
      </w:r>
      <w:r>
        <w:rPr>
          <w:rFonts w:hint="eastAsia" w:ascii="Times New Roman" w:hAnsi="Times New Roman" w:eastAsia="宋体" w:cs="Times New Roman"/>
          <w:sz w:val="24"/>
          <w:lang w:val="en-US" w:eastAsia="zh-CN"/>
        </w:rPr>
        <w:t>一</w:t>
      </w:r>
      <w:r>
        <w:rPr>
          <w:rFonts w:hint="default" w:ascii="Times New Roman" w:hAnsi="Times New Roman" w:eastAsia="宋体" w:cs="Times New Roman"/>
          <w:sz w:val="24"/>
          <w:lang w:val="en-US" w:eastAsia="zh-CN"/>
        </w:rPr>
        <w:t>级排放标准后纳入</w:t>
      </w:r>
      <w:r>
        <w:rPr>
          <w:rFonts w:hint="eastAsia" w:ascii="Times New Roman" w:hAnsi="Times New Roman" w:eastAsia="宋体" w:cs="Times New Roman"/>
          <w:sz w:val="24"/>
          <w:lang w:val="en-US" w:eastAsia="zh-CN"/>
        </w:rPr>
        <w:t>专</w:t>
      </w:r>
      <w:r>
        <w:rPr>
          <w:rFonts w:hint="default" w:ascii="Times New Roman" w:hAnsi="Times New Roman" w:eastAsia="宋体" w:cs="Times New Roman"/>
          <w:sz w:val="24"/>
          <w:lang w:val="en-US" w:eastAsia="zh-CN"/>
        </w:rPr>
        <w:t>管，进入</w:t>
      </w:r>
      <w:r>
        <w:rPr>
          <w:rFonts w:hint="eastAsia" w:ascii="Times New Roman" w:hAnsi="Times New Roman" w:eastAsia="宋体" w:cs="Times New Roman"/>
          <w:sz w:val="24"/>
          <w:lang w:val="en-US" w:eastAsia="zh-CN"/>
        </w:rPr>
        <w:t>万屯镇</w:t>
      </w:r>
      <w:r>
        <w:rPr>
          <w:rFonts w:hint="default" w:ascii="Times New Roman" w:hAnsi="Times New Roman" w:eastAsia="宋体" w:cs="Times New Roman"/>
          <w:sz w:val="24"/>
          <w:lang w:val="en-US" w:eastAsia="zh-CN"/>
        </w:rPr>
        <w:t>污水处理厂处理，尾水达到《城镇污水处理厂污染物排放标准》（GB18918-2002）中一级A标准后外排。本项目拟建污水处理站处理厂区屠宰废水，污水站位于厂区西南侧，地势较低，厂区污水可通过管道完成重力自流，采用“格栅预处理+沉砂隔油+调节+气浮+水解 酸化+接触氧化（A/O）+二级沉淀+消毒”处理工艺，设计处理能力</w:t>
      </w:r>
      <w:r>
        <w:rPr>
          <w:rFonts w:hint="eastAsia" w:ascii="Times New Roman" w:hAnsi="Times New Roman" w:eastAsia="宋体" w:cs="Times New Roman"/>
          <w:sz w:val="24"/>
          <w:lang w:val="en-US" w:eastAsia="zh-CN"/>
        </w:rPr>
        <w:t>55</w:t>
      </w:r>
      <w:r>
        <w:rPr>
          <w:rFonts w:hint="default" w:ascii="Times New Roman" w:hAnsi="Times New Roman" w:eastAsia="宋体" w:cs="Times New Roman"/>
          <w:sz w:val="24"/>
          <w:lang w:val="en-US" w:eastAsia="zh-CN"/>
        </w:rPr>
        <w:t>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/d。</w:t>
      </w:r>
    </w:p>
    <w:p>
      <w:pPr>
        <w:pStyle w:val="7"/>
        <w:rPr>
          <w:rFonts w:hint="eastAsia" w:ascii="Times New Roman" w:hAnsi="Times New Roman" w:cs="Times New Roman"/>
          <w:lang w:eastAsia="zh-CN"/>
        </w:rPr>
      </w:pPr>
      <w:bookmarkStart w:id="239" w:name="_Toc30583"/>
      <w:r>
        <w:rPr>
          <w:rFonts w:hint="eastAsia" w:ascii="Times New Roman" w:hAnsi="Times New Roman" w:cs="Times New Roman"/>
          <w:lang w:eastAsia="zh-CN"/>
        </w:rPr>
        <w:t>项目废水对地表水环境的影响</w:t>
      </w:r>
      <w:bookmarkEnd w:id="239"/>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项目排水量相对较小，且排入</w:t>
      </w:r>
      <w:r>
        <w:rPr>
          <w:rFonts w:hint="eastAsia" w:ascii="Times New Roman" w:hAnsi="Times New Roman" w:eastAsia="宋体" w:cs="Times New Roman"/>
          <w:snapToGrid/>
          <w:kern w:val="2"/>
          <w:sz w:val="24"/>
          <w:szCs w:val="24"/>
          <w:lang w:val="en-US" w:eastAsia="zh-CN" w:bidi="ar-SA"/>
        </w:rPr>
        <w:t>万屯镇</w:t>
      </w:r>
      <w:r>
        <w:rPr>
          <w:rFonts w:hint="default" w:ascii="Times New Roman" w:hAnsi="Times New Roman" w:eastAsia="宋体" w:cs="Times New Roman"/>
          <w:snapToGrid/>
          <w:kern w:val="2"/>
          <w:sz w:val="24"/>
          <w:szCs w:val="24"/>
          <w:lang w:val="en-US" w:eastAsia="zh-CN" w:bidi="ar-SA"/>
        </w:rPr>
        <w:t>污水处理厂。不直接排入地表水环境，只要污水</w:t>
      </w:r>
      <w:r>
        <w:rPr>
          <w:rFonts w:hint="eastAsia" w:ascii="Times New Roman" w:hAnsi="Times New Roman" w:eastAsia="宋体" w:cs="Times New Roman"/>
          <w:snapToGrid/>
          <w:kern w:val="2"/>
          <w:sz w:val="24"/>
          <w:szCs w:val="24"/>
          <w:lang w:val="en-US" w:eastAsia="zh-CN" w:bidi="ar-SA"/>
        </w:rPr>
        <w:t>专用</w:t>
      </w:r>
      <w:r>
        <w:rPr>
          <w:rFonts w:hint="default" w:ascii="Times New Roman" w:hAnsi="Times New Roman" w:eastAsia="宋体" w:cs="Times New Roman"/>
          <w:snapToGrid/>
          <w:kern w:val="2"/>
          <w:sz w:val="24"/>
          <w:szCs w:val="24"/>
          <w:lang w:val="en-US" w:eastAsia="zh-CN" w:bidi="ar-SA"/>
        </w:rPr>
        <w:t>管网以及污水处理厂运行正常，就不会影响地表水水质。因此，在加强污水处理厂运行管理，确保污水处理厂稳定运行的情况下，不会对</w:t>
      </w:r>
      <w:r>
        <w:rPr>
          <w:rFonts w:hint="eastAsia" w:ascii="Times New Roman" w:hAnsi="Times New Roman" w:eastAsia="宋体" w:cs="Times New Roman"/>
          <w:snapToGrid/>
          <w:kern w:val="2"/>
          <w:sz w:val="24"/>
          <w:szCs w:val="24"/>
          <w:lang w:val="en-US" w:eastAsia="zh-CN" w:bidi="ar-SA"/>
        </w:rPr>
        <w:t>马岭河</w:t>
      </w:r>
      <w:r>
        <w:rPr>
          <w:rFonts w:hint="default" w:ascii="Times New Roman" w:hAnsi="Times New Roman" w:eastAsia="宋体" w:cs="Times New Roman"/>
          <w:snapToGrid/>
          <w:kern w:val="2"/>
          <w:sz w:val="24"/>
          <w:szCs w:val="24"/>
          <w:lang w:val="en-US" w:eastAsia="zh-CN" w:bidi="ar-SA"/>
        </w:rPr>
        <w:t>水质产生影响。评价认为本工程投产后，不会改变区域地表水体的现状功能。</w:t>
      </w:r>
    </w:p>
    <w:p>
      <w:pPr>
        <w:pStyle w:val="2"/>
        <w:rPr>
          <w:rFonts w:hint="default" w:ascii="Times New Roman" w:hAnsi="Times New Roman" w:eastAsia="宋体" w:cs="Times New Roman"/>
          <w:snapToGrid/>
          <w:kern w:val="2"/>
          <w:sz w:val="24"/>
          <w:szCs w:val="24"/>
          <w:lang w:val="en-US" w:eastAsia="zh-CN" w:bidi="ar-SA"/>
        </w:rPr>
      </w:pPr>
      <w:r>
        <w:rPr>
          <w:rFonts w:hint="eastAsia" w:ascii="Times New Roman" w:hAnsi="Times New Roman" w:eastAsia="宋体" w:cs="Times New Roman"/>
          <w:snapToGrid/>
          <w:kern w:val="2"/>
          <w:sz w:val="24"/>
          <w:szCs w:val="24"/>
          <w:lang w:val="en-US" w:eastAsia="zh-CN" w:bidi="ar-SA"/>
        </w:rPr>
        <w:t>但污水处理厂不正常运营的状况会对万屯镇污水处理厂造成一定的冲击，</w:t>
      </w:r>
      <w:r>
        <w:rPr>
          <w:rFonts w:hint="default" w:ascii="Times New Roman" w:hAnsi="Times New Roman" w:eastAsia="宋体" w:cs="Times New Roman"/>
          <w:snapToGrid/>
          <w:kern w:val="2"/>
          <w:sz w:val="24"/>
          <w:szCs w:val="24"/>
          <w:lang w:val="en-US" w:eastAsia="zh-CN" w:bidi="ar-SA"/>
        </w:rPr>
        <w:t>因此应杜绝事故排放，</w:t>
      </w:r>
      <w:r>
        <w:rPr>
          <w:rFonts w:hint="eastAsia" w:ascii="Times New Roman" w:hAnsi="Times New Roman" w:eastAsia="宋体" w:cs="Times New Roman"/>
          <w:snapToGrid/>
          <w:kern w:val="2"/>
          <w:sz w:val="24"/>
          <w:szCs w:val="24"/>
          <w:lang w:val="en-US" w:eastAsia="zh-CN" w:bidi="ar-SA"/>
        </w:rPr>
        <w:t>确保污水处理厂稳定达标运营。二是要防范污水专管的破损，</w:t>
      </w:r>
      <w:r>
        <w:rPr>
          <w:rFonts w:hint="default" w:ascii="Times New Roman" w:hAnsi="Times New Roman" w:eastAsia="宋体" w:cs="Times New Roman"/>
          <w:snapToGrid/>
          <w:kern w:val="2"/>
          <w:sz w:val="24"/>
          <w:szCs w:val="24"/>
          <w:lang w:val="en-US" w:eastAsia="zh-CN" w:bidi="ar-SA"/>
        </w:rPr>
        <w:t>以免对附近河流造成污染。为了进一步降低项目产生的污水对附近河流的影响，环评要求加强管网的巡查力度，并且加强日常的运行管理落实岗位环保责任制，加强环境风险防范工作。</w:t>
      </w:r>
    </w:p>
    <w:p>
      <w:pPr>
        <w:pStyle w:val="6"/>
        <w:rPr>
          <w:rFonts w:hint="eastAsia" w:ascii="Times New Roman" w:hAnsi="Times New Roman" w:cs="Times New Roman"/>
          <w:lang w:eastAsia="zh-CN"/>
        </w:rPr>
      </w:pPr>
      <w:bookmarkStart w:id="240" w:name="_Toc14358"/>
      <w:r>
        <w:rPr>
          <w:rFonts w:hint="eastAsia" w:ascii="Times New Roman" w:hAnsi="Times New Roman" w:cs="Times New Roman"/>
          <w:lang w:eastAsia="zh-CN"/>
        </w:rPr>
        <w:t>地下水</w:t>
      </w:r>
      <w:bookmarkEnd w:id="240"/>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（1）污水渗漏对地下水的影响</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屠宰废水通过排水管道收集至污水处理站，预处理达相关标准后排入市政污水管网。</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屠宰废水中含有COD、氨氮、动植物油等多种污染因子，如果收集排水沟、排水管道及污水处理站构筑物发生渗漏，除少量经过土壤过滤、吸附、离子交换、沉淀、水解及生物积累等过程使污水中一些物质得到去除外，将可能导致废水下渗污染地下水。</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因此，项目建设过程中必须考虑地下水的保护问题，场区需采取防渗措施。对生产废水和生活污水应有组织的收集，排水明沟、排水管道、污水处理站构筑物及车间地面均应采取防渗处理。</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（2）固废渗滤液对地下水的影响</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拟建项目产生的固体废物主要为生产过程中产生的牲畜粪便、毛皮、肠胃内容物、牲畜病害肉尸及其产品、污水处理站污泥等，均属于可降解有机物，其在自然腐败的过程中会产生大量污染物，并可能携带病菌，若处置不当，随雨水的淋溶作用深入地下水，污染地下水。</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因此，本评价要求对各类固废做到日产日清，屠宰车间产生的固废采用防渗容器及时清运，固废暂存场所采取得当的防渗措施；经采取以上措施，固废对地下水的影响甚微。</w:t>
      </w:r>
    </w:p>
    <w:p>
      <w:pPr>
        <w:pStyle w:val="2"/>
        <w:rPr>
          <w:rFonts w:hint="default" w:ascii="Times New Roman" w:hAnsi="Times New Roman" w:eastAsia="宋体" w:cs="Times New Roman"/>
          <w:snapToGrid/>
          <w:kern w:val="2"/>
          <w:sz w:val="24"/>
          <w:szCs w:val="24"/>
          <w:lang w:val="en-US" w:eastAsia="zh-CN" w:bidi="ar-SA"/>
        </w:rPr>
      </w:pPr>
      <w:r>
        <w:rPr>
          <w:rFonts w:hint="default" w:ascii="Times New Roman" w:hAnsi="Times New Roman" w:eastAsia="宋体" w:cs="Times New Roman"/>
          <w:snapToGrid/>
          <w:kern w:val="2"/>
          <w:sz w:val="24"/>
          <w:szCs w:val="24"/>
          <w:lang w:val="en-US" w:eastAsia="zh-CN" w:bidi="ar-SA"/>
        </w:rPr>
        <w:t>（3）地下水分区防渗分析</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①分区防渗措施</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环境影响评价技术导则地下水环境》（HJ610-2016），本项目为III类建设项目。项目周边300m范围内无地下水出露点，对厂区各部分采取防渗措施后，污水下渗影响范围较小，项目废水下渗对区域地下水影响主要集中在泄漏点300m范围内，各污染物浓度上升程度不大。参照《环境影响评价技术导则地下水环境》（HJ610-2016）中防渗分区原则，将本项目分划为重点防渗区、一般防渗区和简单防渗区，简单防渗区防渗技术要求为一般地面硬化；一般防渗区除重金属、持久性有机污染物外，防渗技术要求为等效黏土防渗层Mb≧1.5m，K≤1×10-7cm/s；或参照 GB18598执行；重点防渗区主要指有重金属、持久性有机物污染物的区域，防渗技术要求为等效黏土防渗层Mb≧6.0m，K≤1×10-7cm/s；或参照GB18598执行。具体划分如下：</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重点防渗区：厂区污水处理站池体及相关管道区域、危废暂存间、无害化处理间。污水处理各池体均采用防腐材料，防腐选材可选用环氧树脂等。输送管道为防渗、防腐管材，危废暂存间采取土工膜+防渗混凝土+环氧树脂的方式防渗，防身措施能达到《危险废物贮存污染控制标准》（GB18597-2001）规定的2mm厚HDPE膜或至少2mm厚的其他人工材料，渗透系数K&lt;1×10-10-10cm/s防渗要求。</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一般防渗区：屠宰车间、待宰圈、急宰间、设备间、锅炉房等地面采取粘土铺底，采取S6级防渗、抗酸混凝土防渗，防止厂区产生的雨水、地面冲洗水等进入地下水层。通过上述措施可使一般污染区各单元防渗层渗透系数≤10</w:t>
      </w:r>
      <w:r>
        <w:rPr>
          <w:rFonts w:hint="default" w:ascii="Times New Roman" w:hAnsi="Times New Roman" w:eastAsia="宋体" w:cs="Times New Roman"/>
          <w:sz w:val="24"/>
          <w:vertAlign w:val="superscript"/>
          <w:lang w:val="en-US" w:eastAsia="zh-CN"/>
        </w:rPr>
        <w:t>-7</w:t>
      </w:r>
      <w:r>
        <w:rPr>
          <w:rFonts w:hint="default" w:ascii="Times New Roman" w:hAnsi="Times New Roman" w:eastAsia="宋体" w:cs="Times New Roman"/>
          <w:sz w:val="24"/>
          <w:lang w:val="en-US" w:eastAsia="zh-CN"/>
        </w:rPr>
        <w:t>cm/s。</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简单防渗区：厂区办公楼、道路、冷库等除重点防渗区和一般防渗区意外的区域。地面采取粘土铺底，混凝土进行简单防渗。</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②防渗工程设计原则</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一般情况下，应以水平防渗为主，防控措施应满足以下要求：已颁布污染控制国家标准或防渗技术规范的行业，水平防渗技术要求按照相应标准或规范执行；未颁布相关标准的行业，根据预测结果和场地包气带特征及其防污性能，处防渗技术要求；或根据建设项目场地天然包气带防污性能、污染控制难以程度和污染物特性，确定防渗技术。</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坚持分区管理和控制原则，根据场址所在地的工程水文地址条件和全厂可能发生泄漏的物料性质，参照相应标准要求有针对性的分区，并分别设计地面防渗层结构。坚持“可视化”原则，在满足工程和防渗层结构标准要求的前提下，尽量在地表面试试防渗措施，便于泄漏物质的收集和及时发现破损的防渗层。防渗层上渗漏污染物和防渗层内渗漏污染物收集系统与全厂“三废处理措施统筹考虑，统一处理。</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综上所述，在采取各种防渗措施以及防护措施之后，加强日常生产安全、环保管理的基础上，项目运营过程中不会对地下水产生影响。</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③其他防治措施</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本项目生产工艺采用国内成熟的工艺，减少污染物的排放；各防渗分区做好地面硬化，采取防雨、防风、防渗措施，污水管道等选用做防渗、防腐处理的管道。</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①排水管道必须具有足够的强度，以承受外部荷载和内部水压，外部荷载包括土压力形成的静荷载和由车辆运行所造成的动荷载。重力流排水管道在发生淤塞，也会形成内部水压，因此重力流排水管道也需适当考虑承受内压力。</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②排水管道除具有抗废水中杂质的冲刷和磨损的作用外，还应该具有一定的抗 腐蚀的性能，以免受废水或地下水的侵蚀作用而损坏。</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③排水管道应具有良好的防渗漏性能，以防止废水渗出或地下水渗入。废水从管道渗出，不仅会污染地下水或水体，还可能导致破坏管道及附近建筑物的基础；而地下水渗入污水管道，将降低管道的排水能力，增大污水泵的水力负荷。</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④排水管道的内壁应光滑，以尽量减小管道输水的阻力损失。</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⑤加强施工质量管理，对管道和施工技术质量要求进行严格控制。</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④小结</w:t>
      </w:r>
    </w:p>
    <w:p>
      <w:pPr>
        <w:pStyle w:val="2"/>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在本项目防渗措施满足《环境影响评价技术导则-地下水环境（HJ610-2016）中防渗技术要求的前提下，可从污染源头和途径上减少因废水或物料泄漏渗、漏入地下水，本项目营运期不会对地下水环境造成明显影响。</w:t>
      </w:r>
    </w:p>
    <w:p>
      <w:pPr>
        <w:tabs>
          <w:tab w:val="left" w:pos="975"/>
        </w:tabs>
        <w:adjustRightInd w:val="0"/>
        <w:snapToGrid w:val="0"/>
        <w:spacing w:line="360" w:lineRule="auto"/>
        <w:ind w:firstLine="480" w:firstLineChars="200"/>
        <w:rPr>
          <w:sz w:val="24"/>
          <w:lang w:val="zh-CN"/>
        </w:rPr>
      </w:pPr>
      <w:bookmarkStart w:id="241" w:name="_Toc304275944"/>
      <w:bookmarkStart w:id="242" w:name="_Toc304229764"/>
      <w:bookmarkStart w:id="243" w:name="_Toc304276192"/>
      <w:bookmarkStart w:id="244" w:name="_Toc275776068"/>
    </w:p>
    <w:bookmarkEnd w:id="228"/>
    <w:bookmarkEnd w:id="229"/>
    <w:bookmarkEnd w:id="230"/>
    <w:bookmarkEnd w:id="241"/>
    <w:bookmarkEnd w:id="242"/>
    <w:bookmarkEnd w:id="243"/>
    <w:bookmarkEnd w:id="244"/>
    <w:p>
      <w:pPr>
        <w:pStyle w:val="5"/>
        <w:spacing w:before="120" w:after="120"/>
      </w:pPr>
      <w:bookmarkStart w:id="245" w:name="_Toc27551"/>
      <w:r>
        <w:t>声环境影响预测及评价</w:t>
      </w:r>
      <w:bookmarkEnd w:id="231"/>
      <w:bookmarkEnd w:id="232"/>
      <w:bookmarkEnd w:id="233"/>
      <w:bookmarkEnd w:id="245"/>
      <w:bookmarkStart w:id="246" w:name="_Toc325652709"/>
      <w:bookmarkStart w:id="247" w:name="_Toc312748746"/>
      <w:bookmarkStart w:id="248" w:name="_Toc302383931"/>
    </w:p>
    <w:bookmarkEnd w:id="246"/>
    <w:bookmarkEnd w:id="247"/>
    <w:bookmarkEnd w:id="248"/>
    <w:p>
      <w:pPr>
        <w:pStyle w:val="6"/>
        <w:rPr>
          <w:snapToGrid w:val="0"/>
        </w:rPr>
      </w:pPr>
      <w:bookmarkStart w:id="249" w:name="_Toc22979"/>
      <w:r>
        <w:rPr>
          <w:rFonts w:hint="eastAsia"/>
          <w:snapToGrid w:val="0"/>
          <w:lang w:eastAsia="zh-CN"/>
        </w:rPr>
        <w:t>噪声源强</w:t>
      </w:r>
      <w:bookmarkEnd w:id="249"/>
    </w:p>
    <w:p>
      <w:pPr>
        <w:snapToGrid w:val="0"/>
        <w:spacing w:line="360" w:lineRule="auto"/>
        <w:ind w:firstLine="561"/>
        <w:rPr>
          <w:sz w:val="24"/>
        </w:rPr>
      </w:pPr>
      <w:r>
        <w:rPr>
          <w:sz w:val="24"/>
        </w:rPr>
        <w:t>项目噪声污染源强主要包括循环水泵、冷冻机、风机、泵和牛羊叫声等，噪声源强在75~100dB（A）之间。各个噪声源及其源强见下表</w:t>
      </w:r>
      <w:r>
        <w:rPr>
          <w:rFonts w:hint="eastAsia"/>
          <w:sz w:val="24"/>
          <w:lang w:val="en-US" w:eastAsia="zh-CN"/>
        </w:rPr>
        <w:t>6.4-1</w:t>
      </w:r>
      <w:r>
        <w:rPr>
          <w:sz w:val="24"/>
        </w:rPr>
        <w:t>。</w:t>
      </w:r>
    </w:p>
    <w:p>
      <w:pPr>
        <w:adjustRightInd w:val="0"/>
        <w:snapToGrid w:val="0"/>
        <w:spacing w:beforeLines="50" w:line="240" w:lineRule="atLeast"/>
        <w:jc w:val="center"/>
        <w:rPr>
          <w:b/>
          <w:sz w:val="24"/>
          <w:szCs w:val="28"/>
        </w:rPr>
      </w:pPr>
      <w:r>
        <w:rPr>
          <w:b/>
          <w:sz w:val="24"/>
          <w:szCs w:val="28"/>
        </w:rPr>
        <w:t>表</w:t>
      </w:r>
      <w:r>
        <w:rPr>
          <w:rFonts w:hint="eastAsia"/>
          <w:b/>
          <w:sz w:val="24"/>
          <w:szCs w:val="28"/>
          <w:lang w:val="en-US" w:eastAsia="zh-CN"/>
        </w:rPr>
        <w:t>6.4</w:t>
      </w:r>
      <w:r>
        <w:rPr>
          <w:b/>
          <w:sz w:val="24"/>
          <w:szCs w:val="28"/>
        </w:rPr>
        <w:t>-1  本工程噪声</w:t>
      </w:r>
      <w:r>
        <w:rPr>
          <w:rFonts w:hint="eastAsia"/>
          <w:b/>
          <w:sz w:val="24"/>
          <w:szCs w:val="28"/>
          <w:lang w:eastAsia="zh-CN"/>
        </w:rPr>
        <w:t>源强</w:t>
      </w:r>
      <w:r>
        <w:rPr>
          <w:b/>
          <w:sz w:val="24"/>
          <w:szCs w:val="28"/>
        </w:rPr>
        <w:t>情况 （dB（A））</w:t>
      </w:r>
    </w:p>
    <w:tbl>
      <w:tblPr>
        <w:tblStyle w:val="88"/>
        <w:tblW w:w="0" w:type="auto"/>
        <w:tblInd w:w="2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01"/>
        <w:gridCol w:w="2423"/>
        <w:gridCol w:w="2324"/>
        <w:gridCol w:w="27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exact"/>
        </w:trPr>
        <w:tc>
          <w:tcPr>
            <w:tcW w:w="1001" w:type="dxa"/>
            <w:tcBorders>
              <w:tl2br w:val="nil"/>
              <w:tr2bl w:val="nil"/>
            </w:tcBorders>
          </w:tcPr>
          <w:p>
            <w:pPr>
              <w:pStyle w:val="4069"/>
              <w:spacing w:line="291" w:lineRule="exact"/>
              <w:ind w:left="244" w:right="0"/>
              <w:jc w:val="left"/>
              <w:rPr>
                <w:rFonts w:ascii="宋体" w:hAnsi="宋体" w:eastAsia="宋体" w:cs="宋体"/>
                <w:sz w:val="24"/>
                <w:szCs w:val="24"/>
              </w:rPr>
            </w:pPr>
            <w:r>
              <w:rPr>
                <w:rFonts w:ascii="宋体" w:hAnsi="宋体" w:eastAsia="宋体" w:cs="宋体"/>
                <w:spacing w:val="1"/>
                <w:sz w:val="24"/>
                <w:szCs w:val="24"/>
              </w:rPr>
              <w:t>序号</w:t>
            </w:r>
          </w:p>
        </w:tc>
        <w:tc>
          <w:tcPr>
            <w:tcW w:w="2423" w:type="dxa"/>
            <w:tcBorders>
              <w:tl2br w:val="nil"/>
              <w:tr2bl w:val="nil"/>
            </w:tcBorders>
          </w:tcPr>
          <w:p>
            <w:pPr>
              <w:pStyle w:val="4069"/>
              <w:spacing w:line="291" w:lineRule="exact"/>
              <w:ind w:left="725" w:right="0"/>
              <w:jc w:val="left"/>
              <w:rPr>
                <w:rFonts w:ascii="宋体" w:hAnsi="宋体" w:eastAsia="宋体" w:cs="宋体"/>
                <w:sz w:val="24"/>
                <w:szCs w:val="24"/>
              </w:rPr>
            </w:pPr>
            <w:r>
              <w:rPr>
                <w:rFonts w:ascii="宋体" w:hAnsi="宋体" w:eastAsia="宋体" w:cs="宋体"/>
                <w:spacing w:val="1"/>
                <w:sz w:val="24"/>
                <w:szCs w:val="24"/>
              </w:rPr>
              <w:t>生源位置</w:t>
            </w:r>
          </w:p>
        </w:tc>
        <w:tc>
          <w:tcPr>
            <w:tcW w:w="2324" w:type="dxa"/>
            <w:tcBorders>
              <w:tl2br w:val="nil"/>
              <w:tr2bl w:val="nil"/>
            </w:tcBorders>
          </w:tcPr>
          <w:p>
            <w:pPr>
              <w:pStyle w:val="4069"/>
              <w:spacing w:line="291" w:lineRule="exact"/>
              <w:ind w:right="0"/>
              <w:jc w:val="center"/>
              <w:rPr>
                <w:rFonts w:ascii="宋体" w:hAnsi="宋体" w:eastAsia="宋体" w:cs="宋体"/>
                <w:sz w:val="24"/>
                <w:szCs w:val="24"/>
              </w:rPr>
            </w:pPr>
            <w:r>
              <w:rPr>
                <w:rFonts w:ascii="宋体" w:hAnsi="宋体" w:eastAsia="宋体" w:cs="宋体"/>
                <w:sz w:val="24"/>
                <w:szCs w:val="24"/>
              </w:rPr>
              <w:t>噪声源</w:t>
            </w:r>
          </w:p>
        </w:tc>
        <w:tc>
          <w:tcPr>
            <w:tcW w:w="2756" w:type="dxa"/>
            <w:tcBorders>
              <w:tl2br w:val="nil"/>
              <w:tr2bl w:val="nil"/>
            </w:tcBorders>
          </w:tcPr>
          <w:p>
            <w:pPr>
              <w:pStyle w:val="4069"/>
              <w:spacing w:line="291" w:lineRule="exact"/>
              <w:ind w:left="11" w:right="0"/>
              <w:jc w:val="center"/>
              <w:rPr>
                <w:rFonts w:ascii="宋体" w:hAnsi="宋体" w:eastAsia="宋体" w:cs="宋体"/>
                <w:sz w:val="24"/>
                <w:szCs w:val="24"/>
              </w:rPr>
            </w:pPr>
            <w:r>
              <w:rPr>
                <w:rFonts w:ascii="宋体" w:hAnsi="宋体" w:eastAsia="宋体" w:cs="宋体"/>
                <w:spacing w:val="1"/>
                <w:sz w:val="24"/>
                <w:szCs w:val="24"/>
              </w:rPr>
              <w:t>源强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1</w:t>
            </w:r>
          </w:p>
        </w:tc>
        <w:tc>
          <w:tcPr>
            <w:tcW w:w="2423" w:type="dxa"/>
            <w:tcBorders>
              <w:tl2br w:val="nil"/>
              <w:tr2bl w:val="nil"/>
            </w:tcBorders>
          </w:tcPr>
          <w:p>
            <w:pPr>
              <w:pStyle w:val="4069"/>
              <w:spacing w:line="275" w:lineRule="exact"/>
              <w:ind w:left="826" w:right="827"/>
              <w:jc w:val="center"/>
              <w:rPr>
                <w:rFonts w:ascii="宋体" w:hAnsi="宋体" w:eastAsia="宋体" w:cs="宋体"/>
                <w:sz w:val="24"/>
                <w:szCs w:val="24"/>
              </w:rPr>
            </w:pPr>
            <w:r>
              <w:rPr>
                <w:rFonts w:ascii="宋体" w:hAnsi="宋体" w:eastAsia="宋体" w:cs="宋体"/>
                <w:sz w:val="24"/>
                <w:szCs w:val="24"/>
              </w:rPr>
              <w:t>制冷站</w:t>
            </w:r>
          </w:p>
        </w:tc>
        <w:tc>
          <w:tcPr>
            <w:tcW w:w="2324" w:type="dxa"/>
            <w:tcBorders>
              <w:tl2br w:val="nil"/>
              <w:tr2bl w:val="nil"/>
            </w:tcBorders>
          </w:tcPr>
          <w:p>
            <w:pPr>
              <w:pStyle w:val="4069"/>
              <w:spacing w:line="275" w:lineRule="exact"/>
              <w:ind w:left="776" w:right="779"/>
              <w:jc w:val="center"/>
              <w:rPr>
                <w:rFonts w:ascii="宋体" w:hAnsi="宋体" w:eastAsia="宋体" w:cs="宋体"/>
                <w:sz w:val="24"/>
                <w:szCs w:val="24"/>
              </w:rPr>
            </w:pPr>
            <w:r>
              <w:rPr>
                <w:rFonts w:ascii="宋体" w:hAnsi="宋体" w:eastAsia="宋体" w:cs="宋体"/>
                <w:sz w:val="24"/>
                <w:szCs w:val="24"/>
              </w:rPr>
              <w:t>冷冻机</w:t>
            </w:r>
          </w:p>
        </w:tc>
        <w:tc>
          <w:tcPr>
            <w:tcW w:w="2756" w:type="dxa"/>
            <w:tcBorders>
              <w:tl2br w:val="nil"/>
              <w:tr2bl w:val="nil"/>
            </w:tcBorders>
          </w:tcPr>
          <w:p>
            <w:pPr>
              <w:pStyle w:val="4069"/>
              <w:spacing w:before="16" w:line="240" w:lineRule="auto"/>
              <w:ind w:left="1051" w:right="1042"/>
              <w:jc w:val="center"/>
              <w:rPr>
                <w:rFonts w:ascii="Times New Roman" w:hAnsi="Times New Roman" w:eastAsia="Times New Roman" w:cs="Times New Roman"/>
                <w:sz w:val="24"/>
                <w:szCs w:val="24"/>
              </w:rPr>
            </w:pPr>
            <w:r>
              <w:rPr>
                <w:rFonts w:ascii="Times New Roman"/>
                <w:spacing w:val="-1"/>
                <w:sz w:val="24"/>
              </w:rPr>
              <w:t>80~85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2</w:t>
            </w:r>
          </w:p>
        </w:tc>
        <w:tc>
          <w:tcPr>
            <w:tcW w:w="2423" w:type="dxa"/>
            <w:vMerge w:val="restart"/>
            <w:tcBorders>
              <w:tl2br w:val="nil"/>
              <w:tr2bl w:val="nil"/>
            </w:tcBorders>
          </w:tcPr>
          <w:p>
            <w:pPr>
              <w:pStyle w:val="4069"/>
              <w:spacing w:before="124" w:line="240" w:lineRule="auto"/>
              <w:ind w:left="826" w:right="827"/>
              <w:jc w:val="center"/>
              <w:rPr>
                <w:rFonts w:ascii="宋体" w:hAnsi="宋体" w:eastAsia="宋体" w:cs="宋体"/>
                <w:sz w:val="24"/>
                <w:szCs w:val="24"/>
              </w:rPr>
            </w:pPr>
            <w:r>
              <w:rPr>
                <w:rFonts w:ascii="宋体" w:hAnsi="宋体" w:eastAsia="宋体" w:cs="宋体"/>
                <w:sz w:val="24"/>
                <w:szCs w:val="24"/>
              </w:rPr>
              <w:t>污水站</w:t>
            </w:r>
          </w:p>
        </w:tc>
        <w:tc>
          <w:tcPr>
            <w:tcW w:w="2324" w:type="dxa"/>
            <w:tcBorders>
              <w:tl2br w:val="nil"/>
              <w:tr2bl w:val="nil"/>
            </w:tcBorders>
          </w:tcPr>
          <w:p>
            <w:pPr>
              <w:pStyle w:val="4069"/>
              <w:spacing w:line="275" w:lineRule="exact"/>
              <w:ind w:left="776" w:right="779"/>
              <w:jc w:val="center"/>
              <w:rPr>
                <w:rFonts w:ascii="宋体" w:hAnsi="宋体" w:eastAsia="宋体" w:cs="宋体"/>
                <w:sz w:val="24"/>
                <w:szCs w:val="24"/>
              </w:rPr>
            </w:pPr>
            <w:r>
              <w:rPr>
                <w:rFonts w:ascii="宋体" w:hAnsi="宋体" w:eastAsia="宋体" w:cs="宋体"/>
                <w:sz w:val="24"/>
                <w:szCs w:val="24"/>
              </w:rPr>
              <w:t>鼓风机</w:t>
            </w:r>
          </w:p>
        </w:tc>
        <w:tc>
          <w:tcPr>
            <w:tcW w:w="2756" w:type="dxa"/>
            <w:tcBorders>
              <w:tl2br w:val="nil"/>
              <w:tr2bl w:val="nil"/>
            </w:tcBorders>
          </w:tcPr>
          <w:p>
            <w:pPr>
              <w:pStyle w:val="4069"/>
              <w:spacing w:before="16" w:line="240" w:lineRule="auto"/>
              <w:ind w:left="8" w:right="0"/>
              <w:jc w:val="center"/>
              <w:rPr>
                <w:rFonts w:ascii="Times New Roman" w:hAnsi="Times New Roman" w:eastAsia="Times New Roman" w:cs="Times New Roman"/>
                <w:sz w:val="24"/>
                <w:szCs w:val="24"/>
              </w:rPr>
            </w:pPr>
            <w:r>
              <w:rPr>
                <w:rFonts w:ascii="Times New Roman"/>
                <w:spacing w:val="-1"/>
                <w:sz w:val="24"/>
              </w:rPr>
              <w:t>90~100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4" w:line="240" w:lineRule="auto"/>
              <w:ind w:left="304" w:right="315"/>
              <w:jc w:val="center"/>
              <w:rPr>
                <w:rFonts w:ascii="Times New Roman" w:hAnsi="Times New Roman" w:eastAsia="Times New Roman" w:cs="Times New Roman"/>
                <w:sz w:val="24"/>
                <w:szCs w:val="24"/>
              </w:rPr>
            </w:pPr>
            <w:r>
              <w:rPr>
                <w:rFonts w:ascii="Times New Roman"/>
                <w:sz w:val="24"/>
              </w:rPr>
              <w:t>3</w:t>
            </w:r>
          </w:p>
        </w:tc>
        <w:tc>
          <w:tcPr>
            <w:tcW w:w="2423" w:type="dxa"/>
            <w:vMerge w:val="continue"/>
            <w:tcBorders>
              <w:tl2br w:val="nil"/>
              <w:tr2bl w:val="nil"/>
            </w:tcBorders>
          </w:tcPr>
          <w:p/>
        </w:tc>
        <w:tc>
          <w:tcPr>
            <w:tcW w:w="2324" w:type="dxa"/>
            <w:tcBorders>
              <w:tl2br w:val="nil"/>
              <w:tr2bl w:val="nil"/>
            </w:tcBorders>
          </w:tcPr>
          <w:p>
            <w:pPr>
              <w:pStyle w:val="4069"/>
              <w:spacing w:line="274" w:lineRule="exact"/>
              <w:ind w:left="776" w:right="779"/>
              <w:jc w:val="center"/>
              <w:rPr>
                <w:rFonts w:ascii="宋体" w:hAnsi="宋体" w:eastAsia="宋体" w:cs="宋体"/>
                <w:sz w:val="24"/>
                <w:szCs w:val="24"/>
              </w:rPr>
            </w:pPr>
            <w:r>
              <w:rPr>
                <w:rFonts w:ascii="宋体" w:hAnsi="宋体" w:eastAsia="宋体" w:cs="宋体"/>
                <w:sz w:val="24"/>
                <w:szCs w:val="24"/>
              </w:rPr>
              <w:t>水泵</w:t>
            </w:r>
          </w:p>
        </w:tc>
        <w:tc>
          <w:tcPr>
            <w:tcW w:w="2756" w:type="dxa"/>
            <w:tcBorders>
              <w:tl2br w:val="nil"/>
              <w:tr2bl w:val="nil"/>
            </w:tcBorders>
          </w:tcPr>
          <w:p>
            <w:pPr>
              <w:pStyle w:val="4069"/>
              <w:spacing w:before="14" w:line="240" w:lineRule="auto"/>
              <w:ind w:left="1051" w:right="1042"/>
              <w:jc w:val="center"/>
              <w:rPr>
                <w:rFonts w:ascii="Times New Roman" w:hAnsi="Times New Roman" w:eastAsia="Times New Roman" w:cs="Times New Roman"/>
                <w:sz w:val="24"/>
                <w:szCs w:val="24"/>
              </w:rPr>
            </w:pPr>
            <w:r>
              <w:rPr>
                <w:rFonts w:ascii="Times New Roman"/>
                <w:spacing w:val="-1"/>
                <w:sz w:val="24"/>
              </w:rPr>
              <w:t>70~80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exact"/>
        </w:trPr>
        <w:tc>
          <w:tcPr>
            <w:tcW w:w="1001" w:type="dxa"/>
            <w:tcBorders>
              <w:tl2br w:val="nil"/>
              <w:tr2bl w:val="nil"/>
            </w:tcBorders>
          </w:tcPr>
          <w:p>
            <w:pPr>
              <w:pStyle w:val="4069"/>
              <w:spacing w:before="14" w:line="240" w:lineRule="auto"/>
              <w:ind w:left="304" w:right="315"/>
              <w:jc w:val="center"/>
              <w:rPr>
                <w:rFonts w:ascii="Times New Roman" w:hAnsi="Times New Roman" w:eastAsia="Times New Roman" w:cs="Times New Roman"/>
                <w:sz w:val="24"/>
                <w:szCs w:val="24"/>
              </w:rPr>
            </w:pPr>
            <w:r>
              <w:rPr>
                <w:rFonts w:ascii="Times New Roman"/>
                <w:sz w:val="24"/>
              </w:rPr>
              <w:t>4</w:t>
            </w:r>
          </w:p>
        </w:tc>
        <w:tc>
          <w:tcPr>
            <w:tcW w:w="2423" w:type="dxa"/>
            <w:tcBorders>
              <w:tl2br w:val="nil"/>
              <w:tr2bl w:val="nil"/>
            </w:tcBorders>
          </w:tcPr>
          <w:p>
            <w:pPr>
              <w:pStyle w:val="4069"/>
              <w:spacing w:line="274" w:lineRule="exact"/>
              <w:ind w:left="726" w:right="0"/>
              <w:jc w:val="left"/>
              <w:rPr>
                <w:rFonts w:ascii="宋体" w:hAnsi="宋体" w:eastAsia="宋体" w:cs="宋体"/>
                <w:sz w:val="24"/>
                <w:szCs w:val="24"/>
              </w:rPr>
            </w:pPr>
            <w:r>
              <w:rPr>
                <w:rFonts w:ascii="宋体" w:hAnsi="宋体" w:eastAsia="宋体" w:cs="宋体"/>
                <w:sz w:val="24"/>
                <w:szCs w:val="24"/>
              </w:rPr>
              <w:t>生产车间</w:t>
            </w:r>
          </w:p>
        </w:tc>
        <w:tc>
          <w:tcPr>
            <w:tcW w:w="2324" w:type="dxa"/>
            <w:tcBorders>
              <w:tl2br w:val="nil"/>
              <w:tr2bl w:val="nil"/>
            </w:tcBorders>
          </w:tcPr>
          <w:p>
            <w:pPr>
              <w:pStyle w:val="4069"/>
              <w:spacing w:line="274" w:lineRule="exact"/>
              <w:ind w:left="675" w:right="0"/>
              <w:jc w:val="left"/>
              <w:rPr>
                <w:rFonts w:ascii="宋体" w:hAnsi="宋体" w:eastAsia="宋体" w:cs="宋体"/>
                <w:sz w:val="24"/>
                <w:szCs w:val="24"/>
              </w:rPr>
            </w:pPr>
            <w:r>
              <w:rPr>
                <w:rFonts w:ascii="宋体" w:hAnsi="宋体" w:eastAsia="宋体" w:cs="宋体"/>
                <w:sz w:val="24"/>
                <w:szCs w:val="24"/>
              </w:rPr>
              <w:t>生产设备</w:t>
            </w:r>
          </w:p>
        </w:tc>
        <w:tc>
          <w:tcPr>
            <w:tcW w:w="2756" w:type="dxa"/>
            <w:tcBorders>
              <w:tl2br w:val="nil"/>
              <w:tr2bl w:val="nil"/>
            </w:tcBorders>
          </w:tcPr>
          <w:p>
            <w:pPr>
              <w:pStyle w:val="4069"/>
              <w:spacing w:before="14" w:line="240" w:lineRule="auto"/>
              <w:ind w:left="1051" w:right="1042"/>
              <w:jc w:val="center"/>
              <w:rPr>
                <w:rFonts w:ascii="Times New Roman" w:hAnsi="Times New Roman" w:eastAsia="Times New Roman" w:cs="Times New Roman"/>
                <w:sz w:val="24"/>
                <w:szCs w:val="24"/>
              </w:rPr>
            </w:pPr>
            <w:r>
              <w:rPr>
                <w:rFonts w:ascii="Times New Roman"/>
                <w:spacing w:val="-1"/>
                <w:sz w:val="24"/>
              </w:rPr>
              <w:t>70~75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2"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5</w:t>
            </w:r>
          </w:p>
        </w:tc>
        <w:tc>
          <w:tcPr>
            <w:tcW w:w="2423" w:type="dxa"/>
            <w:tcBorders>
              <w:tl2br w:val="nil"/>
              <w:tr2bl w:val="nil"/>
            </w:tcBorders>
          </w:tcPr>
          <w:p>
            <w:pPr>
              <w:pStyle w:val="4069"/>
              <w:spacing w:line="275" w:lineRule="exact"/>
              <w:ind w:left="606" w:right="0"/>
              <w:jc w:val="left"/>
              <w:rPr>
                <w:rFonts w:ascii="宋体" w:hAnsi="宋体" w:eastAsia="宋体" w:cs="宋体"/>
                <w:sz w:val="24"/>
                <w:szCs w:val="24"/>
              </w:rPr>
            </w:pPr>
            <w:r>
              <w:rPr>
                <w:rFonts w:ascii="宋体" w:hAnsi="宋体" w:eastAsia="宋体" w:cs="宋体"/>
                <w:sz w:val="24"/>
                <w:szCs w:val="24"/>
              </w:rPr>
              <w:t>循环水系统</w:t>
            </w:r>
          </w:p>
        </w:tc>
        <w:tc>
          <w:tcPr>
            <w:tcW w:w="2324" w:type="dxa"/>
            <w:tcBorders>
              <w:tl2br w:val="nil"/>
              <w:tr2bl w:val="nil"/>
            </w:tcBorders>
          </w:tcPr>
          <w:p>
            <w:pPr>
              <w:pStyle w:val="4069"/>
              <w:spacing w:line="275" w:lineRule="exact"/>
              <w:ind w:left="675" w:right="0"/>
              <w:jc w:val="left"/>
              <w:rPr>
                <w:rFonts w:ascii="宋体" w:hAnsi="宋体" w:eastAsia="宋体" w:cs="宋体"/>
                <w:sz w:val="24"/>
                <w:szCs w:val="24"/>
              </w:rPr>
            </w:pPr>
            <w:r>
              <w:rPr>
                <w:rFonts w:ascii="宋体" w:hAnsi="宋体" w:eastAsia="宋体" w:cs="宋体"/>
                <w:sz w:val="24"/>
                <w:szCs w:val="24"/>
              </w:rPr>
              <w:t>循环水泵</w:t>
            </w:r>
          </w:p>
        </w:tc>
        <w:tc>
          <w:tcPr>
            <w:tcW w:w="2756" w:type="dxa"/>
            <w:tcBorders>
              <w:tl2br w:val="nil"/>
              <w:tr2bl w:val="nil"/>
            </w:tcBorders>
          </w:tcPr>
          <w:p>
            <w:pPr>
              <w:pStyle w:val="4069"/>
              <w:spacing w:before="16" w:line="240" w:lineRule="auto"/>
              <w:ind w:left="1051" w:right="1042"/>
              <w:jc w:val="center"/>
              <w:rPr>
                <w:rFonts w:ascii="Times New Roman" w:hAnsi="Times New Roman" w:eastAsia="Times New Roman" w:cs="Times New Roman"/>
                <w:sz w:val="24"/>
                <w:szCs w:val="24"/>
              </w:rPr>
            </w:pPr>
            <w:r>
              <w:rPr>
                <w:rFonts w:ascii="Times New Roman"/>
                <w:spacing w:val="-1"/>
                <w:sz w:val="24"/>
              </w:rPr>
              <w:t>70~75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exact"/>
        </w:trPr>
        <w:tc>
          <w:tcPr>
            <w:tcW w:w="1001" w:type="dxa"/>
            <w:tcBorders>
              <w:tl2br w:val="nil"/>
              <w:tr2bl w:val="nil"/>
            </w:tcBorders>
          </w:tcPr>
          <w:p>
            <w:pPr>
              <w:pStyle w:val="4069"/>
              <w:spacing w:before="16" w:line="240" w:lineRule="auto"/>
              <w:ind w:left="304" w:right="315"/>
              <w:jc w:val="center"/>
              <w:rPr>
                <w:rFonts w:ascii="Times New Roman" w:hAnsi="Times New Roman" w:eastAsia="Times New Roman" w:cs="Times New Roman"/>
                <w:sz w:val="24"/>
                <w:szCs w:val="24"/>
              </w:rPr>
            </w:pPr>
            <w:r>
              <w:rPr>
                <w:rFonts w:ascii="Times New Roman"/>
                <w:sz w:val="24"/>
              </w:rPr>
              <w:t>6</w:t>
            </w:r>
          </w:p>
        </w:tc>
        <w:tc>
          <w:tcPr>
            <w:tcW w:w="2423" w:type="dxa"/>
            <w:tcBorders>
              <w:tl2br w:val="nil"/>
              <w:tr2bl w:val="nil"/>
            </w:tcBorders>
          </w:tcPr>
          <w:p>
            <w:pPr>
              <w:pStyle w:val="4069"/>
              <w:spacing w:line="274" w:lineRule="exact"/>
              <w:ind w:left="606" w:right="0"/>
              <w:jc w:val="left"/>
              <w:rPr>
                <w:rFonts w:ascii="宋体" w:hAnsi="宋体" w:eastAsia="宋体" w:cs="宋体"/>
                <w:sz w:val="24"/>
                <w:szCs w:val="24"/>
              </w:rPr>
            </w:pPr>
            <w:r>
              <w:rPr>
                <w:rFonts w:ascii="宋体" w:hAnsi="宋体" w:eastAsia="宋体" w:cs="宋体"/>
                <w:sz w:val="24"/>
                <w:szCs w:val="24"/>
              </w:rPr>
              <w:t>待宰、宰杀</w:t>
            </w:r>
          </w:p>
        </w:tc>
        <w:tc>
          <w:tcPr>
            <w:tcW w:w="2324" w:type="dxa"/>
            <w:tcBorders>
              <w:tl2br w:val="nil"/>
              <w:tr2bl w:val="nil"/>
            </w:tcBorders>
          </w:tcPr>
          <w:p>
            <w:pPr>
              <w:pStyle w:val="4069"/>
              <w:spacing w:line="274" w:lineRule="exact"/>
              <w:ind w:left="675" w:right="0"/>
              <w:jc w:val="left"/>
              <w:rPr>
                <w:rFonts w:ascii="宋体" w:hAnsi="宋体" w:eastAsia="宋体" w:cs="宋体"/>
                <w:sz w:val="24"/>
                <w:szCs w:val="24"/>
              </w:rPr>
            </w:pPr>
            <w:r>
              <w:rPr>
                <w:rFonts w:ascii="宋体" w:hAnsi="宋体" w:eastAsia="宋体" w:cs="宋体"/>
                <w:sz w:val="24"/>
                <w:szCs w:val="24"/>
              </w:rPr>
              <w:t>牛叫声</w:t>
            </w:r>
          </w:p>
        </w:tc>
        <w:tc>
          <w:tcPr>
            <w:tcW w:w="2756" w:type="dxa"/>
            <w:tcBorders>
              <w:tl2br w:val="nil"/>
              <w:tr2bl w:val="nil"/>
            </w:tcBorders>
          </w:tcPr>
          <w:p>
            <w:pPr>
              <w:pStyle w:val="4069"/>
              <w:spacing w:before="16" w:line="240" w:lineRule="auto"/>
              <w:ind w:left="1051" w:right="1042"/>
              <w:jc w:val="center"/>
              <w:rPr>
                <w:rFonts w:ascii="Times New Roman" w:hAnsi="Times New Roman" w:eastAsia="Times New Roman" w:cs="Times New Roman"/>
                <w:sz w:val="24"/>
                <w:szCs w:val="24"/>
              </w:rPr>
            </w:pPr>
            <w:r>
              <w:rPr>
                <w:rFonts w:ascii="Times New Roman"/>
                <w:sz w:val="24"/>
              </w:rPr>
              <w:t>85</w:t>
            </w:r>
          </w:p>
        </w:tc>
      </w:tr>
    </w:tbl>
    <w:p>
      <w:pPr>
        <w:pStyle w:val="2"/>
        <w:rPr>
          <w:rFonts w:ascii="Times New Roman" w:hAnsi="Times New Roman" w:eastAsia="宋体" w:cs="Times New Roman"/>
          <w:snapToGrid/>
          <w:kern w:val="2"/>
          <w:sz w:val="24"/>
          <w:szCs w:val="24"/>
          <w:lang w:val="en-US" w:eastAsia="zh-CN" w:bidi="ar-SA"/>
        </w:rPr>
      </w:pPr>
      <w:r>
        <w:rPr>
          <w:rFonts w:ascii="Times New Roman" w:hAnsi="Times New Roman" w:eastAsia="宋体" w:cs="Times New Roman"/>
          <w:snapToGrid/>
          <w:kern w:val="2"/>
          <w:sz w:val="24"/>
          <w:szCs w:val="24"/>
          <w:lang w:val="en-US" w:eastAsia="zh-CN" w:bidi="ar-SA"/>
        </w:rPr>
        <w:t>项目通过采取减振、消声和隔声等治理措施后，本项目的噪声源可降噪15~25dB（A），再经距离衰减后，对区域声环境影响较小，厂界噪声能够满足《工业企业厂界环境噪声排放标准》（GB12348-2008）中的2类标准。</w:t>
      </w:r>
    </w:p>
    <w:p>
      <w:pPr>
        <w:pStyle w:val="6"/>
        <w:rPr>
          <w:snapToGrid w:val="0"/>
        </w:rPr>
      </w:pPr>
      <w:bookmarkStart w:id="250" w:name="_Toc31305"/>
      <w:r>
        <w:rPr>
          <w:rFonts w:hint="eastAsia"/>
          <w:snapToGrid w:val="0"/>
          <w:lang w:eastAsia="zh-CN"/>
        </w:rPr>
        <w:t>工业噪声预测模式</w:t>
      </w:r>
      <w:bookmarkEnd w:id="250"/>
    </w:p>
    <w:p>
      <w:pPr>
        <w:pStyle w:val="2"/>
        <w:rPr>
          <w:rFonts w:ascii="Times New Roman" w:hAnsi="Times New Roman" w:eastAsia="宋体" w:cs="Times New Roman"/>
          <w:snapToGrid/>
          <w:kern w:val="2"/>
          <w:sz w:val="24"/>
          <w:szCs w:val="24"/>
          <w:lang w:val="en-US" w:eastAsia="zh-CN" w:bidi="ar-SA"/>
        </w:rPr>
      </w:pPr>
      <w:r>
        <w:rPr>
          <w:rFonts w:ascii="Times New Roman" w:hAnsi="Times New Roman" w:eastAsia="宋体" w:cs="Times New Roman"/>
          <w:snapToGrid/>
          <w:kern w:val="2"/>
          <w:sz w:val="24"/>
          <w:szCs w:val="24"/>
          <w:lang w:val="en-US" w:eastAsia="zh-CN" w:bidi="ar-SA"/>
        </w:rPr>
        <w:t>（1）预测因子 根据工程特征和项目地区规划，预测因子为厂界噪声LAeq。</w:t>
      </w:r>
    </w:p>
    <w:p>
      <w:pPr>
        <w:pStyle w:val="2"/>
        <w:rPr>
          <w:rFonts w:ascii="Times New Roman" w:hAnsi="Times New Roman" w:eastAsia="宋体" w:cs="Times New Roman"/>
          <w:snapToGrid/>
          <w:kern w:val="2"/>
          <w:sz w:val="24"/>
          <w:szCs w:val="24"/>
          <w:lang w:val="en-US" w:eastAsia="zh-CN" w:bidi="ar-SA"/>
        </w:rPr>
      </w:pPr>
      <w:r>
        <w:rPr>
          <w:rFonts w:ascii="Times New Roman" w:hAnsi="Times New Roman" w:eastAsia="宋体" w:cs="Times New Roman"/>
          <w:snapToGrid/>
          <w:kern w:val="2"/>
          <w:sz w:val="24"/>
          <w:szCs w:val="24"/>
          <w:lang w:val="en-US" w:eastAsia="zh-CN" w:bidi="ar-SA"/>
        </w:rPr>
        <w:t>（2）预测模式</w:t>
      </w:r>
    </w:p>
    <w:p>
      <w:pPr>
        <w:pStyle w:val="2"/>
        <w:rPr>
          <w:rFonts w:ascii="Times New Roman" w:hAnsi="Times New Roman" w:eastAsia="宋体" w:cs="Times New Roman"/>
          <w:snapToGrid/>
          <w:kern w:val="2"/>
          <w:sz w:val="24"/>
          <w:szCs w:val="24"/>
          <w:lang w:val="en-US" w:eastAsia="zh-CN" w:bidi="ar-SA"/>
        </w:rPr>
      </w:pPr>
      <w:r>
        <w:rPr>
          <w:rFonts w:ascii="Times New Roman" w:hAnsi="Times New Roman" w:eastAsia="宋体" w:cs="Times New Roman"/>
          <w:snapToGrid/>
          <w:kern w:val="2"/>
          <w:sz w:val="24"/>
          <w:szCs w:val="24"/>
          <w:lang w:val="en-US" w:eastAsia="zh-CN" w:bidi="ar-SA"/>
        </w:rPr>
        <w:t>①噪声预测模式选取</w:t>
      </w:r>
    </w:p>
    <w:p>
      <w:pPr>
        <w:pStyle w:val="2"/>
        <w:rPr>
          <w:rFonts w:ascii="Times New Roman" w:hAnsi="Times New Roman" w:eastAsia="宋体" w:cs="Times New Roman"/>
          <w:snapToGrid/>
          <w:kern w:val="2"/>
          <w:sz w:val="24"/>
          <w:szCs w:val="24"/>
          <w:lang w:val="en-US" w:eastAsia="zh-CN" w:bidi="ar-SA"/>
        </w:rPr>
      </w:pPr>
      <w:r>
        <w:rPr>
          <w:rFonts w:ascii="Times New Roman" w:hAnsi="Times New Roman" w:eastAsia="宋体" w:cs="Times New Roman"/>
          <w:snapToGrid/>
          <w:kern w:val="2"/>
          <w:sz w:val="24"/>
          <w:szCs w:val="24"/>
          <w:lang w:val="en-US" w:eastAsia="zh-CN" w:bidi="ar-SA"/>
        </w:rPr>
        <w:t>项目主要为机械加工工序设备产生的噪声，由于产生噪声的机加工设备均安装在车间内部。它们对环境噪声的贡献不是由声源直接传播到环境当中，而是由孔洞，如门窗等传播出去，因此，可以把车间门窗简化为向环境辐射噪声的点声源。采用“点声源随距离衰减模式”的预测模式计算单个点源在某个预测点处的声压级。</w:t>
      </w:r>
    </w:p>
    <w:p>
      <w:pPr>
        <w:pStyle w:val="2"/>
        <w:rPr>
          <w:sz w:val="24"/>
        </w:rPr>
      </w:pPr>
      <w:r>
        <w:rPr>
          <w:sz w:val="24"/>
        </w:rPr>
        <w:t>点声源随距离衰减模式：</w:t>
      </w:r>
    </w:p>
    <w:p>
      <w:pPr>
        <w:pStyle w:val="2"/>
        <w:ind w:firstLine="1200" w:firstLineChars="500"/>
        <w:rPr>
          <w:sz w:val="24"/>
        </w:rPr>
      </w:pPr>
      <w:r>
        <w:rPr>
          <w:sz w:val="24"/>
        </w:rPr>
        <w:t>LA（r）＝LA（r0）－20lg（r/r0）－△L</w:t>
      </w:r>
    </w:p>
    <w:p>
      <w:pPr>
        <w:pStyle w:val="2"/>
        <w:rPr>
          <w:sz w:val="24"/>
        </w:rPr>
      </w:pPr>
      <w:r>
        <w:rPr>
          <w:sz w:val="24"/>
        </w:rPr>
        <w:t>式中：LA（r）--距点声源r处的A声级（dB（A））；</w:t>
      </w:r>
    </w:p>
    <w:p>
      <w:pPr>
        <w:pStyle w:val="2"/>
        <w:ind w:firstLine="1200" w:firstLineChars="500"/>
        <w:rPr>
          <w:sz w:val="24"/>
        </w:rPr>
      </w:pPr>
      <w:r>
        <w:rPr>
          <w:sz w:val="24"/>
        </w:rPr>
        <w:t>LA（r0）--距点声源r0处的A声级（dB（A））；</w:t>
      </w:r>
    </w:p>
    <w:p>
      <w:pPr>
        <w:pStyle w:val="2"/>
        <w:ind w:firstLine="1200" w:firstLineChars="500"/>
        <w:rPr>
          <w:sz w:val="24"/>
        </w:rPr>
      </w:pPr>
      <w:r>
        <w:rPr>
          <w:sz w:val="24"/>
        </w:rPr>
        <w:t>r0--参考点离点声源的距离（m）；</w:t>
      </w:r>
    </w:p>
    <w:p>
      <w:pPr>
        <w:pStyle w:val="2"/>
        <w:ind w:firstLine="1200" w:firstLineChars="500"/>
        <w:rPr>
          <w:sz w:val="24"/>
        </w:rPr>
      </w:pPr>
      <w:r>
        <w:rPr>
          <w:sz w:val="24"/>
        </w:rPr>
        <w:t>r--预测点离点声源的距离（m）；</w:t>
      </w:r>
    </w:p>
    <w:p>
      <w:pPr>
        <w:pStyle w:val="2"/>
        <w:ind w:firstLine="1200" w:firstLineChars="500"/>
        <w:rPr>
          <w:sz w:val="24"/>
        </w:rPr>
      </w:pPr>
      <w:r>
        <w:rPr>
          <w:sz w:val="24"/>
        </w:rPr>
        <w:t>△L--厂房引起的衰减量。关于ΔL的取值，其影响因素很多，据工程特点忽略天气、温度、地面状况等因素，主要考虑厂房隔声、建筑反射等，一般厂房隔声ΔL≈10dB(A)，隔声处理厂房ΔL≈15dB(A)。</w:t>
      </w:r>
    </w:p>
    <w:p>
      <w:pPr>
        <w:pStyle w:val="2"/>
        <w:rPr>
          <w:sz w:val="24"/>
        </w:rPr>
      </w:pPr>
      <w:r>
        <w:rPr>
          <w:sz w:val="24"/>
        </w:rPr>
        <w:t>②多声源叠加</w:t>
      </w:r>
    </w:p>
    <w:p>
      <w:pPr>
        <w:pStyle w:val="2"/>
        <w:rPr>
          <w:sz w:val="24"/>
        </w:rPr>
      </w:pPr>
      <w:r>
        <w:rPr>
          <w:sz w:val="24"/>
        </w:rPr>
        <w:t>对于某一预测点，先采用“点声源随距离衰减模式”计算单个点源在该点处的声压级，然后采用“多声源叠加模式”将各点声源的声压贡献值叠加，叠加后总声压级即为工业企业噪声对该预测点的噪声影响值。</w:t>
      </w:r>
    </w:p>
    <w:p>
      <w:pPr>
        <w:spacing w:before="82" w:line="117" w:lineRule="exact"/>
        <w:ind w:left="659" w:right="0" w:firstLine="0"/>
        <w:jc w:val="center"/>
        <w:rPr>
          <w:rFonts w:ascii="Times New Roman" w:hAnsi="Times New Roman" w:eastAsia="Times New Roman" w:cs="Times New Roman"/>
          <w:sz w:val="14"/>
          <w:szCs w:val="14"/>
        </w:rPr>
      </w:pPr>
      <w:r>
        <w:rPr>
          <w:rFonts w:ascii="Times New Roman"/>
          <w:i/>
          <w:sz w:val="14"/>
        </w:rPr>
        <w:t>n</w:t>
      </w:r>
    </w:p>
    <w:p>
      <w:pPr>
        <w:spacing w:before="0" w:line="372" w:lineRule="exact"/>
        <w:ind w:left="381" w:right="0" w:firstLine="0"/>
        <w:jc w:val="center"/>
        <w:rPr>
          <w:rFonts w:ascii="Times New Roman" w:hAnsi="Times New Roman" w:eastAsia="Times New Roman" w:cs="Times New Roman"/>
          <w:sz w:val="14"/>
          <w:szCs w:val="14"/>
        </w:rPr>
      </w:pPr>
      <w:r>
        <mc:AlternateContent>
          <mc:Choice Requires="wpg">
            <w:drawing>
              <wp:anchor distT="0" distB="0" distL="114300" distR="114300" simplePos="0" relativeHeight="3031782400" behindDoc="1" locked="0" layoutInCell="1" allowOverlap="1">
                <wp:simplePos x="0" y="0"/>
                <wp:positionH relativeFrom="page">
                  <wp:posOffset>4317365</wp:posOffset>
                </wp:positionH>
                <wp:positionV relativeFrom="paragraph">
                  <wp:posOffset>27305</wp:posOffset>
                </wp:positionV>
                <wp:extent cx="27940" cy="88265"/>
                <wp:effectExtent l="4445" t="1270" r="5715" b="5715"/>
                <wp:wrapNone/>
                <wp:docPr id="862" name="组合 862"/>
                <wp:cNvGraphicFramePr/>
                <a:graphic xmlns:a="http://schemas.openxmlformats.org/drawingml/2006/main">
                  <a:graphicData uri="http://schemas.microsoft.com/office/word/2010/wordprocessingGroup">
                    <wpg:wgp>
                      <wpg:cNvGrpSpPr/>
                      <wpg:grpSpPr>
                        <a:xfrm>
                          <a:off x="0" y="0"/>
                          <a:ext cx="27940" cy="88265"/>
                          <a:chOff x="6799" y="43"/>
                          <a:chExt cx="44" cy="139"/>
                        </a:xfrm>
                      </wpg:grpSpPr>
                      <wps:wsp>
                        <wps:cNvPr id="861" name="任意多边形 861"/>
                        <wps:cNvSpPr/>
                        <wps:spPr>
                          <a:xfrm>
                            <a:off x="6799" y="43"/>
                            <a:ext cx="44" cy="139"/>
                          </a:xfrm>
                          <a:custGeom>
                            <a:avLst/>
                            <a:gdLst/>
                            <a:ahLst/>
                            <a:cxnLst/>
                            <a:pathLst>
                              <a:path w="44" h="139">
                                <a:moveTo>
                                  <a:pt x="45" y="0"/>
                                </a:moveTo>
                                <a:lnTo>
                                  <a:pt x="0" y="140"/>
                                </a:lnTo>
                              </a:path>
                            </a:pathLst>
                          </a:custGeom>
                          <a:noFill/>
                          <a:ln w="317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9.95pt;margin-top:2.15pt;height:6.95pt;width:2.2pt;mso-position-horizontal-relative:page;z-index:-1766501376;mso-width-relative:page;mso-height-relative:page;" coordorigin="6799,43" coordsize="44,139" o:gfxdata="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gQ4rHZAAAACAEAAA8A&#10;AAAAAAAAAQAgAAAAIgAAAGRycy9kb3ducmV2LnhtbFBLAQIUABQAAAAIAIdO4kBHboxeiAIAAGsF&#10;AAAOAAAAAAAAAAEAIAAAACgBAABkcnMvZTJvRG9jLnhtbFBLBQYAAAAABgAGAFkBAAAiBgAAAAA=&#10;">
                <o:lock v:ext="edit" aspectratio="f"/>
                <v:shape id="_x0000_s1026" o:spid="_x0000_s1026" o:spt="100" style="position:absolute;left:6799;top:43;height:139;width:44;" filled="f" stroked="t" coordsize="44,139" o:gfxdata="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5p9F74A&#10;AADcAAAADwAAAAAAAAABACAAAAAiAAAAZHJzL2Rvd25yZXYueG1sUEsBAhQAFAAAAAgAh07iQDMv&#10;BZ47AAAAOQAAABAAAAAAAAAAAQAgAAAADQEAAGRycy9zaGFwZXhtbC54bWxQSwUGAAAAAAYABgBb&#10;AQAAtwMAAAAA&#10;" path="m45,0l0,140e">
                  <v:fill on="f" focussize="0,0"/>
                  <v:stroke weight="0.25pt" color="#000000" joinstyle="round"/>
                  <v:imagedata o:title=""/>
                  <o:lock v:ext="edit" aspectratio="f"/>
                </v:shape>
              </v:group>
            </w:pict>
          </mc:Fallback>
        </mc:AlternateContent>
      </w:r>
      <w:r>
        <w:rPr>
          <w:rFonts w:ascii="Times New Roman" w:hAnsi="Times New Roman" w:eastAsia="Times New Roman" w:cs="Times New Roman"/>
          <w:i/>
          <w:sz w:val="24"/>
          <w:szCs w:val="24"/>
        </w:rPr>
        <w:t>L</w:t>
      </w:r>
      <w:r>
        <w:rPr>
          <w:rFonts w:ascii="Times New Roman" w:hAnsi="Times New Roman" w:eastAsia="Times New Roman" w:cs="Times New Roman"/>
          <w:i/>
          <w:spacing w:val="-3"/>
          <w:sz w:val="24"/>
          <w:szCs w:val="24"/>
        </w:rPr>
        <w:t xml:space="preserve"> </w:t>
      </w:r>
      <w:r>
        <w:rPr>
          <w:rFonts w:ascii="Symbol" w:hAnsi="Symbol" w:eastAsia="Symbol" w:cs="Symbol"/>
          <w:sz w:val="24"/>
          <w:szCs w:val="24"/>
        </w:rPr>
        <w:t></w:t>
      </w:r>
      <w:r>
        <w:rPr>
          <w:rFonts w:ascii="Symbol" w:hAnsi="Symbol" w:eastAsia="Symbol" w:cs="Symbol"/>
          <w:spacing w:val="-32"/>
          <w:sz w:val="24"/>
          <w:szCs w:val="24"/>
        </w:rPr>
        <w:t></w:t>
      </w:r>
      <w:r>
        <w:rPr>
          <w:rFonts w:ascii="Times New Roman" w:hAnsi="Times New Roman" w:eastAsia="Times New Roman" w:cs="Times New Roman"/>
          <w:sz w:val="24"/>
          <w:szCs w:val="24"/>
        </w:rPr>
        <w:t>10</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z w:val="24"/>
          <w:szCs w:val="24"/>
        </w:rPr>
        <w:t>lg</w:t>
      </w:r>
      <w:r>
        <w:rPr>
          <w:rFonts w:ascii="Times New Roman" w:hAnsi="Times New Roman" w:eastAsia="Times New Roman" w:cs="Times New Roman"/>
          <w:spacing w:val="-28"/>
          <w:sz w:val="24"/>
          <w:szCs w:val="24"/>
        </w:rPr>
        <w:t xml:space="preserve"> </w:t>
      </w:r>
      <w:r>
        <w:rPr>
          <w:rFonts w:ascii="Symbol" w:hAnsi="Symbol" w:eastAsia="Symbol" w:cs="Symbol"/>
          <w:spacing w:val="3"/>
          <w:position w:val="-5"/>
          <w:sz w:val="36"/>
          <w:szCs w:val="36"/>
        </w:rPr>
        <w:t></w:t>
      </w:r>
      <w:r>
        <w:rPr>
          <w:rFonts w:ascii="Times New Roman" w:hAnsi="Times New Roman" w:eastAsia="Times New Roman" w:cs="Times New Roman"/>
          <w:spacing w:val="3"/>
          <w:sz w:val="24"/>
          <w:szCs w:val="24"/>
        </w:rPr>
        <w:t>10</w:t>
      </w:r>
      <w:r>
        <w:rPr>
          <w:rFonts w:ascii="Times New Roman" w:hAnsi="Times New Roman" w:eastAsia="Times New Roman" w:cs="Times New Roman"/>
          <w:i/>
          <w:spacing w:val="3"/>
          <w:position w:val="11"/>
          <w:sz w:val="14"/>
          <w:szCs w:val="14"/>
        </w:rPr>
        <w:t>Li</w:t>
      </w:r>
      <w:r>
        <w:rPr>
          <w:rFonts w:ascii="Times New Roman" w:hAnsi="Times New Roman" w:eastAsia="Times New Roman" w:cs="Times New Roman"/>
          <w:i/>
          <w:spacing w:val="7"/>
          <w:position w:val="11"/>
          <w:sz w:val="14"/>
          <w:szCs w:val="14"/>
        </w:rPr>
        <w:t xml:space="preserve"> </w:t>
      </w:r>
      <w:r>
        <w:rPr>
          <w:rFonts w:ascii="Times New Roman" w:hAnsi="Times New Roman" w:eastAsia="Times New Roman" w:cs="Times New Roman"/>
          <w:position w:val="11"/>
          <w:sz w:val="14"/>
          <w:szCs w:val="14"/>
        </w:rPr>
        <w:t>10</w:t>
      </w:r>
    </w:p>
    <w:p>
      <w:pPr>
        <w:spacing w:before="0" w:line="146" w:lineRule="exact"/>
        <w:ind w:left="668" w:right="0" w:firstLine="0"/>
        <w:jc w:val="center"/>
        <w:rPr>
          <w:rFonts w:ascii="Times New Roman" w:hAnsi="Times New Roman" w:eastAsia="Times New Roman" w:cs="Times New Roman"/>
          <w:sz w:val="14"/>
          <w:szCs w:val="14"/>
        </w:rPr>
      </w:pPr>
      <w:r>
        <w:rPr>
          <w:rFonts w:ascii="Times New Roman" w:hAnsi="Times New Roman" w:eastAsia="Times New Roman" w:cs="Times New Roman"/>
          <w:i/>
          <w:spacing w:val="1"/>
          <w:sz w:val="14"/>
          <w:szCs w:val="14"/>
        </w:rPr>
        <w:t>i</w:t>
      </w:r>
      <w:r>
        <w:rPr>
          <w:rFonts w:ascii="Symbol" w:hAnsi="Symbol" w:eastAsia="Symbol" w:cs="Symbol"/>
          <w:spacing w:val="1"/>
          <w:sz w:val="14"/>
          <w:szCs w:val="14"/>
        </w:rPr>
        <w:t></w:t>
      </w:r>
      <w:r>
        <w:rPr>
          <w:rFonts w:ascii="Times New Roman" w:hAnsi="Times New Roman" w:eastAsia="Times New Roman" w:cs="Times New Roman"/>
          <w:spacing w:val="1"/>
          <w:sz w:val="14"/>
          <w:szCs w:val="14"/>
        </w:rPr>
        <w:t>1</w:t>
      </w:r>
    </w:p>
    <w:p>
      <w:pPr>
        <w:pStyle w:val="2"/>
        <w:rPr>
          <w:sz w:val="24"/>
        </w:rPr>
      </w:pPr>
      <w:r>
        <w:rPr>
          <w:sz w:val="24"/>
        </w:rPr>
        <w:t>式中：Li——第i个声源的噪声值，dB(A)；</w:t>
      </w:r>
    </w:p>
    <w:p>
      <w:pPr>
        <w:pStyle w:val="2"/>
        <w:ind w:firstLine="1200" w:firstLineChars="500"/>
        <w:rPr>
          <w:sz w:val="24"/>
        </w:rPr>
      </w:pPr>
      <w:r>
        <w:rPr>
          <w:sz w:val="24"/>
        </w:rPr>
        <w:t>L——某点噪声总迭加值，dB(A)；</w:t>
      </w:r>
    </w:p>
    <w:p>
      <w:pPr>
        <w:pStyle w:val="2"/>
        <w:ind w:firstLine="1200" w:firstLineChars="500"/>
        <w:rPr>
          <w:sz w:val="24"/>
        </w:rPr>
      </w:pPr>
      <w:r>
        <w:rPr>
          <w:sz w:val="24"/>
        </w:rPr>
        <w:t>n——声源个数。</w:t>
      </w:r>
    </w:p>
    <w:p>
      <w:pPr>
        <w:pStyle w:val="2"/>
        <w:rPr>
          <w:sz w:val="24"/>
        </w:rPr>
      </w:pPr>
      <w:r>
        <w:rPr>
          <w:sz w:val="24"/>
        </w:rPr>
        <w:t>③环境噪声预测值计算</w:t>
      </w:r>
    </w:p>
    <w:p>
      <w:pPr>
        <w:pStyle w:val="2"/>
        <w:rPr>
          <w:sz w:val="24"/>
        </w:rPr>
      </w:pPr>
      <w:r>
        <w:rPr>
          <w:sz w:val="24"/>
        </w:rPr>
        <w:t>在某一预测点处，将预测点的贡献值叠加噪声现状值，叠加后的值即为该预测点的环境噪声预测值，本项目选取厂界外1m作为噪声控制目标进行噪声影响预测与评价。由于项目夜间不生产，因此不对夜间进行预测，评价仍采用监测后的本底值。</w:t>
      </w:r>
    </w:p>
    <w:p>
      <w:pPr>
        <w:pStyle w:val="2"/>
      </w:pPr>
      <w:r>
        <w:t>预测点噪声级计算公式：</w:t>
      </w:r>
    </w:p>
    <w:p>
      <w:pPr>
        <w:spacing w:before="70"/>
        <w:ind w:left="42" w:right="0" w:firstLine="0"/>
        <w:jc w:val="center"/>
      </w:pPr>
      <w:r>
        <w:rPr>
          <w:rFonts w:ascii="Times New Roman"/>
          <w:i/>
          <w:spacing w:val="-3"/>
          <w:w w:val="95"/>
          <w:position w:val="6"/>
          <w:sz w:val="24"/>
        </w:rPr>
        <w:t>L</w:t>
      </w:r>
      <w:r>
        <w:rPr>
          <w:rFonts w:ascii="Times New Roman"/>
          <w:i/>
          <w:spacing w:val="-3"/>
          <w:w w:val="95"/>
          <w:sz w:val="14"/>
        </w:rPr>
        <w:t>eq</w:t>
      </w:r>
      <w:r>
        <w:rPr>
          <w:rFonts w:ascii="Symbol" w:hAnsi="Symbol" w:eastAsia="Symbol" w:cs="Symbol"/>
          <w:sz w:val="24"/>
          <w:szCs w:val="24"/>
        </w:rPr>
        <w:t></w:t>
      </w:r>
      <w:r>
        <w:rPr>
          <w:rFonts w:ascii="Symbol" w:hAnsi="Symbol" w:eastAsia="Symbol" w:cs="Symbol"/>
          <w:spacing w:val="-43"/>
          <w:sz w:val="24"/>
          <w:szCs w:val="24"/>
        </w:rPr>
        <w:t></w:t>
      </w:r>
      <w:r>
        <w:rPr>
          <w:rFonts w:ascii="Times New Roman" w:hAnsi="Times New Roman" w:eastAsia="Times New Roman" w:cs="Times New Roman"/>
          <w:sz w:val="24"/>
          <w:szCs w:val="24"/>
        </w:rPr>
        <w:t>10</w:t>
      </w:r>
      <w:r>
        <w:rPr>
          <w:rFonts w:ascii="Times New Roman" w:hAnsi="Times New Roman" w:eastAsia="Times New Roman" w:cs="Times New Roman"/>
          <w:spacing w:val="-44"/>
          <w:sz w:val="24"/>
          <w:szCs w:val="24"/>
        </w:rPr>
        <w:t xml:space="preserve"> </w:t>
      </w:r>
      <w:r>
        <w:rPr>
          <w:rFonts w:ascii="Times New Roman" w:hAnsi="Times New Roman" w:eastAsia="Times New Roman" w:cs="Times New Roman"/>
          <w:sz w:val="24"/>
          <w:szCs w:val="24"/>
        </w:rPr>
        <w:t>l</w:t>
      </w:r>
      <w:r>
        <w:rPr>
          <w:rFonts w:ascii="Times New Roman" w:hAnsi="Times New Roman" w:eastAsia="Times New Roman" w:cs="Times New Roman"/>
          <w:spacing w:val="5"/>
          <w:sz w:val="24"/>
          <w:szCs w:val="24"/>
        </w:rPr>
        <w:t>g</w:t>
      </w:r>
      <w:r>
        <w:rPr>
          <w:rFonts w:ascii="Symbol" w:hAnsi="Symbol" w:eastAsia="Symbol" w:cs="Symbol"/>
          <w:spacing w:val="-67"/>
          <w:sz w:val="38"/>
          <w:szCs w:val="38"/>
        </w:rPr>
        <w:t></w:t>
      </w:r>
      <w:r>
        <w:rPr>
          <w:rFonts w:ascii="Times New Roman" w:hAnsi="Times New Roman" w:eastAsia="Times New Roman" w:cs="Times New Roman"/>
          <w:sz w:val="24"/>
          <w:szCs w:val="24"/>
        </w:rPr>
        <w:t>1</w:t>
      </w:r>
      <w:r>
        <w:rPr>
          <w:rFonts w:ascii="Times New Roman" w:hAnsi="Times New Roman" w:eastAsia="Times New Roman" w:cs="Times New Roman"/>
          <w:spacing w:val="6"/>
          <w:sz w:val="24"/>
          <w:szCs w:val="24"/>
        </w:rPr>
        <w:t>0</w:t>
      </w:r>
      <w:r>
        <w:rPr>
          <w:rFonts w:ascii="Times New Roman" w:hAnsi="Times New Roman" w:eastAsia="Times New Roman" w:cs="Times New Roman"/>
          <w:position w:val="11"/>
          <w:sz w:val="14"/>
          <w:szCs w:val="14"/>
        </w:rPr>
        <w:t>0</w:t>
      </w:r>
      <w:r>
        <w:rPr>
          <w:rFonts w:ascii="Times New Roman" w:hAnsi="Times New Roman" w:eastAsia="Times New Roman" w:cs="Times New Roman"/>
          <w:spacing w:val="-1"/>
          <w:position w:val="11"/>
          <w:sz w:val="14"/>
          <w:szCs w:val="14"/>
        </w:rPr>
        <w:t>.</w:t>
      </w:r>
      <w:r>
        <w:rPr>
          <w:rFonts w:ascii="Times New Roman" w:hAnsi="Times New Roman" w:eastAsia="Times New Roman" w:cs="Times New Roman"/>
          <w:position w:val="11"/>
          <w:sz w:val="14"/>
          <w:szCs w:val="14"/>
        </w:rPr>
        <w:t>1</w:t>
      </w:r>
      <w:r>
        <w:rPr>
          <w:rFonts w:ascii="Times New Roman" w:hAnsi="Times New Roman" w:eastAsia="Times New Roman" w:cs="Times New Roman"/>
          <w:spacing w:val="-18"/>
          <w:position w:val="11"/>
          <w:sz w:val="14"/>
          <w:szCs w:val="14"/>
        </w:rPr>
        <w:t xml:space="preserve"> </w:t>
      </w:r>
      <w:r>
        <w:rPr>
          <w:rFonts w:ascii="Times New Roman" w:hAnsi="Times New Roman" w:eastAsia="Times New Roman" w:cs="Times New Roman"/>
          <w:i/>
          <w:sz w:val="24"/>
          <w:szCs w:val="24"/>
        </w:rPr>
        <w:t>L</w:t>
      </w:r>
      <w:r>
        <w:rPr>
          <w:rFonts w:ascii="Symbol" w:hAnsi="Symbol" w:eastAsia="Symbol" w:cs="Symbol"/>
          <w:spacing w:val="2"/>
          <w:w w:val="90"/>
          <w:sz w:val="24"/>
          <w:szCs w:val="24"/>
        </w:rPr>
        <w:t></w:t>
      </w:r>
      <w:r>
        <w:rPr>
          <w:rFonts w:ascii="Times New Roman" w:hAnsi="Times New Roman" w:eastAsia="Times New Roman" w:cs="Times New Roman"/>
          <w:spacing w:val="2"/>
          <w:w w:val="90"/>
          <w:sz w:val="24"/>
          <w:szCs w:val="24"/>
        </w:rPr>
        <w:t>10</w:t>
      </w:r>
      <w:r>
        <w:rPr>
          <w:rFonts w:ascii="Times New Roman" w:hAnsi="Times New Roman" w:eastAsia="Times New Roman" w:cs="Times New Roman"/>
          <w:spacing w:val="2"/>
          <w:w w:val="90"/>
          <w:position w:val="11"/>
          <w:sz w:val="14"/>
          <w:szCs w:val="14"/>
        </w:rPr>
        <w:t>0.1</w:t>
      </w:r>
      <w:r>
        <w:rPr>
          <w:rFonts w:ascii="Times New Roman" w:hAnsi="Times New Roman" w:eastAsia="Times New Roman" w:cs="Times New Roman"/>
          <w:spacing w:val="3"/>
          <w:w w:val="90"/>
          <w:position w:val="11"/>
          <w:sz w:val="14"/>
          <w:szCs w:val="14"/>
        </w:rPr>
        <w:t xml:space="preserve"> </w:t>
      </w:r>
      <w:r>
        <w:rPr>
          <w:rFonts w:ascii="Times New Roman" w:hAnsi="Times New Roman" w:eastAsia="Times New Roman" w:cs="Times New Roman"/>
          <w:i/>
          <w:w w:val="90"/>
          <w:sz w:val="24"/>
          <w:szCs w:val="24"/>
        </w:rPr>
        <w:t>L</w:t>
      </w:r>
      <w:r>
        <w:rPr>
          <w:rFonts w:ascii="Symbol" w:hAnsi="Symbol" w:eastAsia="Symbol" w:cs="Symbol"/>
          <w:w w:val="90"/>
          <w:sz w:val="38"/>
          <w:szCs w:val="38"/>
        </w:rPr>
        <w:t></w:t>
      </w:r>
    </w:p>
    <w:p>
      <w:pPr>
        <w:pStyle w:val="2"/>
        <w:rPr>
          <w:spacing w:val="-1"/>
        </w:rPr>
      </w:pPr>
      <w:r>
        <w:rPr>
          <w:spacing w:val="-1"/>
        </w:rPr>
        <w:t>式中：</w:t>
      </w:r>
      <w:r>
        <w:rPr>
          <w:rFonts w:ascii="Times New Roman" w:hAnsi="Times New Roman" w:eastAsia="Times New Roman" w:cs="Times New Roman"/>
          <w:spacing w:val="-1"/>
        </w:rPr>
        <w:t>Leq</w:t>
      </w:r>
      <w:r>
        <w:rPr>
          <w:spacing w:val="-1"/>
        </w:rPr>
        <w:t>－预测点噪声级（</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pStyle w:val="2"/>
        <w:ind w:firstLine="1190" w:firstLineChars="500"/>
        <w:rPr>
          <w:spacing w:val="-1"/>
        </w:rPr>
      </w:pPr>
      <w:r>
        <w:rPr>
          <w:rFonts w:ascii="Times New Roman" w:hAnsi="Times New Roman" w:eastAsia="Times New Roman" w:cs="Times New Roman"/>
          <w:spacing w:val="-1"/>
        </w:rPr>
        <w:t>Leqg</w:t>
      </w:r>
      <w:r>
        <w:rPr>
          <w:spacing w:val="-1"/>
        </w:rPr>
        <w:t>－建设项目声源在预测点的噪声贡献值（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pStyle w:val="2"/>
        <w:ind w:firstLine="1190" w:firstLineChars="500"/>
      </w:pPr>
      <w:r>
        <w:rPr>
          <w:rFonts w:ascii="Times New Roman" w:hAnsi="Times New Roman" w:eastAsia="Times New Roman" w:cs="Times New Roman"/>
          <w:spacing w:val="-1"/>
        </w:rPr>
        <w:t>Leqb</w:t>
      </w:r>
      <w:r>
        <w:rPr>
          <w:spacing w:val="-1"/>
        </w:rPr>
        <w:t>－预测点的背景值（</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pStyle w:val="2"/>
        <w:rPr>
          <w:rFonts w:hint="eastAsia" w:eastAsia="宋体"/>
          <w:lang w:eastAsia="zh-CN"/>
        </w:rPr>
      </w:pPr>
      <w:r>
        <w:rPr>
          <w:rFonts w:hint="eastAsia"/>
          <w:lang w:eastAsia="zh-CN"/>
        </w:rPr>
        <w:t>（</w:t>
      </w:r>
      <w:r>
        <w:rPr>
          <w:rFonts w:hint="eastAsia"/>
          <w:lang w:val="en-US" w:eastAsia="zh-CN"/>
        </w:rPr>
        <w:t>3</w:t>
      </w:r>
      <w:r>
        <w:rPr>
          <w:rFonts w:hint="eastAsia"/>
          <w:lang w:eastAsia="zh-CN"/>
        </w:rPr>
        <w:t>）</w:t>
      </w:r>
      <w:r>
        <w:rPr>
          <w:spacing w:val="-1"/>
        </w:rPr>
        <w:t>噪声预测结果</w:t>
      </w:r>
    </w:p>
    <w:p>
      <w:pPr>
        <w:pStyle w:val="2"/>
        <w:spacing w:before="26" w:line="336" w:lineRule="auto"/>
        <w:ind w:right="0"/>
        <w:jc w:val="left"/>
      </w:pPr>
      <w:r>
        <w:t>根据现场勘查和厂区平面布局设计图</w:t>
      </w:r>
      <w:r>
        <w:rPr>
          <w:spacing w:val="-120"/>
        </w:rPr>
        <w:t>，</w:t>
      </w:r>
      <w:r>
        <w:t>本建设项目主要噪声源距拟建厂界四个监测点的距离估算，然后采用上述点距离衰减公式，求出本项目主要噪声源噪声与各预测受声点的噪声贡献值，列表与</w:t>
      </w:r>
      <w:r>
        <w:rPr>
          <w:rFonts w:hint="eastAsia"/>
          <w:lang w:val="en-US" w:eastAsia="zh-CN"/>
        </w:rPr>
        <w:t>6.4-2</w:t>
      </w:r>
      <w:r>
        <w:t>中。</w:t>
      </w:r>
    </w:p>
    <w:p>
      <w:pPr>
        <w:pStyle w:val="2"/>
        <w:spacing w:before="26" w:line="336" w:lineRule="auto"/>
        <w:ind w:right="0"/>
        <w:jc w:val="left"/>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p>
      <w:pPr>
        <w:pStyle w:val="2"/>
        <w:spacing w:before="29" w:line="240" w:lineRule="auto"/>
        <w:ind w:left="473" w:right="0"/>
        <w:jc w:val="center"/>
      </w:pPr>
      <w:r>
        <w:t>表</w:t>
      </w:r>
      <w:r>
        <w:rPr>
          <w:rFonts w:hint="eastAsia"/>
          <w:lang w:val="en-US" w:eastAsia="zh-CN"/>
        </w:rPr>
        <w:t xml:space="preserve">6.4-2  </w:t>
      </w:r>
      <w:r>
        <w:t>本项目厂界噪声预测结果表</w:t>
      </w:r>
    </w:p>
    <w:tbl>
      <w:tblPr>
        <w:tblStyle w:val="88"/>
        <w:tblW w:w="0" w:type="auto"/>
        <w:tblInd w:w="15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88"/>
        <w:gridCol w:w="1289"/>
        <w:gridCol w:w="1289"/>
        <w:gridCol w:w="991"/>
        <w:gridCol w:w="1585"/>
        <w:gridCol w:w="1008"/>
        <w:gridCol w:w="1571"/>
        <w:gridCol w:w="1075"/>
        <w:gridCol w:w="1500"/>
        <w:gridCol w:w="1039"/>
        <w:gridCol w:w="153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exact"/>
        </w:trPr>
        <w:tc>
          <w:tcPr>
            <w:tcW w:w="1288" w:type="dxa"/>
            <w:vMerge w:val="restart"/>
            <w:tcBorders>
              <w:tl2br w:val="nil"/>
              <w:tr2bl w:val="nil"/>
            </w:tcBorders>
          </w:tcPr>
          <w:p>
            <w:pPr>
              <w:pStyle w:val="4069"/>
              <w:spacing w:before="15" w:line="240" w:lineRule="exact"/>
              <w:ind w:right="0"/>
              <w:jc w:val="left"/>
              <w:rPr>
                <w:sz w:val="24"/>
                <w:szCs w:val="24"/>
              </w:rPr>
            </w:pPr>
          </w:p>
          <w:p>
            <w:pPr>
              <w:pStyle w:val="4069"/>
              <w:spacing w:line="240" w:lineRule="auto"/>
              <w:ind w:left="418" w:right="0"/>
              <w:jc w:val="left"/>
              <w:rPr>
                <w:rFonts w:ascii="宋体" w:hAnsi="宋体" w:eastAsia="宋体" w:cs="宋体"/>
                <w:sz w:val="21"/>
                <w:szCs w:val="21"/>
              </w:rPr>
            </w:pPr>
            <w:r>
              <w:rPr>
                <w:rFonts w:ascii="宋体" w:hAnsi="宋体" w:eastAsia="宋体" w:cs="宋体"/>
                <w:sz w:val="21"/>
                <w:szCs w:val="21"/>
              </w:rPr>
              <w:t>序号</w:t>
            </w:r>
          </w:p>
        </w:tc>
        <w:tc>
          <w:tcPr>
            <w:tcW w:w="1289" w:type="dxa"/>
            <w:vMerge w:val="restart"/>
            <w:tcBorders>
              <w:tl2br w:val="nil"/>
              <w:tr2bl w:val="nil"/>
            </w:tcBorders>
          </w:tcPr>
          <w:p>
            <w:pPr>
              <w:pStyle w:val="4069"/>
              <w:spacing w:before="15" w:line="240" w:lineRule="exact"/>
              <w:ind w:right="0"/>
              <w:jc w:val="left"/>
              <w:rPr>
                <w:sz w:val="24"/>
                <w:szCs w:val="24"/>
              </w:rPr>
            </w:pPr>
          </w:p>
          <w:p>
            <w:pPr>
              <w:pStyle w:val="4069"/>
              <w:spacing w:line="240" w:lineRule="auto"/>
              <w:ind w:left="218" w:right="0"/>
              <w:jc w:val="left"/>
              <w:rPr>
                <w:rFonts w:ascii="宋体" w:hAnsi="宋体" w:eastAsia="宋体" w:cs="宋体"/>
                <w:sz w:val="21"/>
                <w:szCs w:val="21"/>
              </w:rPr>
            </w:pPr>
            <w:r>
              <w:rPr>
                <w:rFonts w:ascii="宋体" w:hAnsi="宋体" w:eastAsia="宋体" w:cs="宋体"/>
                <w:sz w:val="21"/>
                <w:szCs w:val="21"/>
              </w:rPr>
              <w:t>设备名称</w:t>
            </w:r>
          </w:p>
        </w:tc>
        <w:tc>
          <w:tcPr>
            <w:tcW w:w="1289" w:type="dxa"/>
            <w:vMerge w:val="restart"/>
            <w:tcBorders>
              <w:tl2br w:val="nil"/>
              <w:tr2bl w:val="nil"/>
            </w:tcBorders>
          </w:tcPr>
          <w:p>
            <w:pPr>
              <w:pStyle w:val="4069"/>
              <w:spacing w:before="7" w:line="272" w:lineRule="exact"/>
              <w:ind w:left="113" w:right="110"/>
              <w:jc w:val="center"/>
              <w:rPr>
                <w:rFonts w:ascii="宋体" w:hAnsi="宋体" w:eastAsia="宋体" w:cs="宋体"/>
                <w:sz w:val="21"/>
                <w:szCs w:val="21"/>
              </w:rPr>
            </w:pPr>
            <w:r>
              <w:rPr>
                <w:rFonts w:ascii="宋体" w:hAnsi="宋体" w:eastAsia="宋体" w:cs="宋体"/>
                <w:sz w:val="21"/>
                <w:szCs w:val="21"/>
              </w:rPr>
              <w:t>治理后所在</w:t>
            </w:r>
            <w:r>
              <w:rPr>
                <w:rFonts w:ascii="宋体" w:hAnsi="宋体" w:eastAsia="宋体" w:cs="宋体"/>
                <w:spacing w:val="25"/>
                <w:sz w:val="21"/>
                <w:szCs w:val="21"/>
              </w:rPr>
              <w:t xml:space="preserve"> </w:t>
            </w:r>
            <w:r>
              <w:rPr>
                <w:rFonts w:ascii="宋体" w:hAnsi="宋体" w:eastAsia="宋体" w:cs="宋体"/>
                <w:sz w:val="21"/>
                <w:szCs w:val="21"/>
              </w:rPr>
              <w:t>车间外环境</w:t>
            </w:r>
            <w:r>
              <w:rPr>
                <w:rFonts w:ascii="宋体" w:hAnsi="宋体" w:eastAsia="宋体" w:cs="宋体"/>
                <w:spacing w:val="25"/>
                <w:sz w:val="21"/>
                <w:szCs w:val="21"/>
              </w:rPr>
              <w:t xml:space="preserve"> </w:t>
            </w:r>
            <w:r>
              <w:rPr>
                <w:rFonts w:ascii="宋体" w:hAnsi="宋体" w:eastAsia="宋体" w:cs="宋体"/>
                <w:sz w:val="21"/>
                <w:szCs w:val="21"/>
              </w:rPr>
              <w:t>声级值</w:t>
            </w:r>
          </w:p>
        </w:tc>
        <w:tc>
          <w:tcPr>
            <w:tcW w:w="2576" w:type="dxa"/>
            <w:gridSpan w:val="2"/>
            <w:tcBorders>
              <w:tl2br w:val="nil"/>
              <w:tr2bl w:val="nil"/>
            </w:tcBorders>
          </w:tcPr>
          <w:p>
            <w:pPr>
              <w:pStyle w:val="4069"/>
              <w:spacing w:line="270" w:lineRule="exact"/>
              <w:ind w:right="1"/>
              <w:jc w:val="center"/>
              <w:rPr>
                <w:rFonts w:ascii="宋体" w:hAnsi="宋体" w:eastAsia="宋体" w:cs="宋体"/>
                <w:sz w:val="21"/>
                <w:szCs w:val="21"/>
              </w:rPr>
            </w:pPr>
            <w:r>
              <w:rPr>
                <w:rFonts w:ascii="Times New Roman" w:hAnsi="Times New Roman" w:eastAsia="Times New Roman" w:cs="Times New Roman"/>
                <w:b/>
                <w:bCs/>
                <w:spacing w:val="-1"/>
                <w:sz w:val="21"/>
                <w:szCs w:val="21"/>
              </w:rPr>
              <w:t>1#</w:t>
            </w:r>
            <w:r>
              <w:rPr>
                <w:rFonts w:ascii="宋体" w:hAnsi="宋体" w:eastAsia="宋体" w:cs="宋体"/>
                <w:spacing w:val="-1"/>
                <w:sz w:val="21"/>
                <w:szCs w:val="21"/>
              </w:rPr>
              <w:t>厂界东</w:t>
            </w:r>
          </w:p>
        </w:tc>
        <w:tc>
          <w:tcPr>
            <w:tcW w:w="2579" w:type="dxa"/>
            <w:gridSpan w:val="2"/>
            <w:tcBorders>
              <w:tl2br w:val="nil"/>
              <w:tr2bl w:val="nil"/>
            </w:tcBorders>
          </w:tcPr>
          <w:p>
            <w:pPr>
              <w:pStyle w:val="4069"/>
              <w:spacing w:line="270" w:lineRule="exact"/>
              <w:ind w:right="0"/>
              <w:jc w:val="center"/>
              <w:rPr>
                <w:rFonts w:ascii="宋体" w:hAnsi="宋体" w:eastAsia="宋体" w:cs="宋体"/>
                <w:sz w:val="21"/>
                <w:szCs w:val="21"/>
              </w:rPr>
            </w:pPr>
            <w:r>
              <w:rPr>
                <w:rFonts w:ascii="Times New Roman" w:hAnsi="Times New Roman" w:eastAsia="Times New Roman" w:cs="Times New Roman"/>
                <w:b/>
                <w:bCs/>
                <w:sz w:val="21"/>
                <w:szCs w:val="21"/>
              </w:rPr>
              <w:t>2#</w:t>
            </w:r>
            <w:r>
              <w:rPr>
                <w:rFonts w:ascii="宋体" w:hAnsi="宋体" w:eastAsia="宋体" w:cs="宋体"/>
                <w:sz w:val="21"/>
                <w:szCs w:val="21"/>
              </w:rPr>
              <w:t>厂界南</w:t>
            </w:r>
          </w:p>
        </w:tc>
        <w:tc>
          <w:tcPr>
            <w:tcW w:w="2575" w:type="dxa"/>
            <w:gridSpan w:val="2"/>
            <w:tcBorders>
              <w:tl2br w:val="nil"/>
              <w:tr2bl w:val="nil"/>
            </w:tcBorders>
          </w:tcPr>
          <w:p>
            <w:pPr>
              <w:pStyle w:val="4069"/>
              <w:spacing w:line="270" w:lineRule="exact"/>
              <w:ind w:right="2"/>
              <w:jc w:val="center"/>
              <w:rPr>
                <w:rFonts w:ascii="宋体" w:hAnsi="宋体" w:eastAsia="宋体" w:cs="宋体"/>
                <w:sz w:val="21"/>
                <w:szCs w:val="21"/>
              </w:rPr>
            </w:pPr>
            <w:r>
              <w:rPr>
                <w:rFonts w:ascii="Times New Roman" w:hAnsi="Times New Roman" w:eastAsia="Times New Roman" w:cs="Times New Roman"/>
                <w:b/>
                <w:bCs/>
                <w:spacing w:val="-1"/>
                <w:sz w:val="21"/>
                <w:szCs w:val="21"/>
              </w:rPr>
              <w:t>3#</w:t>
            </w:r>
            <w:r>
              <w:rPr>
                <w:rFonts w:ascii="宋体" w:hAnsi="宋体" w:eastAsia="宋体" w:cs="宋体"/>
                <w:spacing w:val="-1"/>
                <w:sz w:val="21"/>
                <w:szCs w:val="21"/>
              </w:rPr>
              <w:t>厂界西</w:t>
            </w:r>
          </w:p>
        </w:tc>
        <w:tc>
          <w:tcPr>
            <w:tcW w:w="2578" w:type="dxa"/>
            <w:gridSpan w:val="2"/>
            <w:tcBorders>
              <w:tl2br w:val="nil"/>
              <w:tr2bl w:val="nil"/>
            </w:tcBorders>
          </w:tcPr>
          <w:p>
            <w:pPr>
              <w:pStyle w:val="4069"/>
              <w:spacing w:line="270" w:lineRule="exact"/>
              <w:ind w:left="8" w:right="0"/>
              <w:jc w:val="center"/>
              <w:rPr>
                <w:rFonts w:ascii="宋体" w:hAnsi="宋体" w:eastAsia="宋体" w:cs="宋体"/>
                <w:sz w:val="21"/>
                <w:szCs w:val="21"/>
              </w:rPr>
            </w:pPr>
            <w:r>
              <w:rPr>
                <w:rFonts w:ascii="Times New Roman" w:hAnsi="Times New Roman" w:eastAsia="Times New Roman" w:cs="Times New Roman"/>
                <w:b/>
                <w:bCs/>
                <w:sz w:val="21"/>
                <w:szCs w:val="21"/>
              </w:rPr>
              <w:t>4#</w:t>
            </w:r>
            <w:r>
              <w:rPr>
                <w:rFonts w:ascii="宋体" w:hAnsi="宋体" w:eastAsia="宋体" w:cs="宋体"/>
                <w:sz w:val="21"/>
                <w:szCs w:val="21"/>
              </w:rPr>
              <w:t>厂界北</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6" w:hRule="exact"/>
        </w:trPr>
        <w:tc>
          <w:tcPr>
            <w:tcW w:w="1288" w:type="dxa"/>
            <w:vMerge w:val="continue"/>
            <w:tcBorders>
              <w:tl2br w:val="nil"/>
              <w:tr2bl w:val="nil"/>
            </w:tcBorders>
          </w:tcPr>
          <w:p/>
        </w:tc>
        <w:tc>
          <w:tcPr>
            <w:tcW w:w="1289" w:type="dxa"/>
            <w:vMerge w:val="continue"/>
            <w:tcBorders>
              <w:tl2br w:val="nil"/>
              <w:tr2bl w:val="nil"/>
            </w:tcBorders>
          </w:tcPr>
          <w:p/>
        </w:tc>
        <w:tc>
          <w:tcPr>
            <w:tcW w:w="1289" w:type="dxa"/>
            <w:vMerge w:val="continue"/>
            <w:tcBorders>
              <w:tl2br w:val="nil"/>
              <w:tr2bl w:val="nil"/>
            </w:tcBorders>
          </w:tcPr>
          <w:p/>
        </w:tc>
        <w:tc>
          <w:tcPr>
            <w:tcW w:w="991" w:type="dxa"/>
            <w:tcBorders>
              <w:tl2br w:val="nil"/>
              <w:tr2bl w:val="nil"/>
            </w:tcBorders>
          </w:tcPr>
          <w:p>
            <w:pPr>
              <w:pStyle w:val="4069"/>
              <w:spacing w:before="98" w:line="240" w:lineRule="auto"/>
              <w:ind w:left="166" w:right="0"/>
              <w:jc w:val="left"/>
              <w:rPr>
                <w:rFonts w:ascii="Times New Roman" w:hAnsi="Times New Roman" w:eastAsia="Times New Roman" w:cs="Times New Roman"/>
                <w:sz w:val="21"/>
                <w:szCs w:val="21"/>
              </w:rPr>
            </w:pPr>
            <w:r>
              <w:rPr>
                <w:rFonts w:ascii="宋体" w:hAnsi="宋体" w:eastAsia="宋体" w:cs="宋体"/>
                <w:sz w:val="21"/>
                <w:szCs w:val="21"/>
              </w:rPr>
              <w:t>距离</w:t>
            </w:r>
            <w:r>
              <w:rPr>
                <w:rFonts w:ascii="宋体" w:hAnsi="宋体" w:eastAsia="宋体" w:cs="宋体"/>
                <w:spacing w:val="-51"/>
                <w:sz w:val="21"/>
                <w:szCs w:val="21"/>
              </w:rPr>
              <w:t xml:space="preserve"> </w:t>
            </w:r>
            <w:r>
              <w:rPr>
                <w:rFonts w:ascii="Times New Roman" w:hAnsi="Times New Roman" w:eastAsia="Times New Roman" w:cs="Times New Roman"/>
                <w:b/>
                <w:bCs/>
                <w:sz w:val="21"/>
                <w:szCs w:val="21"/>
              </w:rPr>
              <w:t>m</w:t>
            </w:r>
          </w:p>
        </w:tc>
        <w:tc>
          <w:tcPr>
            <w:tcW w:w="1585" w:type="dxa"/>
            <w:tcBorders>
              <w:tl2br w:val="nil"/>
              <w:tr2bl w:val="nil"/>
            </w:tcBorders>
          </w:tcPr>
          <w:p>
            <w:pPr>
              <w:pStyle w:val="4069"/>
              <w:spacing w:before="98" w:line="240" w:lineRule="auto"/>
              <w:ind w:left="105" w:right="-3"/>
              <w:jc w:val="left"/>
              <w:rPr>
                <w:rFonts w:ascii="宋体" w:hAnsi="宋体" w:eastAsia="宋体" w:cs="宋体"/>
                <w:sz w:val="21"/>
                <w:szCs w:val="21"/>
              </w:rPr>
            </w:pPr>
            <w:r>
              <w:rPr>
                <w:rFonts w:ascii="宋体" w:hAnsi="宋体" w:eastAsia="宋体" w:cs="宋体"/>
                <w:sz w:val="21"/>
                <w:szCs w:val="21"/>
              </w:rPr>
              <w:t>噪声值</w:t>
            </w:r>
            <w:r>
              <w:rPr>
                <w:rFonts w:ascii="宋体" w:hAnsi="宋体" w:eastAsia="宋体" w:cs="宋体"/>
                <w:spacing w:val="-52"/>
                <w:sz w:val="21"/>
                <w:szCs w:val="21"/>
              </w:rPr>
              <w:t xml:space="preserve"> </w:t>
            </w:r>
            <w:r>
              <w:rPr>
                <w:rFonts w:ascii="Times New Roman" w:hAnsi="Times New Roman" w:eastAsia="Times New Roman" w:cs="Times New Roman"/>
                <w:b/>
                <w:bCs/>
                <w:spacing w:val="-2"/>
                <w:sz w:val="21"/>
                <w:szCs w:val="21"/>
              </w:rPr>
              <w:t>d</w:t>
            </w:r>
            <w:r>
              <w:rPr>
                <w:rFonts w:ascii="Times New Roman" w:hAnsi="Times New Roman" w:eastAsia="Times New Roman" w:cs="Times New Roman"/>
                <w:b/>
                <w:bCs/>
                <w:spacing w:val="-41"/>
                <w:sz w:val="21"/>
                <w:szCs w:val="21"/>
              </w:rPr>
              <w:t>B</w:t>
            </w:r>
            <w:r>
              <w:rPr>
                <w:rFonts w:ascii="宋体" w:hAnsi="宋体" w:eastAsia="宋体" w:cs="宋体"/>
                <w:sz w:val="21"/>
                <w:szCs w:val="21"/>
              </w:rPr>
              <w:t>（</w:t>
            </w:r>
            <w:r>
              <w:rPr>
                <w:rFonts w:ascii="Times New Roman" w:hAnsi="Times New Roman" w:eastAsia="Times New Roman" w:cs="Times New Roman"/>
                <w:b/>
                <w:bCs/>
                <w:sz w:val="21"/>
                <w:szCs w:val="21"/>
              </w:rPr>
              <w:t>A</w:t>
            </w:r>
            <w:r>
              <w:rPr>
                <w:rFonts w:ascii="宋体" w:hAnsi="宋体" w:eastAsia="宋体" w:cs="宋体"/>
                <w:sz w:val="21"/>
                <w:szCs w:val="21"/>
              </w:rPr>
              <w:t>）</w:t>
            </w:r>
          </w:p>
        </w:tc>
        <w:tc>
          <w:tcPr>
            <w:tcW w:w="1008" w:type="dxa"/>
            <w:tcBorders>
              <w:tl2br w:val="nil"/>
              <w:tr2bl w:val="nil"/>
            </w:tcBorders>
          </w:tcPr>
          <w:p>
            <w:pPr>
              <w:pStyle w:val="4069"/>
              <w:spacing w:before="98" w:line="240" w:lineRule="auto"/>
              <w:ind w:left="175" w:right="0"/>
              <w:jc w:val="left"/>
              <w:rPr>
                <w:rFonts w:ascii="Times New Roman" w:hAnsi="Times New Roman" w:eastAsia="Times New Roman" w:cs="Times New Roman"/>
                <w:sz w:val="21"/>
                <w:szCs w:val="21"/>
              </w:rPr>
            </w:pPr>
            <w:r>
              <w:rPr>
                <w:rFonts w:ascii="宋体" w:hAnsi="宋体" w:eastAsia="宋体" w:cs="宋体"/>
                <w:sz w:val="21"/>
                <w:szCs w:val="21"/>
              </w:rPr>
              <w:t>距离</w:t>
            </w:r>
            <w:r>
              <w:rPr>
                <w:rFonts w:ascii="宋体" w:hAnsi="宋体" w:eastAsia="宋体" w:cs="宋体"/>
                <w:spacing w:val="-53"/>
                <w:sz w:val="21"/>
                <w:szCs w:val="21"/>
              </w:rPr>
              <w:t xml:space="preserve"> </w:t>
            </w:r>
            <w:r>
              <w:rPr>
                <w:rFonts w:ascii="Times New Roman" w:hAnsi="Times New Roman" w:eastAsia="Times New Roman" w:cs="Times New Roman"/>
                <w:b/>
                <w:bCs/>
                <w:sz w:val="21"/>
                <w:szCs w:val="21"/>
              </w:rPr>
              <w:t>m</w:t>
            </w:r>
          </w:p>
        </w:tc>
        <w:tc>
          <w:tcPr>
            <w:tcW w:w="1571" w:type="dxa"/>
            <w:tcBorders>
              <w:tl2br w:val="nil"/>
              <w:tr2bl w:val="nil"/>
            </w:tcBorders>
          </w:tcPr>
          <w:p>
            <w:pPr>
              <w:pStyle w:val="4069"/>
              <w:spacing w:before="98" w:line="240" w:lineRule="auto"/>
              <w:ind w:left="104" w:right="-2"/>
              <w:jc w:val="left"/>
              <w:rPr>
                <w:rFonts w:ascii="宋体" w:hAnsi="宋体" w:eastAsia="宋体" w:cs="宋体"/>
                <w:sz w:val="21"/>
                <w:szCs w:val="21"/>
              </w:rPr>
            </w:pPr>
            <w:r>
              <w:rPr>
                <w:rFonts w:ascii="宋体" w:hAnsi="宋体" w:eastAsia="宋体" w:cs="宋体"/>
                <w:sz w:val="21"/>
                <w:szCs w:val="21"/>
              </w:rPr>
              <w:t>噪声值</w:t>
            </w:r>
            <w:r>
              <w:rPr>
                <w:rFonts w:ascii="宋体" w:hAnsi="宋体" w:eastAsia="宋体" w:cs="宋体"/>
                <w:spacing w:val="-52"/>
                <w:sz w:val="21"/>
                <w:szCs w:val="21"/>
              </w:rPr>
              <w:t xml:space="preserve"> </w:t>
            </w:r>
            <w:r>
              <w:rPr>
                <w:rFonts w:ascii="Times New Roman" w:hAnsi="Times New Roman" w:eastAsia="Times New Roman" w:cs="Times New Roman"/>
                <w:b/>
                <w:bCs/>
                <w:spacing w:val="-2"/>
                <w:sz w:val="21"/>
                <w:szCs w:val="21"/>
              </w:rPr>
              <w:t>d</w:t>
            </w:r>
            <w:r>
              <w:rPr>
                <w:rFonts w:ascii="Times New Roman" w:hAnsi="Times New Roman" w:eastAsia="Times New Roman" w:cs="Times New Roman"/>
                <w:b/>
                <w:bCs/>
                <w:spacing w:val="-54"/>
                <w:sz w:val="21"/>
                <w:szCs w:val="21"/>
              </w:rPr>
              <w:t>B</w:t>
            </w:r>
            <w:r>
              <w:rPr>
                <w:rFonts w:ascii="宋体" w:hAnsi="宋体" w:eastAsia="宋体" w:cs="宋体"/>
                <w:sz w:val="21"/>
                <w:szCs w:val="21"/>
              </w:rPr>
              <w:t>（</w:t>
            </w:r>
            <w:r>
              <w:rPr>
                <w:rFonts w:ascii="Times New Roman" w:hAnsi="Times New Roman" w:eastAsia="Times New Roman" w:cs="Times New Roman"/>
                <w:b/>
                <w:bCs/>
                <w:spacing w:val="-1"/>
                <w:sz w:val="21"/>
                <w:szCs w:val="21"/>
              </w:rPr>
              <w:t>A</w:t>
            </w:r>
            <w:r>
              <w:rPr>
                <w:rFonts w:ascii="宋体" w:hAnsi="宋体" w:eastAsia="宋体" w:cs="宋体"/>
                <w:sz w:val="21"/>
                <w:szCs w:val="21"/>
              </w:rPr>
              <w:t>）</w:t>
            </w:r>
          </w:p>
        </w:tc>
        <w:tc>
          <w:tcPr>
            <w:tcW w:w="1075" w:type="dxa"/>
            <w:tcBorders>
              <w:tl2br w:val="nil"/>
              <w:tr2bl w:val="nil"/>
            </w:tcBorders>
          </w:tcPr>
          <w:p>
            <w:pPr>
              <w:pStyle w:val="4069"/>
              <w:spacing w:before="98" w:line="240" w:lineRule="auto"/>
              <w:ind w:left="207" w:right="0"/>
              <w:jc w:val="left"/>
              <w:rPr>
                <w:rFonts w:ascii="Times New Roman" w:hAnsi="Times New Roman" w:eastAsia="Times New Roman" w:cs="Times New Roman"/>
                <w:sz w:val="21"/>
                <w:szCs w:val="21"/>
              </w:rPr>
            </w:pPr>
            <w:r>
              <w:rPr>
                <w:rFonts w:ascii="宋体" w:hAnsi="宋体" w:eastAsia="宋体" w:cs="宋体"/>
                <w:sz w:val="21"/>
                <w:szCs w:val="21"/>
              </w:rPr>
              <w:t>距离</w:t>
            </w:r>
            <w:r>
              <w:rPr>
                <w:rFonts w:ascii="宋体" w:hAnsi="宋体" w:eastAsia="宋体" w:cs="宋体"/>
                <w:spacing w:val="-51"/>
                <w:sz w:val="21"/>
                <w:szCs w:val="21"/>
              </w:rPr>
              <w:t xml:space="preserve"> </w:t>
            </w:r>
            <w:r>
              <w:rPr>
                <w:rFonts w:ascii="Times New Roman" w:hAnsi="Times New Roman" w:eastAsia="Times New Roman" w:cs="Times New Roman"/>
                <w:b/>
                <w:bCs/>
                <w:sz w:val="21"/>
                <w:szCs w:val="21"/>
              </w:rPr>
              <w:t>m</w:t>
            </w:r>
          </w:p>
        </w:tc>
        <w:tc>
          <w:tcPr>
            <w:tcW w:w="1500" w:type="dxa"/>
            <w:tcBorders>
              <w:tl2br w:val="nil"/>
              <w:tr2bl w:val="nil"/>
            </w:tcBorders>
          </w:tcPr>
          <w:p>
            <w:pPr>
              <w:pStyle w:val="4069"/>
              <w:spacing w:before="98" w:line="240" w:lineRule="auto"/>
              <w:ind w:left="104" w:right="-3"/>
              <w:jc w:val="left"/>
              <w:rPr>
                <w:rFonts w:ascii="宋体" w:hAnsi="宋体" w:eastAsia="宋体" w:cs="宋体"/>
                <w:sz w:val="21"/>
                <w:szCs w:val="21"/>
              </w:rPr>
            </w:pPr>
            <w:r>
              <w:rPr>
                <w:rFonts w:ascii="宋体" w:hAnsi="宋体" w:eastAsia="宋体" w:cs="宋体"/>
                <w:sz w:val="21"/>
                <w:szCs w:val="21"/>
              </w:rPr>
              <w:t>噪</w:t>
            </w:r>
            <w:r>
              <w:rPr>
                <w:rFonts w:ascii="宋体" w:hAnsi="宋体" w:eastAsia="宋体" w:cs="宋体"/>
                <w:spacing w:val="1"/>
                <w:sz w:val="21"/>
                <w:szCs w:val="21"/>
              </w:rPr>
              <w:t>声</w:t>
            </w:r>
            <w:r>
              <w:rPr>
                <w:rFonts w:ascii="宋体" w:hAnsi="宋体" w:eastAsia="宋体" w:cs="宋体"/>
                <w:sz w:val="21"/>
                <w:szCs w:val="21"/>
              </w:rPr>
              <w:t>值</w:t>
            </w:r>
            <w:r>
              <w:rPr>
                <w:rFonts w:ascii="宋体" w:hAnsi="宋体" w:eastAsia="宋体" w:cs="宋体"/>
                <w:spacing w:val="-72"/>
                <w:sz w:val="21"/>
                <w:szCs w:val="21"/>
              </w:rPr>
              <w:t xml:space="preserve"> </w:t>
            </w:r>
            <w:r>
              <w:rPr>
                <w:rFonts w:ascii="Times New Roman" w:hAnsi="Times New Roman" w:eastAsia="Times New Roman" w:cs="Times New Roman"/>
                <w:b/>
                <w:bCs/>
                <w:spacing w:val="-1"/>
                <w:sz w:val="21"/>
                <w:szCs w:val="21"/>
              </w:rPr>
              <w:t>d</w:t>
            </w:r>
            <w:r>
              <w:rPr>
                <w:rFonts w:ascii="Times New Roman" w:hAnsi="Times New Roman" w:eastAsia="Times New Roman" w:cs="Times New Roman"/>
                <w:b/>
                <w:bCs/>
                <w:spacing w:val="-108"/>
                <w:sz w:val="21"/>
                <w:szCs w:val="21"/>
              </w:rPr>
              <w:t>B</w:t>
            </w:r>
            <w:r>
              <w:rPr>
                <w:rFonts w:ascii="宋体" w:hAnsi="宋体" w:eastAsia="宋体" w:cs="宋体"/>
                <w:sz w:val="21"/>
                <w:szCs w:val="21"/>
              </w:rPr>
              <w:t>（</w:t>
            </w:r>
            <w:r>
              <w:rPr>
                <w:rFonts w:ascii="Times New Roman" w:hAnsi="Times New Roman" w:eastAsia="Times New Roman" w:cs="Times New Roman"/>
                <w:b/>
                <w:bCs/>
                <w:sz w:val="21"/>
                <w:szCs w:val="21"/>
              </w:rPr>
              <w:t>A</w:t>
            </w:r>
            <w:r>
              <w:rPr>
                <w:rFonts w:ascii="宋体" w:hAnsi="宋体" w:eastAsia="宋体" w:cs="宋体"/>
                <w:sz w:val="21"/>
                <w:szCs w:val="21"/>
              </w:rPr>
              <w:t>）</w:t>
            </w:r>
          </w:p>
        </w:tc>
        <w:tc>
          <w:tcPr>
            <w:tcW w:w="1039" w:type="dxa"/>
            <w:tcBorders>
              <w:tl2br w:val="nil"/>
              <w:tr2bl w:val="nil"/>
            </w:tcBorders>
          </w:tcPr>
          <w:p>
            <w:pPr>
              <w:pStyle w:val="4069"/>
              <w:spacing w:before="98" w:line="240" w:lineRule="auto"/>
              <w:ind w:left="190" w:right="0"/>
              <w:jc w:val="left"/>
              <w:rPr>
                <w:rFonts w:ascii="Times New Roman" w:hAnsi="Times New Roman" w:eastAsia="Times New Roman" w:cs="Times New Roman"/>
                <w:sz w:val="21"/>
                <w:szCs w:val="21"/>
              </w:rPr>
            </w:pPr>
            <w:r>
              <w:rPr>
                <w:rFonts w:ascii="宋体" w:hAnsi="宋体" w:eastAsia="宋体" w:cs="宋体"/>
                <w:sz w:val="21"/>
                <w:szCs w:val="21"/>
              </w:rPr>
              <w:t>距离</w:t>
            </w:r>
            <w:r>
              <w:rPr>
                <w:rFonts w:ascii="宋体" w:hAnsi="宋体" w:eastAsia="宋体" w:cs="宋体"/>
                <w:spacing w:val="-53"/>
                <w:sz w:val="21"/>
                <w:szCs w:val="21"/>
              </w:rPr>
              <w:t xml:space="preserve"> </w:t>
            </w:r>
            <w:r>
              <w:rPr>
                <w:rFonts w:ascii="Times New Roman" w:hAnsi="Times New Roman" w:eastAsia="Times New Roman" w:cs="Times New Roman"/>
                <w:b/>
                <w:bCs/>
                <w:sz w:val="21"/>
                <w:szCs w:val="21"/>
              </w:rPr>
              <w:t>m</w:t>
            </w:r>
          </w:p>
        </w:tc>
        <w:tc>
          <w:tcPr>
            <w:tcW w:w="1538" w:type="dxa"/>
            <w:tcBorders>
              <w:tl2br w:val="nil"/>
              <w:tr2bl w:val="nil"/>
            </w:tcBorders>
          </w:tcPr>
          <w:p>
            <w:pPr>
              <w:pStyle w:val="4069"/>
              <w:spacing w:before="98" w:line="240" w:lineRule="auto"/>
              <w:ind w:left="104" w:right="-12"/>
              <w:jc w:val="left"/>
              <w:rPr>
                <w:rFonts w:ascii="宋体" w:hAnsi="宋体" w:eastAsia="宋体" w:cs="宋体"/>
                <w:sz w:val="21"/>
                <w:szCs w:val="21"/>
              </w:rPr>
            </w:pPr>
            <w:r>
              <w:rPr>
                <w:rFonts w:ascii="宋体" w:hAnsi="宋体" w:eastAsia="宋体" w:cs="宋体"/>
                <w:spacing w:val="1"/>
                <w:sz w:val="21"/>
                <w:szCs w:val="21"/>
              </w:rPr>
              <w:t>噪</w:t>
            </w:r>
            <w:r>
              <w:rPr>
                <w:rFonts w:ascii="宋体" w:hAnsi="宋体" w:eastAsia="宋体" w:cs="宋体"/>
                <w:sz w:val="21"/>
                <w:szCs w:val="21"/>
              </w:rPr>
              <w:t>声值</w:t>
            </w:r>
            <w:r>
              <w:rPr>
                <w:rFonts w:ascii="宋体" w:hAnsi="宋体" w:eastAsia="宋体" w:cs="宋体"/>
                <w:spacing w:val="-54"/>
                <w:sz w:val="21"/>
                <w:szCs w:val="21"/>
              </w:rPr>
              <w:t xml:space="preserve"> </w:t>
            </w:r>
            <w:r>
              <w:rPr>
                <w:rFonts w:ascii="Times New Roman" w:hAnsi="Times New Roman" w:eastAsia="Times New Roman" w:cs="Times New Roman"/>
                <w:b/>
                <w:bCs/>
                <w:spacing w:val="-1"/>
                <w:sz w:val="21"/>
                <w:szCs w:val="21"/>
              </w:rPr>
              <w:t>d</w:t>
            </w:r>
            <w:r>
              <w:rPr>
                <w:rFonts w:ascii="Times New Roman" w:hAnsi="Times New Roman" w:eastAsia="Times New Roman" w:cs="Times New Roman"/>
                <w:b/>
                <w:bCs/>
                <w:spacing w:val="-87"/>
                <w:sz w:val="21"/>
                <w:szCs w:val="21"/>
              </w:rPr>
              <w:t>B</w:t>
            </w:r>
            <w:r>
              <w:rPr>
                <w:rFonts w:ascii="宋体" w:hAnsi="宋体" w:eastAsia="宋体" w:cs="宋体"/>
                <w:sz w:val="21"/>
                <w:szCs w:val="21"/>
              </w:rPr>
              <w:t>（</w:t>
            </w:r>
            <w:r>
              <w:rPr>
                <w:rFonts w:ascii="Times New Roman" w:hAnsi="Times New Roman" w:eastAsia="Times New Roman" w:cs="Times New Roman"/>
                <w:b/>
                <w:bCs/>
                <w:sz w:val="21"/>
                <w:szCs w:val="21"/>
              </w:rPr>
              <w:t>A</w:t>
            </w:r>
            <w:r>
              <w:rPr>
                <w:rFonts w:ascii="宋体" w:hAnsi="宋体" w:eastAsia="宋体" w:cs="宋体"/>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1288" w:type="dxa"/>
            <w:tcBorders>
              <w:tl2br w:val="nil"/>
              <w:tr2bl w:val="nil"/>
            </w:tcBorders>
          </w:tcPr>
          <w:p>
            <w:pPr>
              <w:pStyle w:val="4069"/>
              <w:spacing w:before="12" w:line="240" w:lineRule="auto"/>
              <w:ind w:right="11"/>
              <w:jc w:val="center"/>
              <w:rPr>
                <w:rFonts w:ascii="Times New Roman" w:hAnsi="Times New Roman" w:eastAsia="Times New Roman" w:cs="Times New Roman"/>
                <w:sz w:val="21"/>
                <w:szCs w:val="21"/>
              </w:rPr>
            </w:pPr>
            <w:r>
              <w:rPr>
                <w:rFonts w:ascii="Times New Roman"/>
                <w:sz w:val="21"/>
              </w:rPr>
              <w:t>1</w:t>
            </w:r>
          </w:p>
        </w:tc>
        <w:tc>
          <w:tcPr>
            <w:tcW w:w="1289" w:type="dxa"/>
            <w:tcBorders>
              <w:tl2br w:val="nil"/>
              <w:tr2bl w:val="nil"/>
            </w:tcBorders>
          </w:tcPr>
          <w:p>
            <w:pPr>
              <w:pStyle w:val="4069"/>
              <w:spacing w:line="238" w:lineRule="exact"/>
              <w:ind w:left="323" w:right="0"/>
              <w:jc w:val="left"/>
              <w:rPr>
                <w:rFonts w:ascii="宋体" w:hAnsi="宋体" w:eastAsia="宋体" w:cs="宋体"/>
                <w:sz w:val="21"/>
                <w:szCs w:val="21"/>
              </w:rPr>
            </w:pPr>
            <w:r>
              <w:rPr>
                <w:rFonts w:ascii="宋体" w:hAnsi="宋体" w:eastAsia="宋体" w:cs="宋体"/>
                <w:sz w:val="21"/>
                <w:szCs w:val="21"/>
              </w:rPr>
              <w:t>冷冻机</w:t>
            </w:r>
          </w:p>
        </w:tc>
        <w:tc>
          <w:tcPr>
            <w:tcW w:w="1289"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z w:val="21"/>
              </w:rPr>
              <w:t>60</w:t>
            </w:r>
          </w:p>
        </w:tc>
        <w:tc>
          <w:tcPr>
            <w:tcW w:w="991" w:type="dxa"/>
            <w:tcBorders>
              <w:tl2br w:val="nil"/>
              <w:tr2bl w:val="nil"/>
            </w:tcBorders>
          </w:tcPr>
          <w:p>
            <w:pPr>
              <w:pStyle w:val="4069"/>
              <w:spacing w:before="12" w:line="240" w:lineRule="auto"/>
              <w:ind w:left="314" w:right="315"/>
              <w:jc w:val="center"/>
              <w:rPr>
                <w:rFonts w:ascii="Times New Roman" w:hAnsi="Times New Roman" w:eastAsia="Times New Roman" w:cs="Times New Roman"/>
                <w:sz w:val="21"/>
                <w:szCs w:val="21"/>
              </w:rPr>
            </w:pPr>
            <w:r>
              <w:rPr>
                <w:rFonts w:ascii="Times New Roman"/>
                <w:spacing w:val="-1"/>
                <w:sz w:val="21"/>
              </w:rPr>
              <w:t>156</w:t>
            </w:r>
          </w:p>
        </w:tc>
        <w:tc>
          <w:tcPr>
            <w:tcW w:w="1585" w:type="dxa"/>
            <w:tcBorders>
              <w:tl2br w:val="nil"/>
              <w:tr2bl w:val="nil"/>
            </w:tcBorders>
          </w:tcPr>
          <w:p>
            <w:pPr>
              <w:pStyle w:val="4069"/>
              <w:spacing w:before="12" w:line="240" w:lineRule="auto"/>
              <w:ind w:left="0" w:right="0"/>
              <w:jc w:val="center"/>
              <w:rPr>
                <w:rFonts w:ascii="Times New Roman" w:hAnsi="Times New Roman" w:eastAsia="Times New Roman" w:cs="Times New Roman"/>
                <w:sz w:val="21"/>
                <w:szCs w:val="21"/>
              </w:rPr>
            </w:pPr>
            <w:r>
              <w:rPr>
                <w:rFonts w:ascii="Times New Roman"/>
                <w:sz w:val="21"/>
              </w:rPr>
              <w:t>32.04</w:t>
            </w:r>
          </w:p>
        </w:tc>
        <w:tc>
          <w:tcPr>
            <w:tcW w:w="1008" w:type="dxa"/>
            <w:tcBorders>
              <w:tl2br w:val="nil"/>
              <w:tr2bl w:val="nil"/>
            </w:tcBorders>
          </w:tcPr>
          <w:p>
            <w:pPr>
              <w:pStyle w:val="4069"/>
              <w:spacing w:before="12" w:line="240" w:lineRule="auto"/>
              <w:ind w:right="2"/>
              <w:jc w:val="center"/>
              <w:rPr>
                <w:rFonts w:ascii="Times New Roman" w:hAnsi="Times New Roman" w:eastAsia="Times New Roman" w:cs="Times New Roman"/>
                <w:sz w:val="21"/>
                <w:szCs w:val="21"/>
              </w:rPr>
            </w:pPr>
            <w:r>
              <w:rPr>
                <w:rFonts w:ascii="Times New Roman"/>
                <w:spacing w:val="-1"/>
                <w:sz w:val="21"/>
              </w:rPr>
              <w:t>210</w:t>
            </w:r>
          </w:p>
        </w:tc>
        <w:tc>
          <w:tcPr>
            <w:tcW w:w="1571"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pacing w:val="-1"/>
                <w:sz w:val="21"/>
              </w:rPr>
              <w:t>18.8</w:t>
            </w:r>
          </w:p>
        </w:tc>
        <w:tc>
          <w:tcPr>
            <w:tcW w:w="1075"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z w:val="21"/>
              </w:rPr>
              <w:t>25</w:t>
            </w:r>
          </w:p>
        </w:tc>
        <w:tc>
          <w:tcPr>
            <w:tcW w:w="1500" w:type="dxa"/>
            <w:tcBorders>
              <w:tl2br w:val="nil"/>
              <w:tr2bl w:val="nil"/>
            </w:tcBorders>
          </w:tcPr>
          <w:p>
            <w:pPr>
              <w:pStyle w:val="4069"/>
              <w:spacing w:before="12" w:line="240" w:lineRule="auto"/>
              <w:ind w:left="490" w:right="488"/>
              <w:jc w:val="center"/>
              <w:rPr>
                <w:rFonts w:ascii="Times New Roman" w:hAnsi="Times New Roman" w:eastAsia="Times New Roman" w:cs="Times New Roman"/>
                <w:sz w:val="21"/>
                <w:szCs w:val="21"/>
              </w:rPr>
            </w:pPr>
            <w:r>
              <w:rPr>
                <w:rFonts w:ascii="Times New Roman"/>
                <w:sz w:val="21"/>
              </w:rPr>
              <w:t>26.94</w:t>
            </w:r>
          </w:p>
        </w:tc>
        <w:tc>
          <w:tcPr>
            <w:tcW w:w="1039"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z w:val="21"/>
              </w:rPr>
              <w:t>80</w:t>
            </w:r>
          </w:p>
        </w:tc>
        <w:tc>
          <w:tcPr>
            <w:tcW w:w="1538" w:type="dxa"/>
            <w:tcBorders>
              <w:tl2br w:val="nil"/>
              <w:tr2bl w:val="nil"/>
            </w:tcBorders>
          </w:tcPr>
          <w:p>
            <w:pPr>
              <w:pStyle w:val="4069"/>
              <w:spacing w:before="12" w:line="240" w:lineRule="auto"/>
              <w:ind w:left="10" w:right="0"/>
              <w:jc w:val="center"/>
              <w:rPr>
                <w:rFonts w:ascii="Times New Roman" w:hAnsi="Times New Roman" w:eastAsia="Times New Roman" w:cs="Times New Roman"/>
                <w:sz w:val="21"/>
                <w:szCs w:val="21"/>
              </w:rPr>
            </w:pPr>
            <w:r>
              <w:rPr>
                <w:rFonts w:ascii="Times New Roman"/>
                <w:spacing w:val="-1"/>
                <w:sz w:val="21"/>
              </w:rPr>
              <w:t>35.39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1288" w:type="dxa"/>
            <w:tcBorders>
              <w:tl2br w:val="nil"/>
              <w:tr2bl w:val="nil"/>
            </w:tcBorders>
          </w:tcPr>
          <w:p>
            <w:pPr>
              <w:pStyle w:val="4069"/>
              <w:spacing w:before="12" w:line="240" w:lineRule="auto"/>
              <w:ind w:right="11"/>
              <w:jc w:val="center"/>
              <w:rPr>
                <w:rFonts w:ascii="Times New Roman" w:hAnsi="Times New Roman" w:eastAsia="Times New Roman" w:cs="Times New Roman"/>
                <w:sz w:val="21"/>
                <w:szCs w:val="21"/>
              </w:rPr>
            </w:pPr>
            <w:r>
              <w:rPr>
                <w:rFonts w:ascii="Times New Roman"/>
                <w:sz w:val="21"/>
              </w:rPr>
              <w:t>2</w:t>
            </w:r>
          </w:p>
        </w:tc>
        <w:tc>
          <w:tcPr>
            <w:tcW w:w="1289" w:type="dxa"/>
            <w:tcBorders>
              <w:tl2br w:val="nil"/>
              <w:tr2bl w:val="nil"/>
            </w:tcBorders>
          </w:tcPr>
          <w:p>
            <w:pPr>
              <w:pStyle w:val="4069"/>
              <w:spacing w:line="238" w:lineRule="exact"/>
              <w:ind w:left="323" w:right="0"/>
              <w:jc w:val="left"/>
              <w:rPr>
                <w:rFonts w:ascii="宋体" w:hAnsi="宋体" w:eastAsia="宋体" w:cs="宋体"/>
                <w:sz w:val="21"/>
                <w:szCs w:val="21"/>
              </w:rPr>
            </w:pPr>
            <w:r>
              <w:rPr>
                <w:rFonts w:ascii="宋体" w:hAnsi="宋体" w:eastAsia="宋体" w:cs="宋体"/>
                <w:sz w:val="21"/>
                <w:szCs w:val="21"/>
              </w:rPr>
              <w:t>鼓风机</w:t>
            </w:r>
          </w:p>
        </w:tc>
        <w:tc>
          <w:tcPr>
            <w:tcW w:w="1289"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z w:val="21"/>
              </w:rPr>
              <w:t>70</w:t>
            </w:r>
          </w:p>
        </w:tc>
        <w:tc>
          <w:tcPr>
            <w:tcW w:w="991" w:type="dxa"/>
            <w:tcBorders>
              <w:tl2br w:val="nil"/>
              <w:tr2bl w:val="nil"/>
            </w:tcBorders>
          </w:tcPr>
          <w:p>
            <w:pPr>
              <w:pStyle w:val="4069"/>
              <w:spacing w:before="12" w:line="240" w:lineRule="auto"/>
              <w:ind w:left="0" w:right="0"/>
              <w:jc w:val="center"/>
              <w:rPr>
                <w:rFonts w:ascii="Times New Roman" w:hAnsi="Times New Roman" w:eastAsia="Times New Roman" w:cs="Times New Roman"/>
                <w:sz w:val="21"/>
                <w:szCs w:val="21"/>
              </w:rPr>
            </w:pPr>
            <w:r>
              <w:rPr>
                <w:rFonts w:ascii="Times New Roman"/>
                <w:sz w:val="21"/>
              </w:rPr>
              <w:t>88</w:t>
            </w:r>
          </w:p>
        </w:tc>
        <w:tc>
          <w:tcPr>
            <w:tcW w:w="1585" w:type="dxa"/>
            <w:tcBorders>
              <w:tl2br w:val="nil"/>
              <w:tr2bl w:val="nil"/>
            </w:tcBorders>
          </w:tcPr>
          <w:p>
            <w:pPr>
              <w:pStyle w:val="4069"/>
              <w:spacing w:before="12" w:line="240" w:lineRule="auto"/>
              <w:ind w:left="1" w:right="0"/>
              <w:jc w:val="center"/>
              <w:rPr>
                <w:rFonts w:ascii="Times New Roman" w:hAnsi="Times New Roman" w:eastAsia="Times New Roman" w:cs="Times New Roman"/>
                <w:sz w:val="21"/>
                <w:szCs w:val="21"/>
              </w:rPr>
            </w:pPr>
            <w:r>
              <w:rPr>
                <w:rFonts w:ascii="Times New Roman"/>
                <w:spacing w:val="-1"/>
                <w:sz w:val="21"/>
              </w:rPr>
              <w:t>42.02</w:t>
            </w:r>
          </w:p>
        </w:tc>
        <w:tc>
          <w:tcPr>
            <w:tcW w:w="1008" w:type="dxa"/>
            <w:tcBorders>
              <w:tl2br w:val="nil"/>
              <w:tr2bl w:val="nil"/>
            </w:tcBorders>
          </w:tcPr>
          <w:p>
            <w:pPr>
              <w:pStyle w:val="4069"/>
              <w:spacing w:before="12" w:line="240" w:lineRule="auto"/>
              <w:ind w:right="2"/>
              <w:jc w:val="center"/>
              <w:rPr>
                <w:rFonts w:ascii="Times New Roman" w:hAnsi="Times New Roman" w:eastAsia="Times New Roman" w:cs="Times New Roman"/>
                <w:sz w:val="21"/>
                <w:szCs w:val="21"/>
              </w:rPr>
            </w:pPr>
            <w:r>
              <w:rPr>
                <w:rFonts w:ascii="Times New Roman"/>
                <w:spacing w:val="-1"/>
                <w:sz w:val="21"/>
              </w:rPr>
              <w:t>150</w:t>
            </w:r>
          </w:p>
        </w:tc>
        <w:tc>
          <w:tcPr>
            <w:tcW w:w="1571"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pacing w:val="-1"/>
                <w:sz w:val="21"/>
              </w:rPr>
              <w:t>43.98</w:t>
            </w:r>
          </w:p>
        </w:tc>
        <w:tc>
          <w:tcPr>
            <w:tcW w:w="1075" w:type="dxa"/>
            <w:tcBorders>
              <w:tl2br w:val="nil"/>
              <w:tr2bl w:val="nil"/>
            </w:tcBorders>
          </w:tcPr>
          <w:p>
            <w:pPr>
              <w:pStyle w:val="4069"/>
              <w:spacing w:before="12" w:line="240" w:lineRule="auto"/>
              <w:ind w:right="2"/>
              <w:jc w:val="center"/>
              <w:rPr>
                <w:rFonts w:ascii="Times New Roman" w:hAnsi="Times New Roman" w:eastAsia="Times New Roman" w:cs="Times New Roman"/>
                <w:sz w:val="21"/>
                <w:szCs w:val="21"/>
              </w:rPr>
            </w:pPr>
            <w:r>
              <w:rPr>
                <w:rFonts w:ascii="Times New Roman"/>
                <w:sz w:val="21"/>
              </w:rPr>
              <w:t>24</w:t>
            </w:r>
          </w:p>
        </w:tc>
        <w:tc>
          <w:tcPr>
            <w:tcW w:w="1500"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z w:val="21"/>
              </w:rPr>
              <w:t>37.54</w:t>
            </w:r>
          </w:p>
        </w:tc>
        <w:tc>
          <w:tcPr>
            <w:tcW w:w="1039" w:type="dxa"/>
            <w:tcBorders>
              <w:tl2br w:val="nil"/>
              <w:tr2bl w:val="nil"/>
            </w:tcBorders>
          </w:tcPr>
          <w:p>
            <w:pPr>
              <w:pStyle w:val="4069"/>
              <w:spacing w:before="12" w:line="240" w:lineRule="auto"/>
              <w:ind w:right="3"/>
              <w:jc w:val="center"/>
              <w:rPr>
                <w:rFonts w:ascii="Times New Roman" w:hAnsi="Times New Roman" w:eastAsia="Times New Roman" w:cs="Times New Roman"/>
                <w:sz w:val="21"/>
                <w:szCs w:val="21"/>
              </w:rPr>
            </w:pPr>
            <w:r>
              <w:rPr>
                <w:rFonts w:ascii="Times New Roman"/>
                <w:spacing w:val="-1"/>
                <w:sz w:val="21"/>
              </w:rPr>
              <w:t>126</w:t>
            </w:r>
          </w:p>
        </w:tc>
        <w:tc>
          <w:tcPr>
            <w:tcW w:w="1538" w:type="dxa"/>
            <w:tcBorders>
              <w:tl2br w:val="nil"/>
              <w:tr2bl w:val="nil"/>
            </w:tcBorders>
          </w:tcPr>
          <w:p>
            <w:pPr>
              <w:pStyle w:val="4069"/>
              <w:spacing w:before="12" w:line="240" w:lineRule="auto"/>
              <w:ind w:left="9" w:right="0"/>
              <w:jc w:val="center"/>
              <w:rPr>
                <w:rFonts w:ascii="Times New Roman" w:hAnsi="Times New Roman" w:eastAsia="Times New Roman" w:cs="Times New Roman"/>
                <w:sz w:val="21"/>
                <w:szCs w:val="21"/>
              </w:rPr>
            </w:pPr>
            <w:r>
              <w:rPr>
                <w:rFonts w:ascii="Times New Roman"/>
                <w:spacing w:val="-1"/>
                <w:sz w:val="21"/>
              </w:rPr>
              <w:t>35.68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1288" w:type="dxa"/>
            <w:tcBorders>
              <w:tl2br w:val="nil"/>
              <w:tr2bl w:val="nil"/>
            </w:tcBorders>
          </w:tcPr>
          <w:p>
            <w:pPr>
              <w:pStyle w:val="4069"/>
              <w:spacing w:before="12" w:line="240" w:lineRule="auto"/>
              <w:ind w:right="11"/>
              <w:jc w:val="center"/>
              <w:rPr>
                <w:rFonts w:ascii="Times New Roman" w:hAnsi="Times New Roman" w:eastAsia="Times New Roman" w:cs="Times New Roman"/>
                <w:sz w:val="21"/>
                <w:szCs w:val="21"/>
              </w:rPr>
            </w:pPr>
            <w:r>
              <w:rPr>
                <w:rFonts w:ascii="Times New Roman"/>
                <w:sz w:val="21"/>
              </w:rPr>
              <w:t>3</w:t>
            </w:r>
          </w:p>
        </w:tc>
        <w:tc>
          <w:tcPr>
            <w:tcW w:w="1289" w:type="dxa"/>
            <w:tcBorders>
              <w:tl2br w:val="nil"/>
              <w:tr2bl w:val="nil"/>
            </w:tcBorders>
          </w:tcPr>
          <w:p>
            <w:pPr>
              <w:pStyle w:val="4069"/>
              <w:spacing w:line="238" w:lineRule="exact"/>
              <w:ind w:left="323" w:right="0"/>
              <w:jc w:val="left"/>
              <w:rPr>
                <w:rFonts w:ascii="宋体" w:hAnsi="宋体" w:eastAsia="宋体" w:cs="宋体"/>
                <w:sz w:val="21"/>
                <w:szCs w:val="21"/>
              </w:rPr>
            </w:pPr>
            <w:r>
              <w:rPr>
                <w:rFonts w:ascii="宋体" w:hAnsi="宋体" w:eastAsia="宋体" w:cs="宋体"/>
                <w:sz w:val="21"/>
                <w:szCs w:val="21"/>
              </w:rPr>
              <w:t>污水泵</w:t>
            </w:r>
          </w:p>
        </w:tc>
        <w:tc>
          <w:tcPr>
            <w:tcW w:w="1289" w:type="dxa"/>
            <w:tcBorders>
              <w:tl2br w:val="nil"/>
              <w:tr2bl w:val="nil"/>
            </w:tcBorders>
          </w:tcPr>
          <w:p>
            <w:pPr>
              <w:pStyle w:val="4069"/>
              <w:spacing w:before="12" w:line="240" w:lineRule="auto"/>
              <w:ind w:left="514" w:right="513"/>
              <w:jc w:val="center"/>
              <w:rPr>
                <w:rFonts w:ascii="Times New Roman" w:hAnsi="Times New Roman" w:eastAsia="Times New Roman" w:cs="Times New Roman"/>
                <w:sz w:val="21"/>
                <w:szCs w:val="21"/>
              </w:rPr>
            </w:pPr>
            <w:r>
              <w:rPr>
                <w:rFonts w:ascii="Times New Roman"/>
                <w:sz w:val="21"/>
              </w:rPr>
              <w:t>60</w:t>
            </w:r>
          </w:p>
        </w:tc>
        <w:tc>
          <w:tcPr>
            <w:tcW w:w="991" w:type="dxa"/>
            <w:tcBorders>
              <w:tl2br w:val="nil"/>
              <w:tr2bl w:val="nil"/>
            </w:tcBorders>
          </w:tcPr>
          <w:p>
            <w:pPr>
              <w:pStyle w:val="4069"/>
              <w:spacing w:before="12" w:line="240" w:lineRule="auto"/>
              <w:ind w:right="1"/>
              <w:jc w:val="center"/>
              <w:rPr>
                <w:rFonts w:ascii="Times New Roman" w:hAnsi="Times New Roman" w:eastAsia="Times New Roman" w:cs="Times New Roman"/>
                <w:sz w:val="21"/>
                <w:szCs w:val="21"/>
              </w:rPr>
            </w:pPr>
            <w:r>
              <w:rPr>
                <w:rFonts w:ascii="Times New Roman"/>
                <w:spacing w:val="-1"/>
                <w:sz w:val="21"/>
              </w:rPr>
              <w:t>169</w:t>
            </w:r>
          </w:p>
        </w:tc>
        <w:tc>
          <w:tcPr>
            <w:tcW w:w="1585" w:type="dxa"/>
            <w:tcBorders>
              <w:tl2br w:val="nil"/>
              <w:tr2bl w:val="nil"/>
            </w:tcBorders>
          </w:tcPr>
          <w:p>
            <w:pPr>
              <w:pStyle w:val="4069"/>
              <w:spacing w:before="12" w:line="240" w:lineRule="auto"/>
              <w:ind w:left="2" w:right="0"/>
              <w:jc w:val="center"/>
              <w:rPr>
                <w:rFonts w:ascii="Times New Roman" w:hAnsi="Times New Roman" w:eastAsia="Times New Roman" w:cs="Times New Roman"/>
                <w:sz w:val="21"/>
                <w:szCs w:val="21"/>
              </w:rPr>
            </w:pPr>
            <w:r>
              <w:rPr>
                <w:rFonts w:ascii="Times New Roman"/>
                <w:sz w:val="21"/>
              </w:rPr>
              <w:t>31.06</w:t>
            </w:r>
          </w:p>
        </w:tc>
        <w:tc>
          <w:tcPr>
            <w:tcW w:w="1008" w:type="dxa"/>
            <w:tcBorders>
              <w:tl2br w:val="nil"/>
              <w:tr2bl w:val="nil"/>
            </w:tcBorders>
          </w:tcPr>
          <w:p>
            <w:pPr>
              <w:pStyle w:val="4069"/>
              <w:spacing w:before="12" w:line="240" w:lineRule="auto"/>
              <w:ind w:left="1" w:right="0"/>
              <w:jc w:val="center"/>
              <w:rPr>
                <w:rFonts w:ascii="Times New Roman" w:hAnsi="Times New Roman" w:eastAsia="Times New Roman" w:cs="Times New Roman"/>
                <w:sz w:val="21"/>
                <w:szCs w:val="21"/>
              </w:rPr>
            </w:pPr>
            <w:r>
              <w:rPr>
                <w:rFonts w:ascii="Times New Roman"/>
                <w:sz w:val="21"/>
              </w:rPr>
              <w:t>60</w:t>
            </w:r>
          </w:p>
        </w:tc>
        <w:tc>
          <w:tcPr>
            <w:tcW w:w="1571" w:type="dxa"/>
            <w:tcBorders>
              <w:tl2br w:val="nil"/>
              <w:tr2bl w:val="nil"/>
            </w:tcBorders>
          </w:tcPr>
          <w:p>
            <w:pPr>
              <w:pStyle w:val="4069"/>
              <w:spacing w:before="12" w:line="240" w:lineRule="auto"/>
              <w:ind w:left="2" w:right="0"/>
              <w:jc w:val="center"/>
              <w:rPr>
                <w:rFonts w:ascii="Times New Roman" w:hAnsi="Times New Roman" w:eastAsia="Times New Roman" w:cs="Times New Roman"/>
                <w:sz w:val="21"/>
                <w:szCs w:val="21"/>
              </w:rPr>
            </w:pPr>
            <w:r>
              <w:rPr>
                <w:rFonts w:ascii="Times New Roman"/>
                <w:spacing w:val="-1"/>
                <w:sz w:val="21"/>
              </w:rPr>
              <w:t>33.92</w:t>
            </w:r>
          </w:p>
        </w:tc>
        <w:tc>
          <w:tcPr>
            <w:tcW w:w="1075" w:type="dxa"/>
            <w:tcBorders>
              <w:tl2br w:val="nil"/>
              <w:tr2bl w:val="nil"/>
            </w:tcBorders>
          </w:tcPr>
          <w:p>
            <w:pPr>
              <w:pStyle w:val="4069"/>
              <w:spacing w:before="12" w:line="240" w:lineRule="auto"/>
              <w:ind w:right="0"/>
              <w:jc w:val="center"/>
              <w:rPr>
                <w:rFonts w:ascii="Times New Roman" w:hAnsi="Times New Roman" w:eastAsia="Times New Roman" w:cs="Times New Roman"/>
                <w:sz w:val="21"/>
                <w:szCs w:val="21"/>
              </w:rPr>
            </w:pPr>
            <w:r>
              <w:rPr>
                <w:rFonts w:ascii="Times New Roman"/>
                <w:sz w:val="21"/>
              </w:rPr>
              <w:t>98</w:t>
            </w:r>
          </w:p>
        </w:tc>
        <w:tc>
          <w:tcPr>
            <w:tcW w:w="1500" w:type="dxa"/>
            <w:tcBorders>
              <w:tl2br w:val="nil"/>
              <w:tr2bl w:val="nil"/>
            </w:tcBorders>
          </w:tcPr>
          <w:p>
            <w:pPr>
              <w:pStyle w:val="4069"/>
              <w:spacing w:before="12" w:line="240" w:lineRule="auto"/>
              <w:ind w:left="2" w:right="0"/>
              <w:jc w:val="center"/>
              <w:rPr>
                <w:rFonts w:ascii="Times New Roman" w:hAnsi="Times New Roman" w:eastAsia="Times New Roman" w:cs="Times New Roman"/>
                <w:sz w:val="21"/>
                <w:szCs w:val="21"/>
              </w:rPr>
            </w:pPr>
            <w:r>
              <w:rPr>
                <w:rFonts w:ascii="Times New Roman"/>
                <w:sz w:val="21"/>
              </w:rPr>
              <w:t>27.96</w:t>
            </w:r>
          </w:p>
        </w:tc>
        <w:tc>
          <w:tcPr>
            <w:tcW w:w="1039" w:type="dxa"/>
            <w:tcBorders>
              <w:tl2br w:val="nil"/>
              <w:tr2bl w:val="nil"/>
            </w:tcBorders>
          </w:tcPr>
          <w:p>
            <w:pPr>
              <w:pStyle w:val="4069"/>
              <w:spacing w:before="12" w:line="240" w:lineRule="auto"/>
              <w:ind w:right="1"/>
              <w:jc w:val="center"/>
              <w:rPr>
                <w:rFonts w:ascii="Times New Roman" w:hAnsi="Times New Roman" w:eastAsia="Times New Roman" w:cs="Times New Roman"/>
                <w:sz w:val="21"/>
                <w:szCs w:val="21"/>
              </w:rPr>
            </w:pPr>
            <w:r>
              <w:rPr>
                <w:rFonts w:ascii="Times New Roman"/>
                <w:spacing w:val="-1"/>
                <w:sz w:val="21"/>
              </w:rPr>
              <w:t>350</w:t>
            </w:r>
          </w:p>
        </w:tc>
        <w:tc>
          <w:tcPr>
            <w:tcW w:w="1538" w:type="dxa"/>
            <w:tcBorders>
              <w:tl2br w:val="nil"/>
              <w:tr2bl w:val="nil"/>
            </w:tcBorders>
          </w:tcPr>
          <w:p>
            <w:pPr>
              <w:pStyle w:val="4069"/>
              <w:spacing w:before="12" w:line="240" w:lineRule="auto"/>
              <w:ind w:left="7" w:right="0"/>
              <w:jc w:val="center"/>
              <w:rPr>
                <w:rFonts w:ascii="Times New Roman" w:hAnsi="Times New Roman" w:eastAsia="Times New Roman" w:cs="Times New Roman"/>
                <w:sz w:val="21"/>
                <w:szCs w:val="21"/>
              </w:rPr>
            </w:pPr>
            <w:r>
              <w:rPr>
                <w:rFonts w:ascii="Times New Roman"/>
                <w:spacing w:val="-1"/>
                <w:sz w:val="21"/>
              </w:rPr>
              <w:t>9.82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1288" w:type="dxa"/>
            <w:tcBorders>
              <w:tl2br w:val="nil"/>
              <w:tr2bl w:val="nil"/>
            </w:tcBorders>
          </w:tcPr>
          <w:p>
            <w:pPr>
              <w:pStyle w:val="4069"/>
              <w:spacing w:before="12" w:line="240" w:lineRule="auto"/>
              <w:ind w:left="556" w:right="567"/>
              <w:jc w:val="center"/>
              <w:rPr>
                <w:rFonts w:ascii="Times New Roman" w:hAnsi="Times New Roman" w:eastAsia="Times New Roman" w:cs="Times New Roman"/>
                <w:sz w:val="21"/>
                <w:szCs w:val="21"/>
              </w:rPr>
            </w:pPr>
            <w:r>
              <w:rPr>
                <w:rFonts w:ascii="Times New Roman"/>
                <w:sz w:val="21"/>
              </w:rPr>
              <w:t>4</w:t>
            </w:r>
          </w:p>
        </w:tc>
        <w:tc>
          <w:tcPr>
            <w:tcW w:w="1289" w:type="dxa"/>
            <w:tcBorders>
              <w:tl2br w:val="nil"/>
              <w:tr2bl w:val="nil"/>
            </w:tcBorders>
          </w:tcPr>
          <w:p>
            <w:pPr>
              <w:pStyle w:val="4069"/>
              <w:spacing w:line="238" w:lineRule="exact"/>
              <w:ind w:left="218" w:right="0"/>
              <w:jc w:val="left"/>
              <w:rPr>
                <w:rFonts w:ascii="宋体" w:hAnsi="宋体" w:eastAsia="宋体" w:cs="宋体"/>
                <w:sz w:val="21"/>
                <w:szCs w:val="21"/>
              </w:rPr>
            </w:pPr>
            <w:r>
              <w:rPr>
                <w:rFonts w:ascii="宋体" w:hAnsi="宋体" w:eastAsia="宋体" w:cs="宋体"/>
                <w:sz w:val="21"/>
                <w:szCs w:val="21"/>
              </w:rPr>
              <w:t>生产设备</w:t>
            </w:r>
          </w:p>
        </w:tc>
        <w:tc>
          <w:tcPr>
            <w:tcW w:w="1289" w:type="dxa"/>
            <w:tcBorders>
              <w:tl2br w:val="nil"/>
              <w:tr2bl w:val="nil"/>
            </w:tcBorders>
          </w:tcPr>
          <w:p>
            <w:pPr>
              <w:pStyle w:val="4069"/>
              <w:spacing w:before="12" w:line="240" w:lineRule="auto"/>
              <w:ind w:left="409" w:right="409"/>
              <w:jc w:val="center"/>
              <w:rPr>
                <w:rFonts w:ascii="Times New Roman" w:hAnsi="Times New Roman" w:eastAsia="Times New Roman" w:cs="Times New Roman"/>
                <w:sz w:val="21"/>
                <w:szCs w:val="21"/>
              </w:rPr>
            </w:pPr>
            <w:r>
              <w:rPr>
                <w:rFonts w:ascii="Times New Roman"/>
                <w:sz w:val="21"/>
              </w:rPr>
              <w:t>60</w:t>
            </w:r>
          </w:p>
        </w:tc>
        <w:tc>
          <w:tcPr>
            <w:tcW w:w="991" w:type="dxa"/>
            <w:tcBorders>
              <w:tl2br w:val="nil"/>
              <w:tr2bl w:val="nil"/>
            </w:tcBorders>
          </w:tcPr>
          <w:p>
            <w:pPr>
              <w:pStyle w:val="4069"/>
              <w:spacing w:before="12" w:line="240" w:lineRule="auto"/>
              <w:ind w:left="314" w:right="316"/>
              <w:jc w:val="center"/>
              <w:rPr>
                <w:rFonts w:ascii="Times New Roman" w:hAnsi="Times New Roman" w:eastAsia="Times New Roman" w:cs="Times New Roman"/>
                <w:sz w:val="21"/>
                <w:szCs w:val="21"/>
              </w:rPr>
            </w:pPr>
            <w:r>
              <w:rPr>
                <w:rFonts w:ascii="Times New Roman"/>
                <w:spacing w:val="-1"/>
                <w:sz w:val="21"/>
              </w:rPr>
              <w:t>102</w:t>
            </w:r>
          </w:p>
        </w:tc>
        <w:tc>
          <w:tcPr>
            <w:tcW w:w="1585" w:type="dxa"/>
            <w:tcBorders>
              <w:tl2br w:val="nil"/>
              <w:tr2bl w:val="nil"/>
            </w:tcBorders>
          </w:tcPr>
          <w:p>
            <w:pPr>
              <w:pStyle w:val="4069"/>
              <w:spacing w:before="12" w:line="240" w:lineRule="auto"/>
              <w:ind w:left="532" w:right="531"/>
              <w:jc w:val="center"/>
              <w:rPr>
                <w:rFonts w:ascii="Times New Roman" w:hAnsi="Times New Roman" w:eastAsia="Times New Roman" w:cs="Times New Roman"/>
                <w:sz w:val="21"/>
                <w:szCs w:val="21"/>
              </w:rPr>
            </w:pPr>
            <w:r>
              <w:rPr>
                <w:rFonts w:ascii="Times New Roman"/>
                <w:sz w:val="21"/>
              </w:rPr>
              <w:t>39.12</w:t>
            </w:r>
          </w:p>
        </w:tc>
        <w:tc>
          <w:tcPr>
            <w:tcW w:w="1008" w:type="dxa"/>
            <w:tcBorders>
              <w:tl2br w:val="nil"/>
              <w:tr2bl w:val="nil"/>
            </w:tcBorders>
          </w:tcPr>
          <w:p>
            <w:pPr>
              <w:pStyle w:val="4069"/>
              <w:spacing w:before="12" w:line="240" w:lineRule="auto"/>
              <w:ind w:left="322" w:right="324"/>
              <w:jc w:val="center"/>
              <w:rPr>
                <w:rFonts w:ascii="Times New Roman" w:hAnsi="Times New Roman" w:eastAsia="Times New Roman" w:cs="Times New Roman"/>
                <w:sz w:val="21"/>
                <w:szCs w:val="21"/>
              </w:rPr>
            </w:pPr>
            <w:r>
              <w:rPr>
                <w:rFonts w:ascii="Times New Roman"/>
                <w:spacing w:val="-1"/>
                <w:sz w:val="21"/>
              </w:rPr>
              <w:t>230</w:t>
            </w:r>
          </w:p>
        </w:tc>
        <w:tc>
          <w:tcPr>
            <w:tcW w:w="1571" w:type="dxa"/>
            <w:tcBorders>
              <w:tl2br w:val="nil"/>
              <w:tr2bl w:val="nil"/>
            </w:tcBorders>
          </w:tcPr>
          <w:p>
            <w:pPr>
              <w:pStyle w:val="4069"/>
              <w:spacing w:before="12" w:line="240" w:lineRule="auto"/>
              <w:ind w:left="525" w:right="524"/>
              <w:jc w:val="center"/>
              <w:rPr>
                <w:rFonts w:ascii="Times New Roman" w:hAnsi="Times New Roman" w:eastAsia="Times New Roman" w:cs="Times New Roman"/>
                <w:sz w:val="21"/>
                <w:szCs w:val="21"/>
              </w:rPr>
            </w:pPr>
            <w:r>
              <w:rPr>
                <w:rFonts w:ascii="Times New Roman"/>
                <w:sz w:val="21"/>
              </w:rPr>
              <w:t>27.54</w:t>
            </w:r>
          </w:p>
        </w:tc>
        <w:tc>
          <w:tcPr>
            <w:tcW w:w="1075" w:type="dxa"/>
            <w:tcBorders>
              <w:tl2br w:val="nil"/>
              <w:tr2bl w:val="nil"/>
            </w:tcBorders>
          </w:tcPr>
          <w:p>
            <w:pPr>
              <w:pStyle w:val="4069"/>
              <w:spacing w:before="12" w:line="240" w:lineRule="auto"/>
              <w:ind w:left="407" w:right="408"/>
              <w:jc w:val="center"/>
              <w:rPr>
                <w:rFonts w:ascii="Times New Roman" w:hAnsi="Times New Roman" w:eastAsia="Times New Roman" w:cs="Times New Roman"/>
                <w:sz w:val="21"/>
                <w:szCs w:val="21"/>
              </w:rPr>
            </w:pPr>
            <w:r>
              <w:rPr>
                <w:rFonts w:ascii="Times New Roman"/>
                <w:sz w:val="21"/>
              </w:rPr>
              <w:t>35</w:t>
            </w:r>
          </w:p>
        </w:tc>
        <w:tc>
          <w:tcPr>
            <w:tcW w:w="1500" w:type="dxa"/>
            <w:tcBorders>
              <w:tl2br w:val="nil"/>
              <w:tr2bl w:val="nil"/>
            </w:tcBorders>
          </w:tcPr>
          <w:p>
            <w:pPr>
              <w:pStyle w:val="4069"/>
              <w:spacing w:before="12" w:line="240" w:lineRule="auto"/>
              <w:ind w:left="490" w:right="488"/>
              <w:jc w:val="center"/>
              <w:rPr>
                <w:rFonts w:ascii="Times New Roman" w:hAnsi="Times New Roman" w:eastAsia="Times New Roman" w:cs="Times New Roman"/>
                <w:sz w:val="21"/>
                <w:szCs w:val="21"/>
              </w:rPr>
            </w:pPr>
            <w:r>
              <w:rPr>
                <w:rFonts w:ascii="Times New Roman"/>
                <w:sz w:val="21"/>
              </w:rPr>
              <w:t>35.92</w:t>
            </w:r>
          </w:p>
        </w:tc>
        <w:tc>
          <w:tcPr>
            <w:tcW w:w="1039" w:type="dxa"/>
            <w:tcBorders>
              <w:tl2br w:val="nil"/>
              <w:tr2bl w:val="nil"/>
            </w:tcBorders>
          </w:tcPr>
          <w:p>
            <w:pPr>
              <w:pStyle w:val="4069"/>
              <w:spacing w:before="12" w:line="240" w:lineRule="auto"/>
              <w:ind w:left="338" w:right="340"/>
              <w:jc w:val="center"/>
              <w:rPr>
                <w:rFonts w:ascii="Times New Roman" w:hAnsi="Times New Roman" w:eastAsia="Times New Roman" w:cs="Times New Roman"/>
                <w:sz w:val="21"/>
                <w:szCs w:val="21"/>
              </w:rPr>
            </w:pPr>
            <w:r>
              <w:rPr>
                <w:rFonts w:ascii="Times New Roman"/>
                <w:spacing w:val="-1"/>
                <w:sz w:val="21"/>
              </w:rPr>
              <w:t>200</w:t>
            </w:r>
          </w:p>
        </w:tc>
        <w:tc>
          <w:tcPr>
            <w:tcW w:w="1538" w:type="dxa"/>
            <w:tcBorders>
              <w:tl2br w:val="nil"/>
              <w:tr2bl w:val="nil"/>
            </w:tcBorders>
          </w:tcPr>
          <w:p>
            <w:pPr>
              <w:pStyle w:val="4069"/>
              <w:spacing w:before="12" w:line="240" w:lineRule="auto"/>
              <w:ind w:left="511" w:right="500"/>
              <w:jc w:val="center"/>
              <w:rPr>
                <w:rFonts w:ascii="Times New Roman" w:hAnsi="Times New Roman" w:eastAsia="Times New Roman" w:cs="Times New Roman"/>
                <w:sz w:val="21"/>
                <w:szCs w:val="21"/>
              </w:rPr>
            </w:pPr>
            <w:r>
              <w:rPr>
                <w:rFonts w:ascii="Times New Roman"/>
                <w:spacing w:val="-1"/>
                <w:sz w:val="21"/>
              </w:rPr>
              <w:t>23.88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exact"/>
        </w:trPr>
        <w:tc>
          <w:tcPr>
            <w:tcW w:w="1288" w:type="dxa"/>
            <w:tcBorders>
              <w:tl2br w:val="nil"/>
              <w:tr2bl w:val="nil"/>
            </w:tcBorders>
          </w:tcPr>
          <w:p>
            <w:pPr>
              <w:pStyle w:val="4069"/>
              <w:spacing w:before="14" w:line="240" w:lineRule="auto"/>
              <w:ind w:left="556" w:right="567"/>
              <w:jc w:val="center"/>
              <w:rPr>
                <w:rFonts w:ascii="Times New Roman" w:hAnsi="Times New Roman" w:eastAsia="Times New Roman" w:cs="Times New Roman"/>
                <w:sz w:val="21"/>
                <w:szCs w:val="21"/>
              </w:rPr>
            </w:pPr>
            <w:r>
              <w:rPr>
                <w:rFonts w:ascii="Times New Roman"/>
                <w:sz w:val="21"/>
              </w:rPr>
              <w:t>5</w:t>
            </w:r>
          </w:p>
        </w:tc>
        <w:tc>
          <w:tcPr>
            <w:tcW w:w="1289" w:type="dxa"/>
            <w:tcBorders>
              <w:tl2br w:val="nil"/>
              <w:tr2bl w:val="nil"/>
            </w:tcBorders>
          </w:tcPr>
          <w:p>
            <w:pPr>
              <w:pStyle w:val="4069"/>
              <w:spacing w:line="240" w:lineRule="exact"/>
              <w:ind w:left="218" w:right="0"/>
              <w:jc w:val="left"/>
              <w:rPr>
                <w:rFonts w:ascii="宋体" w:hAnsi="宋体" w:eastAsia="宋体" w:cs="宋体"/>
                <w:sz w:val="21"/>
                <w:szCs w:val="21"/>
              </w:rPr>
            </w:pPr>
            <w:r>
              <w:rPr>
                <w:rFonts w:ascii="宋体" w:hAnsi="宋体" w:eastAsia="宋体" w:cs="宋体"/>
                <w:sz w:val="21"/>
                <w:szCs w:val="21"/>
              </w:rPr>
              <w:t>循环水泵</w:t>
            </w:r>
          </w:p>
        </w:tc>
        <w:tc>
          <w:tcPr>
            <w:tcW w:w="1289" w:type="dxa"/>
            <w:tcBorders>
              <w:tl2br w:val="nil"/>
              <w:tr2bl w:val="nil"/>
            </w:tcBorders>
          </w:tcPr>
          <w:p>
            <w:pPr>
              <w:pStyle w:val="4069"/>
              <w:spacing w:before="14" w:line="240" w:lineRule="auto"/>
              <w:ind w:left="488" w:right="489"/>
              <w:jc w:val="center"/>
              <w:rPr>
                <w:rFonts w:ascii="Times New Roman" w:hAnsi="Times New Roman" w:eastAsia="Times New Roman" w:cs="Times New Roman"/>
                <w:sz w:val="21"/>
                <w:szCs w:val="21"/>
              </w:rPr>
            </w:pPr>
            <w:r>
              <w:rPr>
                <w:rFonts w:ascii="Times New Roman"/>
                <w:sz w:val="21"/>
              </w:rPr>
              <w:t>60</w:t>
            </w:r>
          </w:p>
        </w:tc>
        <w:tc>
          <w:tcPr>
            <w:tcW w:w="991" w:type="dxa"/>
            <w:tcBorders>
              <w:tl2br w:val="nil"/>
              <w:tr2bl w:val="nil"/>
            </w:tcBorders>
          </w:tcPr>
          <w:p>
            <w:pPr>
              <w:pStyle w:val="4069"/>
              <w:spacing w:before="14" w:line="240" w:lineRule="auto"/>
              <w:ind w:right="0"/>
              <w:jc w:val="center"/>
              <w:rPr>
                <w:rFonts w:ascii="Times New Roman" w:hAnsi="Times New Roman" w:eastAsia="Times New Roman" w:cs="Times New Roman"/>
                <w:sz w:val="21"/>
                <w:szCs w:val="21"/>
              </w:rPr>
            </w:pPr>
            <w:r>
              <w:rPr>
                <w:rFonts w:ascii="Times New Roman"/>
                <w:sz w:val="21"/>
              </w:rPr>
              <w:t>65</w:t>
            </w:r>
          </w:p>
        </w:tc>
        <w:tc>
          <w:tcPr>
            <w:tcW w:w="1585" w:type="dxa"/>
            <w:tcBorders>
              <w:tl2br w:val="nil"/>
              <w:tr2bl w:val="nil"/>
            </w:tcBorders>
          </w:tcPr>
          <w:p>
            <w:pPr>
              <w:pStyle w:val="4069"/>
              <w:spacing w:before="14" w:line="240" w:lineRule="auto"/>
              <w:ind w:left="0" w:right="0"/>
              <w:jc w:val="center"/>
              <w:rPr>
                <w:rFonts w:ascii="Times New Roman" w:hAnsi="Times New Roman" w:eastAsia="Times New Roman" w:cs="Times New Roman"/>
                <w:sz w:val="21"/>
                <w:szCs w:val="21"/>
              </w:rPr>
            </w:pPr>
            <w:r>
              <w:rPr>
                <w:rFonts w:ascii="Times New Roman"/>
                <w:sz w:val="21"/>
              </w:rPr>
              <w:t>31.06</w:t>
            </w:r>
          </w:p>
        </w:tc>
        <w:tc>
          <w:tcPr>
            <w:tcW w:w="1008" w:type="dxa"/>
            <w:tcBorders>
              <w:tl2br w:val="nil"/>
              <w:tr2bl w:val="nil"/>
            </w:tcBorders>
          </w:tcPr>
          <w:p>
            <w:pPr>
              <w:pStyle w:val="4069"/>
              <w:spacing w:before="14" w:line="240" w:lineRule="auto"/>
              <w:ind w:right="1"/>
              <w:jc w:val="center"/>
              <w:rPr>
                <w:rFonts w:ascii="Times New Roman" w:hAnsi="Times New Roman" w:eastAsia="Times New Roman" w:cs="Times New Roman"/>
                <w:sz w:val="21"/>
                <w:szCs w:val="21"/>
              </w:rPr>
            </w:pPr>
            <w:r>
              <w:rPr>
                <w:rFonts w:ascii="Times New Roman"/>
                <w:spacing w:val="-1"/>
                <w:sz w:val="21"/>
              </w:rPr>
              <w:t>200</w:t>
            </w:r>
          </w:p>
        </w:tc>
        <w:tc>
          <w:tcPr>
            <w:tcW w:w="1571" w:type="dxa"/>
            <w:tcBorders>
              <w:tl2br w:val="nil"/>
              <w:tr2bl w:val="nil"/>
            </w:tcBorders>
          </w:tcPr>
          <w:p>
            <w:pPr>
              <w:pStyle w:val="4069"/>
              <w:spacing w:before="14" w:line="240" w:lineRule="auto"/>
              <w:ind w:left="0" w:right="0"/>
              <w:jc w:val="center"/>
              <w:rPr>
                <w:rFonts w:ascii="Times New Roman" w:hAnsi="Times New Roman" w:eastAsia="Times New Roman" w:cs="Times New Roman"/>
                <w:sz w:val="21"/>
                <w:szCs w:val="21"/>
              </w:rPr>
            </w:pPr>
            <w:r>
              <w:rPr>
                <w:rFonts w:ascii="Times New Roman"/>
                <w:sz w:val="21"/>
              </w:rPr>
              <w:t>34.12</w:t>
            </w:r>
          </w:p>
        </w:tc>
        <w:tc>
          <w:tcPr>
            <w:tcW w:w="1075" w:type="dxa"/>
            <w:tcBorders>
              <w:tl2br w:val="nil"/>
              <w:tr2bl w:val="nil"/>
            </w:tcBorders>
          </w:tcPr>
          <w:p>
            <w:pPr>
              <w:pStyle w:val="4069"/>
              <w:spacing w:before="14" w:line="240" w:lineRule="auto"/>
              <w:ind w:right="0"/>
              <w:jc w:val="center"/>
              <w:rPr>
                <w:rFonts w:ascii="Times New Roman" w:hAnsi="Times New Roman" w:eastAsia="Times New Roman" w:cs="Times New Roman"/>
                <w:sz w:val="21"/>
                <w:szCs w:val="21"/>
              </w:rPr>
            </w:pPr>
            <w:r>
              <w:rPr>
                <w:rFonts w:ascii="Times New Roman"/>
                <w:sz w:val="21"/>
              </w:rPr>
              <w:t>28</w:t>
            </w:r>
          </w:p>
        </w:tc>
        <w:tc>
          <w:tcPr>
            <w:tcW w:w="1500" w:type="dxa"/>
            <w:tcBorders>
              <w:tl2br w:val="nil"/>
              <w:tr2bl w:val="nil"/>
            </w:tcBorders>
          </w:tcPr>
          <w:p>
            <w:pPr>
              <w:pStyle w:val="4069"/>
              <w:spacing w:before="14" w:line="240" w:lineRule="auto"/>
              <w:ind w:left="3" w:right="0"/>
              <w:jc w:val="center"/>
              <w:rPr>
                <w:rFonts w:ascii="Times New Roman" w:hAnsi="Times New Roman" w:eastAsia="Times New Roman" w:cs="Times New Roman"/>
                <w:sz w:val="21"/>
                <w:szCs w:val="21"/>
              </w:rPr>
            </w:pPr>
            <w:r>
              <w:rPr>
                <w:rFonts w:ascii="Times New Roman"/>
                <w:sz w:val="21"/>
              </w:rPr>
              <w:t>27.96</w:t>
            </w:r>
          </w:p>
        </w:tc>
        <w:tc>
          <w:tcPr>
            <w:tcW w:w="1039" w:type="dxa"/>
            <w:tcBorders>
              <w:tl2br w:val="nil"/>
              <w:tr2bl w:val="nil"/>
            </w:tcBorders>
          </w:tcPr>
          <w:p>
            <w:pPr>
              <w:pStyle w:val="4069"/>
              <w:spacing w:before="14" w:line="240" w:lineRule="auto"/>
              <w:ind w:right="2"/>
              <w:jc w:val="center"/>
              <w:rPr>
                <w:rFonts w:ascii="Times New Roman" w:hAnsi="Times New Roman" w:eastAsia="Times New Roman" w:cs="Times New Roman"/>
                <w:sz w:val="21"/>
                <w:szCs w:val="21"/>
              </w:rPr>
            </w:pPr>
            <w:r>
              <w:rPr>
                <w:rFonts w:ascii="Times New Roman"/>
                <w:spacing w:val="-1"/>
                <w:sz w:val="21"/>
              </w:rPr>
              <w:t>210</w:t>
            </w:r>
          </w:p>
        </w:tc>
        <w:tc>
          <w:tcPr>
            <w:tcW w:w="1538" w:type="dxa"/>
            <w:tcBorders>
              <w:tl2br w:val="nil"/>
              <w:tr2bl w:val="nil"/>
            </w:tcBorders>
          </w:tcPr>
          <w:p>
            <w:pPr>
              <w:pStyle w:val="4069"/>
              <w:spacing w:before="14" w:line="240" w:lineRule="auto"/>
              <w:ind w:left="7" w:right="0"/>
              <w:jc w:val="center"/>
              <w:rPr>
                <w:rFonts w:ascii="Times New Roman" w:hAnsi="Times New Roman" w:eastAsia="Times New Roman" w:cs="Times New Roman"/>
                <w:sz w:val="21"/>
                <w:szCs w:val="21"/>
              </w:rPr>
            </w:pPr>
            <w:r>
              <w:rPr>
                <w:rFonts w:ascii="Times New Roman"/>
                <w:spacing w:val="-1"/>
                <w:sz w:val="21"/>
              </w:rPr>
              <w:t>9.82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1288" w:type="dxa"/>
            <w:tcBorders>
              <w:tl2br w:val="nil"/>
              <w:tr2bl w:val="nil"/>
            </w:tcBorders>
          </w:tcPr>
          <w:p>
            <w:pPr>
              <w:pStyle w:val="4069"/>
              <w:spacing w:before="12" w:line="240" w:lineRule="auto"/>
              <w:ind w:left="556" w:right="567"/>
              <w:jc w:val="center"/>
              <w:rPr>
                <w:rFonts w:ascii="Times New Roman" w:hAnsi="Times New Roman" w:eastAsia="Times New Roman" w:cs="Times New Roman"/>
                <w:sz w:val="21"/>
                <w:szCs w:val="21"/>
              </w:rPr>
            </w:pPr>
            <w:r>
              <w:rPr>
                <w:rFonts w:ascii="Times New Roman"/>
                <w:sz w:val="21"/>
              </w:rPr>
              <w:t>6</w:t>
            </w:r>
          </w:p>
        </w:tc>
        <w:tc>
          <w:tcPr>
            <w:tcW w:w="1289" w:type="dxa"/>
            <w:tcBorders>
              <w:tl2br w:val="nil"/>
              <w:tr2bl w:val="nil"/>
            </w:tcBorders>
          </w:tcPr>
          <w:p>
            <w:pPr>
              <w:pStyle w:val="4069"/>
              <w:spacing w:line="238" w:lineRule="exact"/>
              <w:ind w:left="218" w:right="0"/>
              <w:jc w:val="left"/>
              <w:rPr>
                <w:rFonts w:ascii="宋体" w:hAnsi="宋体" w:eastAsia="宋体" w:cs="宋体"/>
                <w:sz w:val="21"/>
                <w:szCs w:val="21"/>
              </w:rPr>
            </w:pPr>
            <w:r>
              <w:rPr>
                <w:rFonts w:ascii="宋体" w:hAnsi="宋体" w:eastAsia="宋体" w:cs="宋体"/>
                <w:sz w:val="21"/>
                <w:szCs w:val="21"/>
              </w:rPr>
              <w:t>牲畜叫声</w:t>
            </w:r>
          </w:p>
        </w:tc>
        <w:tc>
          <w:tcPr>
            <w:tcW w:w="1289" w:type="dxa"/>
            <w:tcBorders>
              <w:tl2br w:val="nil"/>
              <w:tr2bl w:val="nil"/>
            </w:tcBorders>
          </w:tcPr>
          <w:p>
            <w:pPr>
              <w:pStyle w:val="4069"/>
              <w:spacing w:before="12" w:line="240" w:lineRule="auto"/>
              <w:ind w:left="409" w:right="409"/>
              <w:jc w:val="center"/>
              <w:rPr>
                <w:rFonts w:ascii="Times New Roman" w:hAnsi="Times New Roman" w:eastAsia="Times New Roman" w:cs="Times New Roman"/>
                <w:sz w:val="21"/>
                <w:szCs w:val="21"/>
              </w:rPr>
            </w:pPr>
            <w:r>
              <w:rPr>
                <w:rFonts w:ascii="Times New Roman"/>
                <w:sz w:val="21"/>
              </w:rPr>
              <w:t>65</w:t>
            </w:r>
          </w:p>
        </w:tc>
        <w:tc>
          <w:tcPr>
            <w:tcW w:w="991" w:type="dxa"/>
            <w:tcBorders>
              <w:tl2br w:val="nil"/>
              <w:tr2bl w:val="nil"/>
            </w:tcBorders>
          </w:tcPr>
          <w:p>
            <w:pPr>
              <w:pStyle w:val="4069"/>
              <w:spacing w:before="12" w:line="240" w:lineRule="auto"/>
              <w:ind w:left="314" w:right="316"/>
              <w:jc w:val="center"/>
              <w:rPr>
                <w:rFonts w:ascii="Times New Roman" w:hAnsi="Times New Roman" w:eastAsia="Times New Roman" w:cs="Times New Roman"/>
                <w:sz w:val="21"/>
                <w:szCs w:val="21"/>
              </w:rPr>
            </w:pPr>
            <w:r>
              <w:rPr>
                <w:rFonts w:ascii="Times New Roman"/>
                <w:spacing w:val="-1"/>
                <w:sz w:val="21"/>
              </w:rPr>
              <w:t>180</w:t>
            </w:r>
          </w:p>
        </w:tc>
        <w:tc>
          <w:tcPr>
            <w:tcW w:w="1585" w:type="dxa"/>
            <w:tcBorders>
              <w:tl2br w:val="nil"/>
              <w:tr2bl w:val="nil"/>
            </w:tcBorders>
          </w:tcPr>
          <w:p>
            <w:pPr>
              <w:pStyle w:val="4069"/>
              <w:spacing w:before="12" w:line="240" w:lineRule="auto"/>
              <w:ind w:left="532" w:right="531"/>
              <w:jc w:val="center"/>
              <w:rPr>
                <w:rFonts w:ascii="Times New Roman" w:hAnsi="Times New Roman" w:eastAsia="Times New Roman" w:cs="Times New Roman"/>
                <w:sz w:val="21"/>
                <w:szCs w:val="21"/>
              </w:rPr>
            </w:pPr>
            <w:r>
              <w:rPr>
                <w:rFonts w:ascii="Times New Roman"/>
                <w:sz w:val="21"/>
              </w:rPr>
              <w:t>46.94</w:t>
            </w:r>
          </w:p>
        </w:tc>
        <w:tc>
          <w:tcPr>
            <w:tcW w:w="1008" w:type="dxa"/>
            <w:tcBorders>
              <w:tl2br w:val="nil"/>
              <w:tr2bl w:val="nil"/>
            </w:tcBorders>
          </w:tcPr>
          <w:p>
            <w:pPr>
              <w:pStyle w:val="4069"/>
              <w:spacing w:before="12" w:line="240" w:lineRule="auto"/>
              <w:ind w:left="322" w:right="324"/>
              <w:jc w:val="center"/>
              <w:rPr>
                <w:rFonts w:ascii="Times New Roman" w:hAnsi="Times New Roman" w:eastAsia="Times New Roman" w:cs="Times New Roman"/>
                <w:sz w:val="21"/>
                <w:szCs w:val="21"/>
              </w:rPr>
            </w:pPr>
            <w:r>
              <w:rPr>
                <w:rFonts w:ascii="Times New Roman"/>
                <w:spacing w:val="-1"/>
                <w:sz w:val="21"/>
              </w:rPr>
              <w:t>350</w:t>
            </w:r>
          </w:p>
        </w:tc>
        <w:tc>
          <w:tcPr>
            <w:tcW w:w="1571" w:type="dxa"/>
            <w:tcBorders>
              <w:tl2br w:val="nil"/>
              <w:tr2bl w:val="nil"/>
            </w:tcBorders>
          </w:tcPr>
          <w:p>
            <w:pPr>
              <w:pStyle w:val="4069"/>
              <w:spacing w:before="12" w:line="240" w:lineRule="auto"/>
              <w:ind w:left="525" w:right="524"/>
              <w:jc w:val="center"/>
              <w:rPr>
                <w:rFonts w:ascii="Times New Roman" w:hAnsi="Times New Roman" w:eastAsia="Times New Roman" w:cs="Times New Roman"/>
                <w:sz w:val="21"/>
                <w:szCs w:val="21"/>
              </w:rPr>
            </w:pPr>
            <w:r>
              <w:rPr>
                <w:rFonts w:ascii="Times New Roman"/>
                <w:sz w:val="21"/>
              </w:rPr>
              <w:t>35.92</w:t>
            </w:r>
          </w:p>
        </w:tc>
        <w:tc>
          <w:tcPr>
            <w:tcW w:w="1075" w:type="dxa"/>
            <w:tcBorders>
              <w:tl2br w:val="nil"/>
              <w:tr2bl w:val="nil"/>
            </w:tcBorders>
          </w:tcPr>
          <w:p>
            <w:pPr>
              <w:pStyle w:val="4069"/>
              <w:spacing w:before="12" w:line="240" w:lineRule="auto"/>
              <w:ind w:left="407" w:right="408"/>
              <w:jc w:val="center"/>
              <w:rPr>
                <w:rFonts w:ascii="Times New Roman" w:hAnsi="Times New Roman" w:eastAsia="Times New Roman" w:cs="Times New Roman"/>
                <w:sz w:val="21"/>
                <w:szCs w:val="21"/>
              </w:rPr>
            </w:pPr>
            <w:r>
              <w:rPr>
                <w:rFonts w:ascii="Times New Roman"/>
                <w:sz w:val="21"/>
              </w:rPr>
              <w:t>65</w:t>
            </w:r>
          </w:p>
        </w:tc>
        <w:tc>
          <w:tcPr>
            <w:tcW w:w="1500" w:type="dxa"/>
            <w:tcBorders>
              <w:tl2br w:val="nil"/>
              <w:tr2bl w:val="nil"/>
            </w:tcBorders>
          </w:tcPr>
          <w:p>
            <w:pPr>
              <w:pStyle w:val="4069"/>
              <w:spacing w:before="12" w:line="240" w:lineRule="auto"/>
              <w:ind w:left="490" w:right="488"/>
              <w:jc w:val="center"/>
              <w:rPr>
                <w:rFonts w:ascii="Times New Roman" w:hAnsi="Times New Roman" w:eastAsia="Times New Roman" w:cs="Times New Roman"/>
                <w:sz w:val="21"/>
                <w:szCs w:val="21"/>
              </w:rPr>
            </w:pPr>
            <w:r>
              <w:rPr>
                <w:rFonts w:ascii="Times New Roman"/>
                <w:sz w:val="21"/>
              </w:rPr>
              <w:t>40.92</w:t>
            </w:r>
          </w:p>
        </w:tc>
        <w:tc>
          <w:tcPr>
            <w:tcW w:w="1039" w:type="dxa"/>
            <w:tcBorders>
              <w:tl2br w:val="nil"/>
              <w:tr2bl w:val="nil"/>
            </w:tcBorders>
          </w:tcPr>
          <w:p>
            <w:pPr>
              <w:pStyle w:val="4069"/>
              <w:spacing w:before="12" w:line="240" w:lineRule="auto"/>
              <w:ind w:left="338" w:right="340"/>
              <w:jc w:val="center"/>
              <w:rPr>
                <w:rFonts w:ascii="Times New Roman" w:hAnsi="Times New Roman" w:eastAsia="Times New Roman" w:cs="Times New Roman"/>
                <w:sz w:val="21"/>
                <w:szCs w:val="21"/>
              </w:rPr>
            </w:pPr>
            <w:r>
              <w:rPr>
                <w:rFonts w:ascii="Times New Roman"/>
                <w:spacing w:val="-1"/>
                <w:sz w:val="21"/>
              </w:rPr>
              <w:t>300</w:t>
            </w:r>
          </w:p>
        </w:tc>
        <w:tc>
          <w:tcPr>
            <w:tcW w:w="1538" w:type="dxa"/>
            <w:tcBorders>
              <w:tl2br w:val="nil"/>
              <w:tr2bl w:val="nil"/>
            </w:tcBorders>
          </w:tcPr>
          <w:p>
            <w:pPr>
              <w:pStyle w:val="4069"/>
              <w:spacing w:before="12" w:line="240" w:lineRule="auto"/>
              <w:ind w:left="511" w:right="500"/>
              <w:jc w:val="center"/>
              <w:rPr>
                <w:rFonts w:ascii="Times New Roman" w:hAnsi="Times New Roman" w:eastAsia="Times New Roman" w:cs="Times New Roman"/>
                <w:sz w:val="21"/>
                <w:szCs w:val="21"/>
              </w:rPr>
            </w:pPr>
            <w:r>
              <w:rPr>
                <w:rFonts w:ascii="Times New Roman"/>
                <w:spacing w:val="-1"/>
                <w:sz w:val="21"/>
              </w:rPr>
              <w:t>36.06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1288" w:type="dxa"/>
            <w:tcBorders>
              <w:tl2br w:val="nil"/>
              <w:tr2bl w:val="nil"/>
            </w:tcBorders>
          </w:tcPr>
          <w:p>
            <w:pPr>
              <w:pStyle w:val="4069"/>
              <w:spacing w:before="12" w:line="240" w:lineRule="auto"/>
              <w:ind w:left="556" w:right="567"/>
              <w:jc w:val="center"/>
              <w:rPr>
                <w:rFonts w:ascii="Times New Roman" w:hAnsi="Times New Roman" w:eastAsia="Times New Roman" w:cs="Times New Roman"/>
                <w:sz w:val="21"/>
                <w:szCs w:val="21"/>
              </w:rPr>
            </w:pPr>
            <w:r>
              <w:rPr>
                <w:rFonts w:ascii="Times New Roman"/>
                <w:sz w:val="21"/>
              </w:rPr>
              <w:t>7</w:t>
            </w:r>
          </w:p>
        </w:tc>
        <w:tc>
          <w:tcPr>
            <w:tcW w:w="1289" w:type="dxa"/>
            <w:tcBorders>
              <w:tl2br w:val="nil"/>
              <w:tr2bl w:val="nil"/>
            </w:tcBorders>
          </w:tcPr>
          <w:p>
            <w:pPr>
              <w:pStyle w:val="4069"/>
              <w:spacing w:line="238" w:lineRule="exact"/>
              <w:ind w:left="113" w:right="0"/>
              <w:jc w:val="left"/>
              <w:rPr>
                <w:rFonts w:ascii="宋体" w:hAnsi="宋体" w:eastAsia="宋体" w:cs="宋体"/>
                <w:sz w:val="21"/>
                <w:szCs w:val="21"/>
              </w:rPr>
            </w:pPr>
            <w:r>
              <w:rPr>
                <w:rFonts w:ascii="宋体" w:hAnsi="宋体" w:eastAsia="宋体" w:cs="宋体"/>
                <w:sz w:val="21"/>
                <w:szCs w:val="21"/>
              </w:rPr>
              <w:t>叠加贡献值</w:t>
            </w:r>
          </w:p>
        </w:tc>
        <w:tc>
          <w:tcPr>
            <w:tcW w:w="1289" w:type="dxa"/>
            <w:tcBorders>
              <w:tl2br w:val="nil"/>
              <w:tr2bl w:val="nil"/>
            </w:tcBorders>
          </w:tcPr>
          <w:p>
            <w:pPr>
              <w:pStyle w:val="4069"/>
              <w:spacing w:before="12" w:line="240" w:lineRule="auto"/>
              <w:ind w:left="0" w:right="0"/>
              <w:jc w:val="center"/>
              <w:rPr>
                <w:rFonts w:ascii="Times New Roman" w:hAnsi="Times New Roman" w:eastAsia="Times New Roman" w:cs="Times New Roman"/>
                <w:sz w:val="21"/>
                <w:szCs w:val="21"/>
              </w:rPr>
            </w:pPr>
            <w:r>
              <w:rPr>
                <w:rFonts w:ascii="Times New Roman"/>
                <w:sz w:val="21"/>
              </w:rPr>
              <w:t>--</w:t>
            </w:r>
          </w:p>
        </w:tc>
        <w:tc>
          <w:tcPr>
            <w:tcW w:w="991" w:type="dxa"/>
            <w:tcBorders>
              <w:tl2br w:val="nil"/>
              <w:tr2bl w:val="nil"/>
            </w:tcBorders>
          </w:tcPr>
          <w:p>
            <w:pPr>
              <w:pStyle w:val="4069"/>
              <w:spacing w:before="12" w:line="240" w:lineRule="auto"/>
              <w:ind w:left="1" w:right="0"/>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2" w:line="240" w:lineRule="auto"/>
              <w:ind w:left="1" w:right="0"/>
              <w:jc w:val="center"/>
              <w:rPr>
                <w:rFonts w:ascii="Times New Roman" w:hAnsi="Times New Roman" w:eastAsia="Times New Roman" w:cs="Times New Roman"/>
                <w:sz w:val="21"/>
                <w:szCs w:val="21"/>
              </w:rPr>
            </w:pPr>
            <w:r>
              <w:rPr>
                <w:rFonts w:ascii="Times New Roman"/>
                <w:sz w:val="21"/>
              </w:rPr>
              <w:t>45.39</w:t>
            </w:r>
          </w:p>
        </w:tc>
        <w:tc>
          <w:tcPr>
            <w:tcW w:w="1008" w:type="dxa"/>
            <w:tcBorders>
              <w:tl2br w:val="nil"/>
              <w:tr2bl w:val="nil"/>
            </w:tcBorders>
          </w:tcPr>
          <w:p>
            <w:pPr>
              <w:pStyle w:val="4069"/>
              <w:spacing w:before="12" w:line="240" w:lineRule="auto"/>
              <w:ind w:left="2" w:right="0"/>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2" w:line="240" w:lineRule="auto"/>
              <w:ind w:left="1" w:right="0"/>
              <w:jc w:val="center"/>
              <w:rPr>
                <w:rFonts w:ascii="Times New Roman" w:hAnsi="Times New Roman" w:eastAsia="Times New Roman" w:cs="Times New Roman"/>
                <w:sz w:val="21"/>
                <w:szCs w:val="21"/>
              </w:rPr>
            </w:pPr>
            <w:r>
              <w:rPr>
                <w:rFonts w:ascii="Times New Roman"/>
                <w:sz w:val="21"/>
              </w:rPr>
              <w:t>45.39</w:t>
            </w:r>
          </w:p>
        </w:tc>
        <w:tc>
          <w:tcPr>
            <w:tcW w:w="1075" w:type="dxa"/>
            <w:tcBorders>
              <w:tl2br w:val="nil"/>
              <w:tr2bl w:val="nil"/>
            </w:tcBorders>
          </w:tcPr>
          <w:p>
            <w:pPr>
              <w:pStyle w:val="4069"/>
              <w:spacing w:before="12" w:line="240" w:lineRule="auto"/>
              <w:ind w:left="0" w:right="0"/>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2" w:line="240" w:lineRule="auto"/>
              <w:ind w:left="2" w:right="0"/>
              <w:jc w:val="center"/>
              <w:rPr>
                <w:rFonts w:ascii="Times New Roman" w:hAnsi="Times New Roman" w:eastAsia="Times New Roman" w:cs="Times New Roman"/>
                <w:sz w:val="21"/>
                <w:szCs w:val="21"/>
              </w:rPr>
            </w:pPr>
            <w:r>
              <w:rPr>
                <w:rFonts w:ascii="Times New Roman"/>
                <w:sz w:val="21"/>
              </w:rPr>
              <w:t>43.74</w:t>
            </w:r>
          </w:p>
        </w:tc>
        <w:tc>
          <w:tcPr>
            <w:tcW w:w="1039" w:type="dxa"/>
            <w:tcBorders>
              <w:tl2br w:val="nil"/>
              <w:tr2bl w:val="nil"/>
            </w:tcBorders>
          </w:tcPr>
          <w:p>
            <w:pPr>
              <w:pStyle w:val="4069"/>
              <w:spacing w:before="12" w:line="240" w:lineRule="auto"/>
              <w:ind w:left="0" w:right="0"/>
              <w:jc w:val="center"/>
              <w:rPr>
                <w:rFonts w:ascii="Times New Roman" w:hAnsi="Times New Roman" w:eastAsia="Times New Roman" w:cs="Times New Roman"/>
                <w:sz w:val="21"/>
                <w:szCs w:val="21"/>
              </w:rPr>
            </w:pPr>
            <w:r>
              <w:rPr>
                <w:rFonts w:ascii="Times New Roman"/>
                <w:spacing w:val="-1"/>
                <w:sz w:val="21"/>
              </w:rPr>
              <w:t>--</w:t>
            </w:r>
          </w:p>
        </w:tc>
        <w:tc>
          <w:tcPr>
            <w:tcW w:w="1538" w:type="dxa"/>
            <w:tcBorders>
              <w:tl2br w:val="nil"/>
              <w:tr2bl w:val="nil"/>
            </w:tcBorders>
          </w:tcPr>
          <w:p>
            <w:pPr>
              <w:pStyle w:val="4069"/>
              <w:spacing w:before="12" w:line="240" w:lineRule="auto"/>
              <w:ind w:left="10" w:right="0"/>
              <w:jc w:val="center"/>
              <w:rPr>
                <w:rFonts w:ascii="Times New Roman" w:hAnsi="Times New Roman" w:eastAsia="Times New Roman" w:cs="Times New Roman"/>
                <w:sz w:val="21"/>
                <w:szCs w:val="21"/>
              </w:rPr>
            </w:pPr>
            <w:r>
              <w:rPr>
                <w:rFonts w:ascii="Times New Roman"/>
                <w:sz w:val="21"/>
              </w:rPr>
              <w:t>40.59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exact"/>
        </w:trPr>
        <w:tc>
          <w:tcPr>
            <w:tcW w:w="2576" w:type="dxa"/>
            <w:gridSpan w:val="2"/>
            <w:vMerge w:val="restart"/>
            <w:tcBorders>
              <w:tl2br w:val="nil"/>
              <w:tr2bl w:val="nil"/>
            </w:tcBorders>
          </w:tcPr>
          <w:p>
            <w:pPr>
              <w:pStyle w:val="4069"/>
              <w:spacing w:before="108" w:line="240" w:lineRule="auto"/>
              <w:ind w:left="314" w:right="0"/>
              <w:jc w:val="left"/>
              <w:rPr>
                <w:rFonts w:ascii="宋体" w:hAnsi="宋体" w:eastAsia="宋体" w:cs="宋体"/>
                <w:sz w:val="21"/>
                <w:szCs w:val="21"/>
              </w:rPr>
            </w:pPr>
            <w:r>
              <w:rPr>
                <w:rFonts w:ascii="宋体" w:hAnsi="宋体" w:eastAsia="宋体" w:cs="宋体"/>
                <w:sz w:val="21"/>
                <w:szCs w:val="21"/>
              </w:rPr>
              <w:t>现状监测值</w:t>
            </w:r>
            <w:r>
              <w:rPr>
                <w:rFonts w:ascii="宋体" w:hAnsi="宋体" w:eastAsia="宋体" w:cs="宋体"/>
                <w:spacing w:val="-57"/>
                <w:sz w:val="21"/>
                <w:szCs w:val="21"/>
              </w:rPr>
              <w:t xml:space="preserve"> </w:t>
            </w:r>
            <w:r>
              <w:rPr>
                <w:rFonts w:ascii="Times New Roman" w:hAnsi="Times New Roman" w:eastAsia="Times New Roman" w:cs="Times New Roman"/>
                <w:spacing w:val="-1"/>
                <w:sz w:val="21"/>
                <w:szCs w:val="21"/>
              </w:rPr>
              <w:t>dB</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tc>
        <w:tc>
          <w:tcPr>
            <w:tcW w:w="1289" w:type="dxa"/>
            <w:tcBorders>
              <w:tl2br w:val="nil"/>
              <w:tr2bl w:val="nil"/>
            </w:tcBorders>
          </w:tcPr>
          <w:p>
            <w:pPr>
              <w:pStyle w:val="4069"/>
              <w:spacing w:line="240" w:lineRule="exact"/>
              <w:ind w:left="409" w:right="409"/>
              <w:jc w:val="center"/>
              <w:rPr>
                <w:rFonts w:ascii="宋体" w:hAnsi="宋体" w:eastAsia="宋体" w:cs="宋体"/>
                <w:sz w:val="21"/>
                <w:szCs w:val="21"/>
              </w:rPr>
            </w:pPr>
            <w:r>
              <w:rPr>
                <w:rFonts w:ascii="宋体" w:hAnsi="宋体" w:eastAsia="宋体" w:cs="宋体"/>
                <w:sz w:val="21"/>
                <w:szCs w:val="21"/>
              </w:rPr>
              <w:t>昼间</w:t>
            </w:r>
          </w:p>
        </w:tc>
        <w:tc>
          <w:tcPr>
            <w:tcW w:w="991" w:type="dxa"/>
            <w:tcBorders>
              <w:tl2br w:val="nil"/>
              <w:tr2bl w:val="nil"/>
            </w:tcBorders>
          </w:tcPr>
          <w:p>
            <w:pPr>
              <w:pStyle w:val="4069"/>
              <w:spacing w:before="14" w:line="240" w:lineRule="auto"/>
              <w:ind w:left="402" w:right="401"/>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4" w:line="240" w:lineRule="auto"/>
              <w:ind w:left="586" w:right="586"/>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42.4</w:t>
            </w:r>
          </w:p>
        </w:tc>
        <w:tc>
          <w:tcPr>
            <w:tcW w:w="1008" w:type="dxa"/>
            <w:tcBorders>
              <w:tl2br w:val="nil"/>
              <w:tr2bl w:val="nil"/>
            </w:tcBorders>
          </w:tcPr>
          <w:p>
            <w:pPr>
              <w:pStyle w:val="4069"/>
              <w:spacing w:before="14" w:line="240" w:lineRule="auto"/>
              <w:ind w:left="410" w:right="409"/>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4" w:line="240" w:lineRule="auto"/>
              <w:ind w:left="578" w:right="579"/>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43.4</w:t>
            </w:r>
          </w:p>
        </w:tc>
        <w:tc>
          <w:tcPr>
            <w:tcW w:w="1075" w:type="dxa"/>
            <w:tcBorders>
              <w:tl2br w:val="nil"/>
              <w:tr2bl w:val="nil"/>
            </w:tcBorders>
          </w:tcPr>
          <w:p>
            <w:pPr>
              <w:pStyle w:val="4069"/>
              <w:spacing w:before="14" w:line="240" w:lineRule="auto"/>
              <w:ind w:left="443" w:right="443"/>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4" w:line="240" w:lineRule="auto"/>
              <w:ind w:left="542" w:right="544"/>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58.7</w:t>
            </w:r>
          </w:p>
        </w:tc>
        <w:tc>
          <w:tcPr>
            <w:tcW w:w="1039" w:type="dxa"/>
            <w:tcBorders>
              <w:tl2br w:val="nil"/>
              <w:tr2bl w:val="nil"/>
            </w:tcBorders>
          </w:tcPr>
          <w:p>
            <w:pPr>
              <w:pStyle w:val="4069"/>
              <w:spacing w:before="14" w:line="240" w:lineRule="auto"/>
              <w:ind w:left="425" w:right="425"/>
              <w:jc w:val="center"/>
              <w:rPr>
                <w:rFonts w:ascii="Times New Roman" w:hAnsi="Times New Roman" w:eastAsia="Times New Roman" w:cs="Times New Roman"/>
                <w:sz w:val="21"/>
                <w:szCs w:val="21"/>
              </w:rPr>
            </w:pPr>
            <w:r>
              <w:rPr>
                <w:rFonts w:ascii="Times New Roman"/>
                <w:sz w:val="21"/>
              </w:rPr>
              <w:t>--</w:t>
            </w:r>
          </w:p>
        </w:tc>
        <w:tc>
          <w:tcPr>
            <w:tcW w:w="1538" w:type="dxa"/>
            <w:tcBorders>
              <w:tl2br w:val="nil"/>
              <w:tr2bl w:val="nil"/>
            </w:tcBorders>
          </w:tcPr>
          <w:p>
            <w:pPr>
              <w:pStyle w:val="4069"/>
              <w:spacing w:before="14" w:line="240" w:lineRule="auto"/>
              <w:ind w:left="562" w:right="554"/>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55.8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2576" w:type="dxa"/>
            <w:gridSpan w:val="2"/>
            <w:vMerge w:val="continue"/>
            <w:tcBorders>
              <w:tl2br w:val="nil"/>
              <w:tr2bl w:val="nil"/>
            </w:tcBorders>
          </w:tcPr>
          <w:p/>
        </w:tc>
        <w:tc>
          <w:tcPr>
            <w:tcW w:w="1289" w:type="dxa"/>
            <w:tcBorders>
              <w:tl2br w:val="nil"/>
              <w:tr2bl w:val="nil"/>
            </w:tcBorders>
          </w:tcPr>
          <w:p>
            <w:pPr>
              <w:pStyle w:val="4069"/>
              <w:spacing w:line="238" w:lineRule="exact"/>
              <w:ind w:left="409" w:right="409"/>
              <w:jc w:val="center"/>
              <w:rPr>
                <w:rFonts w:ascii="宋体" w:hAnsi="宋体" w:eastAsia="宋体" w:cs="宋体"/>
                <w:sz w:val="21"/>
                <w:szCs w:val="21"/>
              </w:rPr>
            </w:pPr>
            <w:r>
              <w:rPr>
                <w:rFonts w:ascii="宋体" w:hAnsi="宋体" w:eastAsia="宋体" w:cs="宋体"/>
                <w:sz w:val="21"/>
                <w:szCs w:val="21"/>
              </w:rPr>
              <w:t>夜间</w:t>
            </w:r>
          </w:p>
        </w:tc>
        <w:tc>
          <w:tcPr>
            <w:tcW w:w="991" w:type="dxa"/>
            <w:tcBorders>
              <w:tl2br w:val="nil"/>
              <w:tr2bl w:val="nil"/>
            </w:tcBorders>
          </w:tcPr>
          <w:p>
            <w:pPr>
              <w:pStyle w:val="4069"/>
              <w:spacing w:before="12" w:line="240" w:lineRule="auto"/>
              <w:ind w:left="402" w:right="401"/>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2" w:line="240" w:lineRule="auto"/>
              <w:ind w:left="586" w:right="586"/>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40.8</w:t>
            </w:r>
          </w:p>
        </w:tc>
        <w:tc>
          <w:tcPr>
            <w:tcW w:w="1008" w:type="dxa"/>
            <w:tcBorders>
              <w:tl2br w:val="nil"/>
              <w:tr2bl w:val="nil"/>
            </w:tcBorders>
          </w:tcPr>
          <w:p>
            <w:pPr>
              <w:pStyle w:val="4069"/>
              <w:spacing w:before="12" w:line="240" w:lineRule="auto"/>
              <w:ind w:left="410" w:right="409"/>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2" w:line="240" w:lineRule="auto"/>
              <w:ind w:left="578" w:right="579"/>
              <w:jc w:val="center"/>
              <w:rPr>
                <w:rFonts w:hint="eastAsia" w:ascii="Times New Roman" w:hAnsi="Times New Roman" w:eastAsia="宋体" w:cs="Times New Roman"/>
                <w:sz w:val="21"/>
                <w:szCs w:val="21"/>
                <w:lang w:eastAsia="zh-CN"/>
              </w:rPr>
            </w:pPr>
            <w:r>
              <w:rPr>
                <w:rFonts w:ascii="Times New Roman"/>
                <w:spacing w:val="-1"/>
                <w:sz w:val="21"/>
              </w:rPr>
              <w:t>39.</w:t>
            </w:r>
            <w:r>
              <w:rPr>
                <w:rFonts w:hint="eastAsia" w:ascii="Times New Roman" w:eastAsia="宋体"/>
                <w:spacing w:val="-1"/>
                <w:sz w:val="21"/>
                <w:lang w:val="en-US" w:eastAsia="zh-CN"/>
              </w:rPr>
              <w:t>7</w:t>
            </w:r>
          </w:p>
        </w:tc>
        <w:tc>
          <w:tcPr>
            <w:tcW w:w="1075" w:type="dxa"/>
            <w:tcBorders>
              <w:tl2br w:val="nil"/>
              <w:tr2bl w:val="nil"/>
            </w:tcBorders>
          </w:tcPr>
          <w:p>
            <w:pPr>
              <w:pStyle w:val="4069"/>
              <w:spacing w:before="12" w:line="240" w:lineRule="auto"/>
              <w:ind w:left="443" w:right="443"/>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2" w:line="240" w:lineRule="auto"/>
              <w:ind w:left="542" w:right="544"/>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46.8</w:t>
            </w:r>
          </w:p>
        </w:tc>
        <w:tc>
          <w:tcPr>
            <w:tcW w:w="1039" w:type="dxa"/>
            <w:tcBorders>
              <w:tl2br w:val="nil"/>
              <w:tr2bl w:val="nil"/>
            </w:tcBorders>
          </w:tcPr>
          <w:p>
            <w:pPr>
              <w:pStyle w:val="4069"/>
              <w:spacing w:before="12" w:line="240" w:lineRule="auto"/>
              <w:ind w:left="425" w:right="425"/>
              <w:jc w:val="center"/>
              <w:rPr>
                <w:rFonts w:ascii="Times New Roman" w:hAnsi="Times New Roman" w:eastAsia="Times New Roman" w:cs="Times New Roman"/>
                <w:sz w:val="21"/>
                <w:szCs w:val="21"/>
              </w:rPr>
            </w:pPr>
            <w:r>
              <w:rPr>
                <w:rFonts w:ascii="Times New Roman"/>
                <w:sz w:val="21"/>
              </w:rPr>
              <w:t>--</w:t>
            </w:r>
          </w:p>
        </w:tc>
        <w:tc>
          <w:tcPr>
            <w:tcW w:w="1538" w:type="dxa"/>
            <w:tcBorders>
              <w:tl2br w:val="nil"/>
              <w:tr2bl w:val="nil"/>
            </w:tcBorders>
          </w:tcPr>
          <w:p>
            <w:pPr>
              <w:pStyle w:val="4069"/>
              <w:spacing w:before="12" w:line="240" w:lineRule="auto"/>
              <w:ind w:left="562" w:right="554"/>
              <w:jc w:val="center"/>
              <w:rPr>
                <w:rFonts w:hint="default" w:ascii="Times New Roman" w:hAnsi="Times New Roman" w:eastAsia="宋体" w:cs="Times New Roman"/>
                <w:sz w:val="21"/>
                <w:szCs w:val="21"/>
                <w:lang w:val="en-US" w:eastAsia="zh-CN"/>
              </w:rPr>
            </w:pPr>
            <w:r>
              <w:rPr>
                <w:rFonts w:hint="eastAsia" w:ascii="Times New Roman" w:eastAsia="宋体"/>
                <w:spacing w:val="-1"/>
                <w:sz w:val="21"/>
                <w:lang w:val="en-US" w:eastAsia="zh-CN"/>
              </w:rPr>
              <w:t>47.8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2576" w:type="dxa"/>
            <w:gridSpan w:val="2"/>
            <w:vMerge w:val="restart"/>
            <w:tcBorders>
              <w:tl2br w:val="nil"/>
              <w:tr2bl w:val="nil"/>
            </w:tcBorders>
          </w:tcPr>
          <w:p>
            <w:pPr>
              <w:pStyle w:val="4069"/>
              <w:spacing w:before="107" w:line="240" w:lineRule="auto"/>
              <w:ind w:left="524" w:right="0"/>
              <w:jc w:val="left"/>
              <w:rPr>
                <w:rFonts w:ascii="宋体" w:hAnsi="宋体" w:eastAsia="宋体" w:cs="宋体"/>
                <w:sz w:val="21"/>
                <w:szCs w:val="21"/>
              </w:rPr>
            </w:pPr>
            <w:r>
              <w:rPr>
                <w:rFonts w:ascii="宋体" w:hAnsi="宋体" w:eastAsia="宋体" w:cs="宋体"/>
                <w:sz w:val="21"/>
                <w:szCs w:val="21"/>
              </w:rPr>
              <w:t>预测值</w:t>
            </w:r>
            <w:r>
              <w:rPr>
                <w:rFonts w:ascii="宋体" w:hAnsi="宋体" w:eastAsia="宋体" w:cs="宋体"/>
                <w:spacing w:val="-57"/>
                <w:sz w:val="21"/>
                <w:szCs w:val="21"/>
              </w:rPr>
              <w:t xml:space="preserve"> </w:t>
            </w:r>
            <w:r>
              <w:rPr>
                <w:rFonts w:ascii="Times New Roman" w:hAnsi="Times New Roman" w:eastAsia="Times New Roman" w:cs="Times New Roman"/>
                <w:spacing w:val="-1"/>
                <w:sz w:val="21"/>
                <w:szCs w:val="21"/>
              </w:rPr>
              <w:t>dB</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tc>
        <w:tc>
          <w:tcPr>
            <w:tcW w:w="1289" w:type="dxa"/>
            <w:tcBorders>
              <w:tl2br w:val="nil"/>
              <w:tr2bl w:val="nil"/>
            </w:tcBorders>
          </w:tcPr>
          <w:p>
            <w:pPr>
              <w:pStyle w:val="4069"/>
              <w:spacing w:line="238" w:lineRule="exact"/>
              <w:ind w:left="409" w:right="409"/>
              <w:jc w:val="center"/>
              <w:rPr>
                <w:rFonts w:ascii="宋体" w:hAnsi="宋体" w:eastAsia="宋体" w:cs="宋体"/>
                <w:sz w:val="21"/>
                <w:szCs w:val="21"/>
              </w:rPr>
            </w:pPr>
            <w:r>
              <w:rPr>
                <w:rFonts w:ascii="宋体" w:hAnsi="宋体" w:eastAsia="宋体" w:cs="宋体"/>
                <w:sz w:val="21"/>
                <w:szCs w:val="21"/>
              </w:rPr>
              <w:t>昼间</w:t>
            </w:r>
          </w:p>
        </w:tc>
        <w:tc>
          <w:tcPr>
            <w:tcW w:w="991" w:type="dxa"/>
            <w:tcBorders>
              <w:tl2br w:val="nil"/>
              <w:tr2bl w:val="nil"/>
            </w:tcBorders>
          </w:tcPr>
          <w:p>
            <w:pPr>
              <w:pStyle w:val="4069"/>
              <w:spacing w:before="12" w:line="240" w:lineRule="auto"/>
              <w:ind w:left="402" w:right="401"/>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2" w:line="240" w:lineRule="auto"/>
              <w:ind w:left="534" w:right="534"/>
              <w:jc w:val="center"/>
              <w:rPr>
                <w:rFonts w:ascii="Times New Roman" w:hAnsi="Times New Roman" w:eastAsia="Times New Roman" w:cs="Times New Roman"/>
                <w:sz w:val="21"/>
                <w:szCs w:val="21"/>
              </w:rPr>
            </w:pPr>
            <w:r>
              <w:rPr>
                <w:rFonts w:ascii="Times New Roman"/>
                <w:spacing w:val="-1"/>
                <w:sz w:val="21"/>
              </w:rPr>
              <w:t>52.96</w:t>
            </w:r>
          </w:p>
        </w:tc>
        <w:tc>
          <w:tcPr>
            <w:tcW w:w="1008" w:type="dxa"/>
            <w:tcBorders>
              <w:tl2br w:val="nil"/>
              <w:tr2bl w:val="nil"/>
            </w:tcBorders>
          </w:tcPr>
          <w:p>
            <w:pPr>
              <w:pStyle w:val="4069"/>
              <w:spacing w:before="12" w:line="240" w:lineRule="auto"/>
              <w:ind w:left="409" w:right="409"/>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2" w:line="240" w:lineRule="auto"/>
              <w:ind w:left="524" w:right="525"/>
              <w:jc w:val="center"/>
              <w:rPr>
                <w:rFonts w:ascii="Times New Roman" w:hAnsi="Times New Roman" w:eastAsia="Times New Roman" w:cs="Times New Roman"/>
                <w:sz w:val="21"/>
                <w:szCs w:val="21"/>
              </w:rPr>
            </w:pPr>
            <w:r>
              <w:rPr>
                <w:rFonts w:ascii="Times New Roman"/>
                <w:sz w:val="21"/>
              </w:rPr>
              <w:t>54.30</w:t>
            </w:r>
          </w:p>
        </w:tc>
        <w:tc>
          <w:tcPr>
            <w:tcW w:w="1075" w:type="dxa"/>
            <w:tcBorders>
              <w:tl2br w:val="nil"/>
              <w:tr2bl w:val="nil"/>
            </w:tcBorders>
          </w:tcPr>
          <w:p>
            <w:pPr>
              <w:pStyle w:val="4069"/>
              <w:spacing w:before="12" w:line="240" w:lineRule="auto"/>
              <w:ind w:left="442" w:right="443"/>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2" w:line="240" w:lineRule="auto"/>
              <w:ind w:left="489" w:right="489"/>
              <w:jc w:val="center"/>
              <w:rPr>
                <w:rFonts w:ascii="Times New Roman" w:hAnsi="Times New Roman" w:eastAsia="Times New Roman" w:cs="Times New Roman"/>
                <w:sz w:val="21"/>
                <w:szCs w:val="21"/>
              </w:rPr>
            </w:pPr>
            <w:r>
              <w:rPr>
                <w:rFonts w:ascii="Times New Roman"/>
                <w:sz w:val="21"/>
              </w:rPr>
              <w:t>59.33</w:t>
            </w:r>
          </w:p>
        </w:tc>
        <w:tc>
          <w:tcPr>
            <w:tcW w:w="1039" w:type="dxa"/>
            <w:tcBorders>
              <w:tl2br w:val="nil"/>
              <w:tr2bl w:val="nil"/>
            </w:tcBorders>
          </w:tcPr>
          <w:p>
            <w:pPr>
              <w:pStyle w:val="4069"/>
              <w:spacing w:before="12" w:line="240" w:lineRule="auto"/>
              <w:ind w:left="425" w:right="426"/>
              <w:jc w:val="center"/>
              <w:rPr>
                <w:rFonts w:ascii="Times New Roman" w:hAnsi="Times New Roman" w:eastAsia="Times New Roman" w:cs="Times New Roman"/>
                <w:sz w:val="21"/>
                <w:szCs w:val="21"/>
              </w:rPr>
            </w:pPr>
            <w:r>
              <w:rPr>
                <w:rFonts w:ascii="Times New Roman"/>
                <w:spacing w:val="-1"/>
                <w:sz w:val="21"/>
              </w:rPr>
              <w:t>--</w:t>
            </w:r>
          </w:p>
        </w:tc>
        <w:tc>
          <w:tcPr>
            <w:tcW w:w="1538" w:type="dxa"/>
            <w:tcBorders>
              <w:tl2br w:val="nil"/>
              <w:tr2bl w:val="nil"/>
            </w:tcBorders>
          </w:tcPr>
          <w:p>
            <w:pPr>
              <w:pStyle w:val="4069"/>
              <w:spacing w:before="12" w:line="240" w:lineRule="auto"/>
              <w:ind w:left="509" w:right="501"/>
              <w:jc w:val="center"/>
              <w:rPr>
                <w:rFonts w:ascii="Times New Roman" w:hAnsi="Times New Roman" w:eastAsia="Times New Roman" w:cs="Times New Roman"/>
                <w:sz w:val="21"/>
                <w:szCs w:val="21"/>
              </w:rPr>
            </w:pPr>
            <w:r>
              <w:rPr>
                <w:rFonts w:ascii="Times New Roman"/>
                <w:spacing w:val="-1"/>
                <w:sz w:val="21"/>
              </w:rPr>
              <w:t>53.15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exact"/>
        </w:trPr>
        <w:tc>
          <w:tcPr>
            <w:tcW w:w="2576" w:type="dxa"/>
            <w:gridSpan w:val="2"/>
            <w:vMerge w:val="continue"/>
            <w:tcBorders>
              <w:tl2br w:val="nil"/>
              <w:tr2bl w:val="nil"/>
            </w:tcBorders>
          </w:tcPr>
          <w:p/>
        </w:tc>
        <w:tc>
          <w:tcPr>
            <w:tcW w:w="1289" w:type="dxa"/>
            <w:tcBorders>
              <w:tl2br w:val="nil"/>
              <w:tr2bl w:val="nil"/>
            </w:tcBorders>
          </w:tcPr>
          <w:p>
            <w:pPr>
              <w:pStyle w:val="4069"/>
              <w:spacing w:line="240" w:lineRule="exact"/>
              <w:ind w:left="409" w:right="409"/>
              <w:jc w:val="center"/>
              <w:rPr>
                <w:rFonts w:ascii="宋体" w:hAnsi="宋体" w:eastAsia="宋体" w:cs="宋体"/>
                <w:sz w:val="21"/>
                <w:szCs w:val="21"/>
              </w:rPr>
            </w:pPr>
            <w:r>
              <w:rPr>
                <w:rFonts w:ascii="宋体" w:hAnsi="宋体" w:eastAsia="宋体" w:cs="宋体"/>
                <w:sz w:val="21"/>
                <w:szCs w:val="21"/>
              </w:rPr>
              <w:t>夜间</w:t>
            </w:r>
          </w:p>
        </w:tc>
        <w:tc>
          <w:tcPr>
            <w:tcW w:w="991" w:type="dxa"/>
            <w:tcBorders>
              <w:tl2br w:val="nil"/>
              <w:tr2bl w:val="nil"/>
            </w:tcBorders>
          </w:tcPr>
          <w:p>
            <w:pPr>
              <w:pStyle w:val="4069"/>
              <w:spacing w:before="14" w:line="240" w:lineRule="auto"/>
              <w:ind w:left="402" w:right="401"/>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4" w:line="240" w:lineRule="auto"/>
              <w:ind w:left="534" w:right="534"/>
              <w:jc w:val="center"/>
              <w:rPr>
                <w:rFonts w:ascii="Times New Roman" w:hAnsi="Times New Roman" w:eastAsia="Times New Roman" w:cs="Times New Roman"/>
                <w:sz w:val="21"/>
                <w:szCs w:val="21"/>
              </w:rPr>
            </w:pPr>
            <w:r>
              <w:rPr>
                <w:rFonts w:ascii="Times New Roman"/>
                <w:spacing w:val="-1"/>
                <w:sz w:val="21"/>
              </w:rPr>
              <w:t>49.13</w:t>
            </w:r>
          </w:p>
        </w:tc>
        <w:tc>
          <w:tcPr>
            <w:tcW w:w="1008" w:type="dxa"/>
            <w:tcBorders>
              <w:tl2br w:val="nil"/>
              <w:tr2bl w:val="nil"/>
            </w:tcBorders>
          </w:tcPr>
          <w:p>
            <w:pPr>
              <w:pStyle w:val="4069"/>
              <w:spacing w:before="14" w:line="240" w:lineRule="auto"/>
              <w:ind w:left="409" w:right="409"/>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4" w:line="240" w:lineRule="auto"/>
              <w:ind w:left="524" w:right="525"/>
              <w:jc w:val="center"/>
              <w:rPr>
                <w:rFonts w:ascii="Times New Roman" w:hAnsi="Times New Roman" w:eastAsia="Times New Roman" w:cs="Times New Roman"/>
                <w:sz w:val="21"/>
                <w:szCs w:val="21"/>
              </w:rPr>
            </w:pPr>
            <w:r>
              <w:rPr>
                <w:rFonts w:ascii="Times New Roman"/>
                <w:sz w:val="21"/>
              </w:rPr>
              <w:t>47.76</w:t>
            </w:r>
          </w:p>
        </w:tc>
        <w:tc>
          <w:tcPr>
            <w:tcW w:w="1075" w:type="dxa"/>
            <w:tcBorders>
              <w:tl2br w:val="nil"/>
              <w:tr2bl w:val="nil"/>
            </w:tcBorders>
          </w:tcPr>
          <w:p>
            <w:pPr>
              <w:pStyle w:val="4069"/>
              <w:spacing w:before="14" w:line="240" w:lineRule="auto"/>
              <w:ind w:left="442" w:right="443"/>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4" w:line="240" w:lineRule="auto"/>
              <w:ind w:left="489" w:right="489"/>
              <w:jc w:val="center"/>
              <w:rPr>
                <w:rFonts w:ascii="Times New Roman" w:hAnsi="Times New Roman" w:eastAsia="Times New Roman" w:cs="Times New Roman"/>
                <w:sz w:val="21"/>
                <w:szCs w:val="21"/>
              </w:rPr>
            </w:pPr>
            <w:r>
              <w:rPr>
                <w:rFonts w:ascii="Times New Roman"/>
                <w:sz w:val="21"/>
              </w:rPr>
              <w:t>49.95</w:t>
            </w:r>
          </w:p>
        </w:tc>
        <w:tc>
          <w:tcPr>
            <w:tcW w:w="1039" w:type="dxa"/>
            <w:tcBorders>
              <w:tl2br w:val="nil"/>
              <w:tr2bl w:val="nil"/>
            </w:tcBorders>
          </w:tcPr>
          <w:p>
            <w:pPr>
              <w:pStyle w:val="4069"/>
              <w:spacing w:before="14" w:line="240" w:lineRule="auto"/>
              <w:ind w:left="425" w:right="426"/>
              <w:jc w:val="center"/>
              <w:rPr>
                <w:rFonts w:ascii="Times New Roman" w:hAnsi="Times New Roman" w:eastAsia="Times New Roman" w:cs="Times New Roman"/>
                <w:sz w:val="21"/>
                <w:szCs w:val="21"/>
              </w:rPr>
            </w:pPr>
            <w:r>
              <w:rPr>
                <w:rFonts w:ascii="Times New Roman"/>
                <w:spacing w:val="-1"/>
                <w:sz w:val="21"/>
              </w:rPr>
              <w:t>--</w:t>
            </w:r>
          </w:p>
        </w:tc>
        <w:tc>
          <w:tcPr>
            <w:tcW w:w="1538" w:type="dxa"/>
            <w:tcBorders>
              <w:tl2br w:val="nil"/>
              <w:tr2bl w:val="nil"/>
            </w:tcBorders>
          </w:tcPr>
          <w:p>
            <w:pPr>
              <w:pStyle w:val="4069"/>
              <w:spacing w:before="14" w:line="240" w:lineRule="auto"/>
              <w:ind w:left="509" w:right="501"/>
              <w:jc w:val="center"/>
              <w:rPr>
                <w:rFonts w:ascii="Times New Roman" w:hAnsi="Times New Roman" w:eastAsia="Times New Roman" w:cs="Times New Roman"/>
                <w:sz w:val="21"/>
                <w:szCs w:val="21"/>
              </w:rPr>
            </w:pPr>
            <w:r>
              <w:rPr>
                <w:rFonts w:ascii="Times New Roman"/>
                <w:spacing w:val="-1"/>
                <w:sz w:val="21"/>
              </w:rPr>
              <w:t>46.31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2576" w:type="dxa"/>
            <w:gridSpan w:val="2"/>
            <w:vMerge w:val="restart"/>
            <w:tcBorders>
              <w:tl2br w:val="nil"/>
              <w:tr2bl w:val="nil"/>
            </w:tcBorders>
          </w:tcPr>
          <w:p>
            <w:pPr>
              <w:pStyle w:val="4069"/>
              <w:spacing w:before="107" w:line="240" w:lineRule="auto"/>
              <w:ind w:left="418" w:right="0"/>
              <w:jc w:val="left"/>
              <w:rPr>
                <w:rFonts w:ascii="宋体" w:hAnsi="宋体" w:eastAsia="宋体" w:cs="宋体"/>
                <w:sz w:val="21"/>
                <w:szCs w:val="21"/>
              </w:rPr>
            </w:pPr>
            <w:r>
              <w:rPr>
                <w:rFonts w:ascii="宋体" w:hAnsi="宋体" w:eastAsia="宋体" w:cs="宋体"/>
                <w:sz w:val="21"/>
                <w:szCs w:val="21"/>
              </w:rPr>
              <w:t>超标情况</w:t>
            </w:r>
            <w:r>
              <w:rPr>
                <w:rFonts w:ascii="宋体" w:hAnsi="宋体" w:eastAsia="宋体" w:cs="宋体"/>
                <w:spacing w:val="-57"/>
                <w:sz w:val="21"/>
                <w:szCs w:val="21"/>
              </w:rPr>
              <w:t xml:space="preserve"> </w:t>
            </w:r>
            <w:r>
              <w:rPr>
                <w:rFonts w:ascii="Times New Roman" w:hAnsi="Times New Roman" w:eastAsia="Times New Roman" w:cs="Times New Roman"/>
                <w:spacing w:val="-1"/>
                <w:sz w:val="21"/>
                <w:szCs w:val="21"/>
              </w:rPr>
              <w:t>dB</w:t>
            </w:r>
            <w:r>
              <w:rPr>
                <w:rFonts w:ascii="宋体" w:hAnsi="宋体" w:eastAsia="宋体" w:cs="宋体"/>
                <w:spacing w:val="-1"/>
                <w:sz w:val="21"/>
                <w:szCs w:val="21"/>
              </w:rPr>
              <w:t>（</w:t>
            </w:r>
            <w:r>
              <w:rPr>
                <w:rFonts w:ascii="Times New Roman" w:hAnsi="Times New Roman" w:eastAsia="Times New Roman" w:cs="Times New Roman"/>
                <w:spacing w:val="-1"/>
                <w:sz w:val="21"/>
                <w:szCs w:val="21"/>
              </w:rPr>
              <w:t>A</w:t>
            </w:r>
            <w:r>
              <w:rPr>
                <w:rFonts w:ascii="宋体" w:hAnsi="宋体" w:eastAsia="宋体" w:cs="宋体"/>
                <w:spacing w:val="-1"/>
                <w:sz w:val="21"/>
                <w:szCs w:val="21"/>
              </w:rPr>
              <w:t>）</w:t>
            </w:r>
          </w:p>
        </w:tc>
        <w:tc>
          <w:tcPr>
            <w:tcW w:w="1289" w:type="dxa"/>
            <w:tcBorders>
              <w:tl2br w:val="nil"/>
              <w:tr2bl w:val="nil"/>
            </w:tcBorders>
          </w:tcPr>
          <w:p>
            <w:pPr>
              <w:pStyle w:val="4069"/>
              <w:spacing w:line="238" w:lineRule="exact"/>
              <w:ind w:left="409" w:right="409"/>
              <w:jc w:val="center"/>
              <w:rPr>
                <w:rFonts w:ascii="宋体" w:hAnsi="宋体" w:eastAsia="宋体" w:cs="宋体"/>
                <w:sz w:val="21"/>
                <w:szCs w:val="21"/>
              </w:rPr>
            </w:pPr>
            <w:r>
              <w:rPr>
                <w:rFonts w:ascii="宋体" w:hAnsi="宋体" w:eastAsia="宋体" w:cs="宋体"/>
                <w:sz w:val="21"/>
                <w:szCs w:val="21"/>
              </w:rPr>
              <w:t>昼间</w:t>
            </w:r>
          </w:p>
        </w:tc>
        <w:tc>
          <w:tcPr>
            <w:tcW w:w="991" w:type="dxa"/>
            <w:tcBorders>
              <w:tl2br w:val="nil"/>
              <w:tr2bl w:val="nil"/>
            </w:tcBorders>
          </w:tcPr>
          <w:p>
            <w:pPr>
              <w:pStyle w:val="4069"/>
              <w:spacing w:before="12" w:line="240" w:lineRule="auto"/>
              <w:ind w:left="401" w:right="401"/>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2" w:line="240" w:lineRule="auto"/>
              <w:ind w:left="550" w:right="547"/>
              <w:jc w:val="center"/>
              <w:rPr>
                <w:rFonts w:ascii="Times New Roman" w:hAnsi="Times New Roman" w:eastAsia="Times New Roman" w:cs="Times New Roman"/>
                <w:sz w:val="21"/>
                <w:szCs w:val="21"/>
              </w:rPr>
            </w:pPr>
            <w:r>
              <w:rPr>
                <w:rFonts w:ascii="Times New Roman"/>
                <w:sz w:val="21"/>
              </w:rPr>
              <w:t>-7.04</w:t>
            </w:r>
          </w:p>
        </w:tc>
        <w:tc>
          <w:tcPr>
            <w:tcW w:w="1008" w:type="dxa"/>
            <w:tcBorders>
              <w:tl2br w:val="nil"/>
              <w:tr2bl w:val="nil"/>
            </w:tcBorders>
          </w:tcPr>
          <w:p>
            <w:pPr>
              <w:pStyle w:val="4069"/>
              <w:spacing w:before="12" w:line="240" w:lineRule="auto"/>
              <w:ind w:left="410" w:right="409"/>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2" w:line="240" w:lineRule="auto"/>
              <w:ind w:left="543" w:right="541"/>
              <w:jc w:val="center"/>
              <w:rPr>
                <w:rFonts w:ascii="Times New Roman" w:hAnsi="Times New Roman" w:eastAsia="Times New Roman" w:cs="Times New Roman"/>
                <w:sz w:val="21"/>
                <w:szCs w:val="21"/>
              </w:rPr>
            </w:pPr>
            <w:r>
              <w:rPr>
                <w:rFonts w:ascii="Times New Roman"/>
                <w:sz w:val="21"/>
              </w:rPr>
              <w:t>-5.70</w:t>
            </w:r>
          </w:p>
        </w:tc>
        <w:tc>
          <w:tcPr>
            <w:tcW w:w="1075" w:type="dxa"/>
            <w:tcBorders>
              <w:tl2br w:val="nil"/>
              <w:tr2bl w:val="nil"/>
            </w:tcBorders>
          </w:tcPr>
          <w:p>
            <w:pPr>
              <w:pStyle w:val="4069"/>
              <w:spacing w:before="12" w:line="240" w:lineRule="auto"/>
              <w:ind w:left="442" w:right="443"/>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2" w:line="240" w:lineRule="auto"/>
              <w:ind w:left="490" w:right="488"/>
              <w:jc w:val="center"/>
              <w:rPr>
                <w:rFonts w:ascii="Times New Roman" w:hAnsi="Times New Roman" w:eastAsia="Times New Roman" w:cs="Times New Roman"/>
                <w:sz w:val="21"/>
                <w:szCs w:val="21"/>
              </w:rPr>
            </w:pPr>
            <w:r>
              <w:rPr>
                <w:rFonts w:ascii="Times New Roman"/>
                <w:sz w:val="21"/>
              </w:rPr>
              <w:t>-0.67</w:t>
            </w:r>
          </w:p>
        </w:tc>
        <w:tc>
          <w:tcPr>
            <w:tcW w:w="1039" w:type="dxa"/>
            <w:tcBorders>
              <w:tl2br w:val="nil"/>
              <w:tr2bl w:val="nil"/>
            </w:tcBorders>
          </w:tcPr>
          <w:p>
            <w:pPr>
              <w:pStyle w:val="4069"/>
              <w:spacing w:before="12" w:line="240" w:lineRule="auto"/>
              <w:ind w:left="425" w:right="427"/>
              <w:jc w:val="center"/>
              <w:rPr>
                <w:rFonts w:ascii="Times New Roman" w:hAnsi="Times New Roman" w:eastAsia="Times New Roman" w:cs="Times New Roman"/>
                <w:sz w:val="21"/>
                <w:szCs w:val="21"/>
              </w:rPr>
            </w:pPr>
            <w:r>
              <w:rPr>
                <w:rFonts w:ascii="Times New Roman"/>
                <w:spacing w:val="-1"/>
                <w:sz w:val="21"/>
              </w:rPr>
              <w:t>--</w:t>
            </w:r>
          </w:p>
        </w:tc>
        <w:tc>
          <w:tcPr>
            <w:tcW w:w="1538" w:type="dxa"/>
            <w:tcBorders>
              <w:tl2br w:val="nil"/>
              <w:tr2bl w:val="nil"/>
            </w:tcBorders>
          </w:tcPr>
          <w:p>
            <w:pPr>
              <w:pStyle w:val="4069"/>
              <w:spacing w:before="12" w:line="240" w:lineRule="auto"/>
              <w:ind w:left="527" w:right="519"/>
              <w:jc w:val="center"/>
              <w:rPr>
                <w:rFonts w:ascii="Times New Roman" w:hAnsi="Times New Roman" w:eastAsia="Times New Roman" w:cs="Times New Roman"/>
                <w:sz w:val="21"/>
                <w:szCs w:val="21"/>
              </w:rPr>
            </w:pPr>
            <w:r>
              <w:rPr>
                <w:rFonts w:ascii="Times New Roman"/>
                <w:spacing w:val="-1"/>
                <w:sz w:val="21"/>
              </w:rPr>
              <w:t>-6.85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2" w:hRule="exact"/>
        </w:trPr>
        <w:tc>
          <w:tcPr>
            <w:tcW w:w="2576" w:type="dxa"/>
            <w:gridSpan w:val="2"/>
            <w:vMerge w:val="continue"/>
            <w:tcBorders>
              <w:tl2br w:val="nil"/>
              <w:tr2bl w:val="nil"/>
            </w:tcBorders>
          </w:tcPr>
          <w:p/>
        </w:tc>
        <w:tc>
          <w:tcPr>
            <w:tcW w:w="1289" w:type="dxa"/>
            <w:tcBorders>
              <w:tl2br w:val="nil"/>
              <w:tr2bl w:val="nil"/>
            </w:tcBorders>
          </w:tcPr>
          <w:p>
            <w:pPr>
              <w:pStyle w:val="4069"/>
              <w:spacing w:line="238" w:lineRule="exact"/>
              <w:ind w:left="409" w:right="409"/>
              <w:jc w:val="center"/>
              <w:rPr>
                <w:rFonts w:ascii="宋体" w:hAnsi="宋体" w:eastAsia="宋体" w:cs="宋体"/>
                <w:sz w:val="21"/>
                <w:szCs w:val="21"/>
              </w:rPr>
            </w:pPr>
            <w:r>
              <w:rPr>
                <w:rFonts w:ascii="宋体" w:hAnsi="宋体" w:eastAsia="宋体" w:cs="宋体"/>
                <w:sz w:val="21"/>
                <w:szCs w:val="21"/>
              </w:rPr>
              <w:t>夜间</w:t>
            </w:r>
          </w:p>
        </w:tc>
        <w:tc>
          <w:tcPr>
            <w:tcW w:w="991" w:type="dxa"/>
            <w:tcBorders>
              <w:tl2br w:val="nil"/>
              <w:tr2bl w:val="nil"/>
            </w:tcBorders>
          </w:tcPr>
          <w:p>
            <w:pPr>
              <w:pStyle w:val="4069"/>
              <w:spacing w:before="12" w:line="240" w:lineRule="auto"/>
              <w:ind w:left="401" w:right="401"/>
              <w:jc w:val="center"/>
              <w:rPr>
                <w:rFonts w:ascii="Times New Roman" w:hAnsi="Times New Roman" w:eastAsia="Times New Roman" w:cs="Times New Roman"/>
                <w:sz w:val="21"/>
                <w:szCs w:val="21"/>
              </w:rPr>
            </w:pPr>
            <w:r>
              <w:rPr>
                <w:rFonts w:ascii="Times New Roman"/>
                <w:sz w:val="21"/>
              </w:rPr>
              <w:t>--</w:t>
            </w:r>
          </w:p>
        </w:tc>
        <w:tc>
          <w:tcPr>
            <w:tcW w:w="1585" w:type="dxa"/>
            <w:tcBorders>
              <w:tl2br w:val="nil"/>
              <w:tr2bl w:val="nil"/>
            </w:tcBorders>
          </w:tcPr>
          <w:p>
            <w:pPr>
              <w:pStyle w:val="4069"/>
              <w:spacing w:before="12" w:line="240" w:lineRule="auto"/>
              <w:ind w:left="550" w:right="547"/>
              <w:jc w:val="center"/>
              <w:rPr>
                <w:rFonts w:ascii="Times New Roman" w:hAnsi="Times New Roman" w:eastAsia="Times New Roman" w:cs="Times New Roman"/>
                <w:sz w:val="21"/>
                <w:szCs w:val="21"/>
              </w:rPr>
            </w:pPr>
            <w:r>
              <w:rPr>
                <w:rFonts w:ascii="Times New Roman"/>
                <w:sz w:val="21"/>
              </w:rPr>
              <w:t>-0.87</w:t>
            </w:r>
          </w:p>
        </w:tc>
        <w:tc>
          <w:tcPr>
            <w:tcW w:w="1008" w:type="dxa"/>
            <w:tcBorders>
              <w:tl2br w:val="nil"/>
              <w:tr2bl w:val="nil"/>
            </w:tcBorders>
          </w:tcPr>
          <w:p>
            <w:pPr>
              <w:pStyle w:val="4069"/>
              <w:spacing w:before="12" w:line="240" w:lineRule="auto"/>
              <w:ind w:left="410" w:right="409"/>
              <w:jc w:val="center"/>
              <w:rPr>
                <w:rFonts w:ascii="Times New Roman" w:hAnsi="Times New Roman" w:eastAsia="Times New Roman" w:cs="Times New Roman"/>
                <w:sz w:val="21"/>
                <w:szCs w:val="21"/>
              </w:rPr>
            </w:pPr>
            <w:r>
              <w:rPr>
                <w:rFonts w:ascii="Times New Roman"/>
                <w:sz w:val="21"/>
              </w:rPr>
              <w:t>--</w:t>
            </w:r>
          </w:p>
        </w:tc>
        <w:tc>
          <w:tcPr>
            <w:tcW w:w="1571" w:type="dxa"/>
            <w:tcBorders>
              <w:tl2br w:val="nil"/>
              <w:tr2bl w:val="nil"/>
            </w:tcBorders>
          </w:tcPr>
          <w:p>
            <w:pPr>
              <w:pStyle w:val="4069"/>
              <w:spacing w:before="12" w:line="240" w:lineRule="auto"/>
              <w:ind w:left="543" w:right="541"/>
              <w:jc w:val="center"/>
              <w:rPr>
                <w:rFonts w:ascii="Times New Roman" w:hAnsi="Times New Roman" w:eastAsia="Times New Roman" w:cs="Times New Roman"/>
                <w:sz w:val="21"/>
                <w:szCs w:val="21"/>
              </w:rPr>
            </w:pPr>
            <w:r>
              <w:rPr>
                <w:rFonts w:ascii="Times New Roman"/>
                <w:sz w:val="21"/>
              </w:rPr>
              <w:t>-2.24</w:t>
            </w:r>
          </w:p>
        </w:tc>
        <w:tc>
          <w:tcPr>
            <w:tcW w:w="1075" w:type="dxa"/>
            <w:tcBorders>
              <w:tl2br w:val="nil"/>
              <w:tr2bl w:val="nil"/>
            </w:tcBorders>
          </w:tcPr>
          <w:p>
            <w:pPr>
              <w:pStyle w:val="4069"/>
              <w:spacing w:before="12" w:line="240" w:lineRule="auto"/>
              <w:ind w:left="442" w:right="443"/>
              <w:jc w:val="center"/>
              <w:rPr>
                <w:rFonts w:ascii="Times New Roman" w:hAnsi="Times New Roman" w:eastAsia="Times New Roman" w:cs="Times New Roman"/>
                <w:sz w:val="21"/>
                <w:szCs w:val="21"/>
              </w:rPr>
            </w:pPr>
            <w:r>
              <w:rPr>
                <w:rFonts w:ascii="Times New Roman"/>
                <w:sz w:val="21"/>
              </w:rPr>
              <w:t>--</w:t>
            </w:r>
          </w:p>
        </w:tc>
        <w:tc>
          <w:tcPr>
            <w:tcW w:w="1500" w:type="dxa"/>
            <w:tcBorders>
              <w:tl2br w:val="nil"/>
              <w:tr2bl w:val="nil"/>
            </w:tcBorders>
          </w:tcPr>
          <w:p>
            <w:pPr>
              <w:pStyle w:val="4069"/>
              <w:spacing w:before="12" w:line="240" w:lineRule="auto"/>
              <w:ind w:left="490" w:right="488"/>
              <w:jc w:val="center"/>
              <w:rPr>
                <w:rFonts w:ascii="Times New Roman" w:hAnsi="Times New Roman" w:eastAsia="Times New Roman" w:cs="Times New Roman"/>
                <w:sz w:val="21"/>
                <w:szCs w:val="21"/>
              </w:rPr>
            </w:pPr>
            <w:r>
              <w:rPr>
                <w:rFonts w:ascii="Times New Roman"/>
                <w:sz w:val="21"/>
              </w:rPr>
              <w:t>-0.05</w:t>
            </w:r>
          </w:p>
        </w:tc>
        <w:tc>
          <w:tcPr>
            <w:tcW w:w="1039" w:type="dxa"/>
            <w:tcBorders>
              <w:tl2br w:val="nil"/>
              <w:tr2bl w:val="nil"/>
            </w:tcBorders>
          </w:tcPr>
          <w:p>
            <w:pPr>
              <w:pStyle w:val="4069"/>
              <w:spacing w:before="12" w:line="240" w:lineRule="auto"/>
              <w:ind w:left="425" w:right="427"/>
              <w:jc w:val="center"/>
              <w:rPr>
                <w:rFonts w:ascii="Times New Roman" w:hAnsi="Times New Roman" w:eastAsia="Times New Roman" w:cs="Times New Roman"/>
                <w:sz w:val="21"/>
                <w:szCs w:val="21"/>
              </w:rPr>
            </w:pPr>
            <w:r>
              <w:rPr>
                <w:rFonts w:ascii="Times New Roman"/>
                <w:spacing w:val="-1"/>
                <w:sz w:val="21"/>
              </w:rPr>
              <w:t>--</w:t>
            </w:r>
          </w:p>
        </w:tc>
        <w:tc>
          <w:tcPr>
            <w:tcW w:w="1538" w:type="dxa"/>
            <w:tcBorders>
              <w:tl2br w:val="nil"/>
              <w:tr2bl w:val="nil"/>
            </w:tcBorders>
          </w:tcPr>
          <w:p>
            <w:pPr>
              <w:pStyle w:val="4069"/>
              <w:spacing w:before="12" w:line="240" w:lineRule="auto"/>
              <w:ind w:left="527" w:right="519"/>
              <w:jc w:val="center"/>
              <w:rPr>
                <w:rFonts w:ascii="Times New Roman" w:hAnsi="Times New Roman" w:eastAsia="Times New Roman" w:cs="Times New Roman"/>
                <w:sz w:val="21"/>
                <w:szCs w:val="21"/>
              </w:rPr>
            </w:pPr>
            <w:r>
              <w:rPr>
                <w:rFonts w:ascii="Times New Roman"/>
                <w:spacing w:val="-1"/>
                <w:sz w:val="21"/>
              </w:rPr>
              <w:t>-3.69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7" w:hRule="exact"/>
        </w:trPr>
        <w:tc>
          <w:tcPr>
            <w:tcW w:w="14173" w:type="dxa"/>
            <w:gridSpan w:val="11"/>
            <w:tcBorders>
              <w:tl2br w:val="nil"/>
              <w:tr2bl w:val="nil"/>
            </w:tcBorders>
          </w:tcPr>
          <w:p>
            <w:pPr>
              <w:pStyle w:val="4069"/>
              <w:spacing w:line="255" w:lineRule="exact"/>
              <w:ind w:left="4457" w:right="0"/>
              <w:jc w:val="left"/>
              <w:rPr>
                <w:rFonts w:ascii="宋体" w:hAnsi="宋体" w:eastAsia="宋体" w:cs="宋体"/>
                <w:sz w:val="21"/>
                <w:szCs w:val="21"/>
              </w:rPr>
            </w:pPr>
            <w:r>
              <w:rPr>
                <w:rFonts w:ascii="宋体" w:hAnsi="宋体" w:eastAsia="宋体" w:cs="宋体"/>
                <w:spacing w:val="-1"/>
                <w:sz w:val="21"/>
                <w:szCs w:val="21"/>
              </w:rPr>
              <w:t>备注：“</w:t>
            </w:r>
            <w:r>
              <w:rPr>
                <w:rFonts w:ascii="Times New Roman" w:hAnsi="Times New Roman" w:eastAsia="Times New Roman" w:cs="Times New Roman"/>
                <w:spacing w:val="-1"/>
                <w:sz w:val="21"/>
                <w:szCs w:val="21"/>
              </w:rPr>
              <w:t>+</w:t>
            </w:r>
            <w:r>
              <w:rPr>
                <w:rFonts w:ascii="宋体" w:hAnsi="宋体" w:eastAsia="宋体" w:cs="宋体"/>
                <w:spacing w:val="-1"/>
                <w:sz w:val="21"/>
                <w:szCs w:val="21"/>
              </w:rPr>
              <w:t>”号表示超标；“</w:t>
            </w:r>
            <w:r>
              <w:rPr>
                <w:rFonts w:ascii="Times New Roman" w:hAnsi="Times New Roman" w:eastAsia="Times New Roman" w:cs="Times New Roman"/>
                <w:spacing w:val="-1"/>
                <w:sz w:val="21"/>
                <w:szCs w:val="21"/>
              </w:rPr>
              <w:t>-</w:t>
            </w:r>
            <w:r>
              <w:rPr>
                <w:rFonts w:ascii="宋体" w:hAnsi="宋体" w:eastAsia="宋体" w:cs="宋体"/>
                <w:spacing w:val="-1"/>
                <w:sz w:val="21"/>
                <w:szCs w:val="21"/>
              </w:rPr>
              <w:t>”号表示低于评价标注限值</w:t>
            </w:r>
          </w:p>
        </w:tc>
      </w:tr>
    </w:tbl>
    <w:p>
      <w:pPr>
        <w:pStyle w:val="2"/>
        <w:spacing w:before="5" w:line="360" w:lineRule="auto"/>
        <w:ind w:left="111" w:right="0" w:firstLine="480"/>
        <w:jc w:val="left"/>
      </w:pPr>
      <w:r>
        <w:t>从厂界噪声预测结果可见</w:t>
      </w:r>
      <w:r>
        <w:rPr>
          <w:rFonts w:hint="eastAsia"/>
          <w:lang w:eastAsia="zh-CN"/>
        </w:rPr>
        <w:t>，</w:t>
      </w:r>
      <w:r>
        <w:t>本建设项目投产后的主要高噪声源经过有效治理和车间墙壁与门窗隔声而经过一段距离衰减传到厂界的噪声增加值与相对应受声点的噪声现状监测值分别进行能量叠加，即得到厂界昼间环境噪声预测值在52.96~66.52dB（A），各监测点昼间噪声值均低于评价标准限值；厂界夜间环境噪声预测值在44.36~55.31dB（A），各监测点夜间噪声值均低于评价标准限值。</w:t>
      </w:r>
    </w:p>
    <w:p>
      <w:pPr>
        <w:pStyle w:val="2"/>
      </w:pPr>
      <w:r>
        <w:t>经预测评价结果表明</w:t>
      </w:r>
      <w:r>
        <w:rPr>
          <w:spacing w:val="-60"/>
        </w:rPr>
        <w:t>，</w:t>
      </w:r>
      <w:r>
        <w:t>本项目建成投产后</w:t>
      </w:r>
      <w:r>
        <w:rPr>
          <w:spacing w:val="-60"/>
        </w:rPr>
        <w:t>，</w:t>
      </w:r>
      <w:r>
        <w:t>产噪设备运行噪声对厂址周围环境有轻微污染影响，其厂界噪声值完全能达到评价标准限值要求。</w:t>
      </w:r>
    </w:p>
    <w:p>
      <w:pPr>
        <w:pStyle w:val="2"/>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p>
      <w:pPr>
        <w:pStyle w:val="2"/>
      </w:pPr>
      <w:r>
        <w:t>项目通过采取减震、隔声、消声措施及距离衰减后，四周厂界噪声可达《工业企业厂界环境噪声排放标准（GB12348-2008）》中2类标准要求，同时，项目实行单班制生产制度，夜间生产，昼间为冻库、污水处理站运行噪声及待宰圈牲畜叫声。项目周边</w:t>
      </w:r>
      <w:r>
        <w:rPr>
          <w:rFonts w:hint="eastAsia"/>
          <w:lang w:val="en-US" w:eastAsia="zh-CN"/>
        </w:rPr>
        <w:t>2</w:t>
      </w:r>
      <w:r>
        <w:t>00m范围内无居民、学校、医院等敏感点，在采取相应降噪措施后对周边环境基本无影响，不会产生扰民现象。</w:t>
      </w:r>
    </w:p>
    <w:p>
      <w:pPr>
        <w:pStyle w:val="2"/>
      </w:pPr>
      <w:r>
        <w:t>为了进一步降低项目噪声对居民点的影响，环评建议：</w:t>
      </w:r>
    </w:p>
    <w:p>
      <w:pPr>
        <w:pStyle w:val="2"/>
      </w:pPr>
      <w:r>
        <w:t>（1）为了减轻环境噪声，最重要的应从声源上控制，即选用先进的低噪声机械、设备、装置是控制噪声的基础，也是控制噪声的基本措施。</w:t>
      </w:r>
    </w:p>
    <w:p>
      <w:pPr>
        <w:pStyle w:val="2"/>
      </w:pPr>
      <w:r>
        <w:t>（2）水泵、风机等大多是较强噪声级的声污染源，必须加强车间内的噪声治理，采用隔声、消声、吸声、减振等有效措施，以降低噪声。</w:t>
      </w:r>
    </w:p>
    <w:p>
      <w:pPr>
        <w:pStyle w:val="2"/>
      </w:pPr>
      <w:r>
        <w:t>（3）加强设备使用管理，合理安排高噪声设备的工作时间，夜间不进行生产。</w:t>
      </w:r>
    </w:p>
    <w:p>
      <w:pPr>
        <w:pStyle w:val="2"/>
      </w:pPr>
      <w:r>
        <w:t>（4）加强绿化，保证绿化率达到规定的标准，尤其是针对新黔小区一侧的绿化，必须种植树木隔离带，降低项目噪声对环境的影响。</w:t>
      </w:r>
    </w:p>
    <w:p>
      <w:pPr>
        <w:pStyle w:val="2"/>
      </w:pPr>
      <w:r>
        <w:t>（5）对于本项目各车间和污水处理站使用的风机产生的噪声，建设单位应重点 加以控制。首先，在设备的安装布局上应远离项目周边敏感点和对噪声敏感的建筑，设计时尽量减小风管阻力，选用中、低压风机。其次，在各类风机的进出口管道上安 装消音器，风管进出口处采用柔性接头；风机的基础采用的橡胶减振垫或减振台座；在风机壳上敷设玻璃纤维、矿渣棉等隔声材料。</w:t>
      </w:r>
    </w:p>
    <w:p>
      <w:pPr>
        <w:pStyle w:val="2"/>
      </w:pPr>
      <w:r>
        <w:t>综上所述，拟建项目建成投入运行后，厂区周围的环境噪声将会有所提高，通过对设备进行噪声控制，噪声影响是可以得到有效控制的，因此从声环境影响分析，本项目的建设是可行的。</w:t>
      </w:r>
    </w:p>
    <w:p>
      <w:pPr>
        <w:pStyle w:val="5"/>
        <w:spacing w:before="120" w:after="120"/>
      </w:pPr>
      <w:bookmarkStart w:id="251" w:name="_Toc2132"/>
      <w:r>
        <w:rPr>
          <w:rFonts w:hint="eastAsia"/>
          <w:lang w:eastAsia="zh-CN"/>
        </w:rPr>
        <w:t>固体废物</w:t>
      </w:r>
      <w:r>
        <w:t>环境影响分析</w:t>
      </w:r>
      <w:bookmarkEnd w:id="251"/>
    </w:p>
    <w:p>
      <w:pPr>
        <w:pStyle w:val="1659"/>
        <w:jc w:val="left"/>
      </w:pPr>
      <w:r>
        <w:t>项目建成后的固体废弃物污染源主要为工业固体废弃物和职工生活垃圾，固废产生情况表3.6-1</w:t>
      </w:r>
      <w:r>
        <w:rPr>
          <w:rFonts w:hint="eastAsia"/>
          <w:lang w:val="en-US" w:eastAsia="zh-CN"/>
        </w:rPr>
        <w:t>5</w:t>
      </w:r>
      <w:r>
        <w:t>。</w:t>
      </w:r>
    </w:p>
    <w:p>
      <w:pPr>
        <w:pStyle w:val="6"/>
        <w:rPr>
          <w:sz w:val="28"/>
          <w:szCs w:val="28"/>
        </w:rPr>
      </w:pPr>
      <w:bookmarkStart w:id="252" w:name="_Toc15886"/>
      <w:r>
        <w:rPr>
          <w:rFonts w:hint="eastAsia"/>
          <w:sz w:val="28"/>
          <w:szCs w:val="28"/>
          <w:lang w:eastAsia="zh-CN"/>
        </w:rPr>
        <w:t>固体废物处置与管理措施</w:t>
      </w:r>
      <w:bookmarkEnd w:id="252"/>
    </w:p>
    <w:p>
      <w:pPr>
        <w:pStyle w:val="1659"/>
        <w:jc w:val="left"/>
      </w:pPr>
      <w:r>
        <w:t>（1）屠宰加工废物：该项目屠宰车间产生的工业固体废弃物主要为不可食用脏器及肠胃内容物等。其中胃肠内容物经堆肥间暂存后日产日清运送至</w:t>
      </w:r>
      <w:r>
        <w:rPr>
          <w:rFonts w:hint="eastAsia"/>
          <w:lang w:eastAsia="zh-CN"/>
        </w:rPr>
        <w:t>有资质单位</w:t>
      </w:r>
      <w:r>
        <w:t>作为有机肥原料利用。不可利用内脏委托</w:t>
      </w:r>
      <w:r>
        <w:rPr>
          <w:rFonts w:hint="eastAsia"/>
          <w:lang w:eastAsia="zh-CN"/>
        </w:rPr>
        <w:t>有资质单位</w:t>
      </w:r>
      <w:r>
        <w:t>进行无害化处置。屠宰产生的副产品牛羊皮、毛经晾晒风干后外售综合利用，未出售部分保存在牛羊保管圈内。副产品牛蹄、牛头、内脏等直接外售。</w:t>
      </w:r>
    </w:p>
    <w:p>
      <w:pPr>
        <w:pStyle w:val="1659"/>
        <w:jc w:val="left"/>
      </w:pPr>
      <w:r>
        <w:t>（2）粪便：根据建设单位提供的资料以及物料平衡计算，本项目的粪便的产生 量为日排放粪便量</w:t>
      </w:r>
      <w:r>
        <w:rPr>
          <w:rFonts w:hint="eastAsia"/>
          <w:lang w:val="en-US" w:eastAsia="zh-CN"/>
        </w:rPr>
        <w:t>610</w:t>
      </w:r>
      <w:r>
        <w:t>t/a，采用干清粪工艺，产生的牲畜粪便经人工清扫后，统一运至畜粪暂存场所暂存，日产日清，及时运送至有机肥厂做为生产原料使用。</w:t>
      </w:r>
    </w:p>
    <w:p>
      <w:pPr>
        <w:pStyle w:val="1659"/>
        <w:jc w:val="left"/>
      </w:pPr>
      <w:r>
        <w:t>（3）污水处理站固废：污水处理站产生固废主要为栅渣（</w:t>
      </w:r>
      <w:r>
        <w:rPr>
          <w:rFonts w:hint="eastAsia"/>
          <w:lang w:val="en-US" w:eastAsia="zh-CN"/>
        </w:rPr>
        <w:t>3.5</w:t>
      </w:r>
      <w:r>
        <w:t>t/a）、沉砂（</w:t>
      </w:r>
      <w:r>
        <w:rPr>
          <w:rFonts w:hint="eastAsia"/>
          <w:lang w:val="en-US" w:eastAsia="zh-CN"/>
        </w:rPr>
        <w:t>0.6</w:t>
      </w:r>
      <w:r>
        <w:t>t/a）、废动植物油（</w:t>
      </w:r>
      <w:r>
        <w:rPr>
          <w:rFonts w:hint="eastAsia"/>
          <w:lang w:val="en-US" w:eastAsia="zh-CN"/>
        </w:rPr>
        <w:t>0.9</w:t>
      </w:r>
      <w:r>
        <w:t>t/a）和污泥（</w:t>
      </w:r>
      <w:r>
        <w:rPr>
          <w:rFonts w:hint="eastAsia"/>
          <w:lang w:val="en-US" w:eastAsia="zh-CN"/>
        </w:rPr>
        <w:t>48.8</w:t>
      </w:r>
      <w:r>
        <w:t>t/a），其中废动植物油单独收集交餐厨收集资质单位处理，其余固废均清运至附近的生活垃圾转运站集中处理，无排放。</w:t>
      </w:r>
    </w:p>
    <w:p>
      <w:pPr>
        <w:pStyle w:val="1659"/>
        <w:jc w:val="left"/>
      </w:pPr>
      <w:r>
        <w:t>（4）生活垃圾：项目生活垃圾产生</w:t>
      </w:r>
      <w:r>
        <w:rPr>
          <w:rFonts w:hint="eastAsia"/>
          <w:lang w:val="en-US" w:eastAsia="zh-CN"/>
        </w:rPr>
        <w:t>量为156.6t/a</w:t>
      </w:r>
      <w:r>
        <w:t>，生活垃圾经袋装收集后送泥桥村生活垃圾转运站，由环卫部门统一清运处理。</w:t>
      </w:r>
    </w:p>
    <w:p>
      <w:pPr>
        <w:pStyle w:val="1659"/>
        <w:jc w:val="left"/>
      </w:pPr>
      <w:r>
        <w:t>（5）病、死牲畜及病牲畜产品：屠宰场在生产的过程中，在宰前检疫和同步检疫中会发现病死牲畜和不合格产品，如果不能及时得到处理或处理不当，可能造成疫 情传播和环境污染。</w:t>
      </w:r>
    </w:p>
    <w:p>
      <w:pPr>
        <w:pStyle w:val="1659"/>
        <w:jc w:val="left"/>
      </w:pPr>
      <w:r>
        <w:t>非正常情况一般是指病死牲畜类感染有一类、二类传染病和寄生虫病的情况。根据建设单位提供的资料，屠宰场产生病、死牲畜及病牲畜产品</w:t>
      </w:r>
      <w:r>
        <w:rPr>
          <w:rFonts w:hint="eastAsia"/>
          <w:lang w:val="en-US" w:eastAsia="zh-CN"/>
        </w:rPr>
        <w:t>约4.5t/a。</w:t>
      </w:r>
      <w:r>
        <w:t>不合格胴体委托</w:t>
      </w:r>
      <w:r>
        <w:rPr>
          <w:rFonts w:hint="eastAsia"/>
          <w:lang w:eastAsia="zh-CN"/>
        </w:rPr>
        <w:t>有资质单位</w:t>
      </w:r>
      <w:r>
        <w:t>进行无害化处置。本项目根据《贵州省牲畜屠宰条例》（2015年7月31日修正）设置隔离间和急宰间，当进场牲畜检疫过程中发现牲畜携带疫情，则迅速送入隔离间，并及时进行急宰分割，委托</w:t>
      </w:r>
      <w:r>
        <w:rPr>
          <w:rFonts w:hint="eastAsia"/>
          <w:lang w:eastAsia="zh-CN"/>
        </w:rPr>
        <w:t>有资质单位</w:t>
      </w:r>
      <w:r>
        <w:t>进行无害化处置，防止疫情扩散。</w:t>
      </w:r>
    </w:p>
    <w:p>
      <w:pPr>
        <w:pStyle w:val="6"/>
        <w:rPr>
          <w:sz w:val="28"/>
          <w:szCs w:val="28"/>
        </w:rPr>
      </w:pPr>
      <w:bookmarkStart w:id="253" w:name="_Toc12604"/>
      <w:r>
        <w:rPr>
          <w:rFonts w:hint="eastAsia"/>
          <w:sz w:val="28"/>
          <w:szCs w:val="28"/>
          <w:lang w:eastAsia="zh-CN"/>
        </w:rPr>
        <w:t>危险废物的收集和贮存</w:t>
      </w:r>
      <w:bookmarkEnd w:id="253"/>
    </w:p>
    <w:p>
      <w:pPr>
        <w:pStyle w:val="1659"/>
        <w:jc w:val="left"/>
      </w:pPr>
      <w:r>
        <w:t>虽然本项目产生的危险废物量不大，为了减小危废储存风险，需设置危废暂存间，专门用于暂时存放项目产生的危废。危废暂存间设置在一般固体废物暂存间旁，采取封闭间，面积为10m</w:t>
      </w:r>
      <w:r>
        <w:rPr>
          <w:vertAlign w:val="superscript"/>
        </w:rPr>
        <w:t>2</w:t>
      </w:r>
      <w:r>
        <w:t>。根据危废种类需要将暂存间分成四个区，采用容器单独存放，严格按《危险废物储存污染控制标准》（GB18597-2001）的要求设计，做好防雨、防渗，防止二次污染。地面采用坚固、防渗、耐腐蚀的材料建造，设计堵截泄漏的裙脚、围堰等设施。</w:t>
      </w:r>
    </w:p>
    <w:p>
      <w:pPr>
        <w:pStyle w:val="1659"/>
        <w:jc w:val="left"/>
      </w:pPr>
      <w:r>
        <w:t>对危险废弃物的收集和管理，拟采用以下措施：</w:t>
      </w:r>
    </w:p>
    <w:p>
      <w:pPr>
        <w:pStyle w:val="1659"/>
        <w:jc w:val="left"/>
      </w:pPr>
      <w:r>
        <w:t>①将生产过程产生的危险废物分类存放于相应的专用容器中，并贴上废弃物分类专用标签，标签内容应包括废物类别、行业来源、废物代码、危险废物和危险特性以及符合防风、防雨、防晒、防渗透的要求；装载危险废物的容器及材质要满足相应的强度要求、必须完好无损、容器材质和衬里要与危险废物相容（不相互反应）；不相容的危险废物不能存放在同一个容器内；临时堆放在危废暂存间内，累计一定数量后由有资质单位专用运输车辆外运统一处置。</w:t>
      </w:r>
    </w:p>
    <w:p>
      <w:pPr>
        <w:pStyle w:val="1659"/>
        <w:jc w:val="left"/>
      </w:pPr>
      <w:r>
        <w:t>②危险废物暂存间地面基础必须防渗，在危废暂存间区域内铺设12cm防渗混凝土层，砂石基层20cm，由双层土工布包夹的2mm高密度聚乙烯，最下层为场平土填挖方材料及原始地层，设计方案需达到污染防治区地面渗透系数≤10</w:t>
      </w:r>
      <w:r>
        <w:rPr>
          <w:vertAlign w:val="superscript"/>
        </w:rPr>
        <w:t>-10</w:t>
      </w:r>
      <w:r>
        <w:t>cm/s。危废暂存区应设置围堰，切断危险废液泄露流入其他区域的途径，围堰采用防渗钢筋混凝土，围堰高度不低于15cm。</w:t>
      </w:r>
    </w:p>
    <w:p>
      <w:pPr>
        <w:pStyle w:val="1659"/>
        <w:jc w:val="left"/>
      </w:pPr>
      <w:r>
        <w:t>③严格按照《危险废物转移联单管理办法》要求，定期将危险废物交由相应类别危险废物处理资质的单位处置；做好每次外运处置废弃物的运输登记，认真填写危险废物转移联单（每种废物填写一份联单），并加盖公司公章，经运输单位核实验收签字后，将联单第一联副联自留存档，将联单第二联交移出当地环境保护行政主管部门，第三联及其余各联交付运输单位，随危险废物转移运行。第四联交接受单位，第五联交接受地环保局。</w:t>
      </w:r>
    </w:p>
    <w:p>
      <w:pPr>
        <w:pStyle w:val="1659"/>
        <w:jc w:val="left"/>
      </w:pPr>
      <w:r>
        <w:t>④制订严格规章制度，定期对危险废物储存间的设施进行检查、维护和保养；严格对危险废物处理单位(第三方资质)和承运单位的考核，确保危险废物妥善处理处置。</w:t>
      </w:r>
    </w:p>
    <w:p>
      <w:pPr>
        <w:pStyle w:val="5"/>
        <w:spacing w:before="120" w:after="120"/>
      </w:pPr>
      <w:bookmarkStart w:id="254" w:name="_Toc16081"/>
      <w:r>
        <w:t>生态环境影响分析</w:t>
      </w:r>
      <w:bookmarkEnd w:id="254"/>
    </w:p>
    <w:p>
      <w:pPr>
        <w:pStyle w:val="22"/>
        <w:adjustRightInd w:val="0"/>
        <w:snapToGrid w:val="0"/>
        <w:spacing w:line="360" w:lineRule="auto"/>
        <w:ind w:firstLine="480"/>
        <w:jc w:val="left"/>
        <w:rPr>
          <w:sz w:val="24"/>
        </w:rPr>
      </w:pPr>
      <w:r>
        <w:rPr>
          <w:sz w:val="24"/>
        </w:rPr>
        <w:t>本项目所在区域不属于生态敏感区，根据大气环境影响评价结果，废气中各类污染物最大落地点浓度均较低，叠加背景值后均能达标，对陆生植物环境影响较小。</w:t>
      </w:r>
    </w:p>
    <w:p>
      <w:pPr>
        <w:pStyle w:val="1659"/>
        <w:jc w:val="left"/>
      </w:pPr>
      <w:r>
        <w:t>本项目不涉及生态红线</w:t>
      </w:r>
      <w:r>
        <w:rPr>
          <w:rFonts w:hint="eastAsia"/>
          <w:lang w:eastAsia="zh-CN"/>
        </w:rPr>
        <w:t>，对生态环境</w:t>
      </w:r>
      <w:r>
        <w:t>影响</w:t>
      </w:r>
      <w:r>
        <w:rPr>
          <w:rFonts w:hint="eastAsia"/>
          <w:lang w:eastAsia="zh-CN"/>
        </w:rPr>
        <w:t>较小</w:t>
      </w:r>
      <w:r>
        <w:t>。</w:t>
      </w:r>
    </w:p>
    <w:p>
      <w:pPr>
        <w:pStyle w:val="1659"/>
      </w:pPr>
      <w:r>
        <w:t>针对本项目建设活动对区域生态环境可能造成的影响，本次评价提出以下生态环境不利影响减缓措施：</w:t>
      </w:r>
    </w:p>
    <w:p>
      <w:pPr>
        <w:pStyle w:val="1659"/>
        <w:sectPr>
          <w:footerReference r:id="rId12" w:type="default"/>
          <w:footerReference r:id="rId13" w:type="even"/>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r>
        <w:t>厂区内绿化率为</w:t>
      </w:r>
      <w:r>
        <w:rPr>
          <w:rFonts w:hint="eastAsia"/>
          <w:color w:val="000000" w:themeColor="text1"/>
          <w:lang w:val="en-US" w:eastAsia="zh-CN"/>
          <w14:textFill>
            <w14:solidFill>
              <w14:schemeClr w14:val="tx1"/>
            </w14:solidFill>
          </w14:textFill>
        </w:rPr>
        <w:t>高</w:t>
      </w:r>
      <w:r>
        <w:t>。利用空地种植草皮和高度不超过15cm含水量多的常青植物。由于有酸性气体排放，为了尽可能减轻对周围环境的影响，厂界内外还将种植对酸性气体抗性强的树木，如夹竹桃、大叶黄杨、女贞、臭椿、印度榕、竹类等。绿化宽度一般应在10～15m。对办公区应进行重点绿化，种植观赏性树及铺设草皮，以创造较好的工作生活环境。公用设施的绿化带应留出一定净空，保证与外界畅通。加强道路两侧的绿化带建设。施工生产废水主要来源于混凝土搅拌和养护废水等，均为间歇式排放。此外还有施工人员产生的生活污水等。建设单位和施工单位要重视施工污水的排放管理，杜绝污水不经处理排放，防止施工污水排放后对生态环境的影响，施工废水需经收集处理后达标排放。取弃土时要进行有序开挖，杜绝遍地开花式的无序作业，对临时占用场地采取恢复措施，恢复原貌，保护好周围环境。</w:t>
      </w:r>
    </w:p>
    <w:p>
      <w:pPr>
        <w:pStyle w:val="4"/>
        <w:spacing w:before="240" w:after="240"/>
      </w:pPr>
      <w:bookmarkStart w:id="255" w:name="_Toc13351"/>
      <w:r>
        <w:rPr>
          <w:rFonts w:hint="eastAsia"/>
          <w:lang w:eastAsia="zh-CN"/>
        </w:rPr>
        <w:t>环境风险</w:t>
      </w:r>
      <w:r>
        <w:t>分析</w:t>
      </w:r>
      <w:bookmarkEnd w:id="255"/>
    </w:p>
    <w:p>
      <w:pPr>
        <w:pStyle w:val="5"/>
        <w:spacing w:before="120" w:after="120"/>
      </w:pPr>
      <w:bookmarkStart w:id="256" w:name="_Toc16277"/>
      <w:r>
        <w:rPr>
          <w:rFonts w:hint="eastAsia"/>
          <w:lang w:eastAsia="zh-CN"/>
        </w:rPr>
        <w:t>评价依据</w:t>
      </w:r>
      <w:bookmarkEnd w:id="256"/>
    </w:p>
    <w:p>
      <w:pPr>
        <w:pStyle w:val="6"/>
        <w:ind w:left="0" w:firstLine="0"/>
      </w:pPr>
      <w:bookmarkStart w:id="257" w:name="_Toc18926"/>
      <w:r>
        <w:rPr>
          <w:rFonts w:hint="eastAsia"/>
          <w:lang w:eastAsia="zh-CN"/>
        </w:rPr>
        <w:t>风险调查</w:t>
      </w:r>
      <w:bookmarkEnd w:id="257"/>
    </w:p>
    <w:p>
      <w:pPr>
        <w:spacing w:line="500" w:lineRule="exact"/>
        <w:ind w:firstLine="480" w:firstLineChars="200"/>
        <w:rPr>
          <w:sz w:val="24"/>
        </w:rPr>
      </w:pPr>
      <w:r>
        <w:rPr>
          <w:sz w:val="24"/>
        </w:rPr>
        <w:t>本项目是屠宰项目，通过对项目生产过程中原辅材料、产品进行分析对比，项目涉及的危险物质主要为液氨、氯酸钠、盐酸。项目涉及的危险物质与《建设项目环境风险评价技术导则》（HJ169－2018）附录B进行对比，液氨、氯酸钠、盐酸属于附录B突发环境事件风险物质。</w:t>
      </w:r>
    </w:p>
    <w:p>
      <w:pPr>
        <w:spacing w:line="500" w:lineRule="exact"/>
        <w:ind w:firstLine="480" w:firstLineChars="200"/>
        <w:rPr>
          <w:sz w:val="24"/>
        </w:rPr>
      </w:pPr>
      <w:r>
        <w:rPr>
          <w:sz w:val="24"/>
        </w:rPr>
        <w:t>查风险评价导则附录B，本项目涉及风险物质为液氨、氯酸钠、盐酸，其使用量与临界量如下表所示；液氨（氨气）临界量为5t、氯酸钠临界量为100t、盐酸临界量为7.5t。</w:t>
      </w:r>
    </w:p>
    <w:p>
      <w:pPr>
        <w:spacing w:line="360" w:lineRule="auto"/>
        <w:jc w:val="center"/>
        <w:rPr>
          <w:rFonts w:ascii="Times New Roman" w:hAnsi="Times New Roman" w:eastAsia="宋体" w:cs="Times New Roman"/>
          <w:b/>
          <w:sz w:val="24"/>
        </w:rPr>
      </w:pPr>
      <w:r>
        <w:rPr>
          <w:rFonts w:ascii="Times New Roman" w:hAnsi="Times New Roman" w:eastAsia="宋体" w:cs="Times New Roman"/>
          <w:b/>
          <w:sz w:val="24"/>
        </w:rPr>
        <w:t>表 7.1-1</w:t>
      </w:r>
      <w:r>
        <w:rPr>
          <w:rFonts w:ascii="Times New Roman" w:hAnsi="Times New Roman" w:eastAsia="宋体" w:cs="Times New Roman"/>
          <w:b/>
          <w:sz w:val="24"/>
        </w:rPr>
        <w:tab/>
      </w:r>
      <w:r>
        <w:rPr>
          <w:rFonts w:ascii="Times New Roman" w:hAnsi="Times New Roman" w:eastAsia="宋体" w:cs="Times New Roman"/>
          <w:b/>
          <w:sz w:val="24"/>
        </w:rPr>
        <w:t>风险物质使用量与临界量</w:t>
      </w:r>
    </w:p>
    <w:tbl>
      <w:tblPr>
        <w:tblStyle w:val="88"/>
        <w:tblW w:w="4999" w:type="pct"/>
        <w:tblInd w:w="0" w:type="dxa"/>
        <w:tblLayout w:type="autofit"/>
        <w:tblCellMar>
          <w:top w:w="0" w:type="dxa"/>
          <w:left w:w="0" w:type="dxa"/>
          <w:bottom w:w="0" w:type="dxa"/>
          <w:right w:w="0" w:type="dxa"/>
        </w:tblCellMar>
      </w:tblPr>
      <w:tblGrid>
        <w:gridCol w:w="2936"/>
        <w:gridCol w:w="2829"/>
        <w:gridCol w:w="2555"/>
      </w:tblGrid>
      <w:tr>
        <w:tblPrEx>
          <w:tblCellMar>
            <w:top w:w="0" w:type="dxa"/>
            <w:left w:w="0" w:type="dxa"/>
            <w:bottom w:w="0" w:type="dxa"/>
            <w:right w:w="0" w:type="dxa"/>
          </w:tblCellMar>
        </w:tblPrEx>
        <w:trPr>
          <w:trHeight w:val="339" w:hRule="exact"/>
        </w:trPr>
        <w:tc>
          <w:tcPr>
            <w:tcW w:w="1764" w:type="pct"/>
            <w:tcBorders>
              <w:top w:val="single" w:color="000000" w:sz="4" w:space="0"/>
              <w:left w:val="single" w:color="000000" w:sz="4" w:space="0"/>
              <w:bottom w:val="single" w:color="000000" w:sz="4" w:space="0"/>
              <w:right w:val="single" w:color="000000" w:sz="4" w:space="0"/>
            </w:tcBorders>
          </w:tcPr>
          <w:p>
            <w:pPr>
              <w:pStyle w:val="4069"/>
              <w:spacing w:line="267" w:lineRule="exact"/>
              <w:ind w:right="0"/>
              <w:jc w:val="left"/>
              <w:rPr>
                <w:rFonts w:ascii="宋体" w:hAnsi="宋体" w:eastAsia="宋体" w:cs="宋体"/>
                <w:sz w:val="21"/>
                <w:szCs w:val="21"/>
              </w:rPr>
            </w:pPr>
            <w:r>
              <w:rPr>
                <w:rFonts w:ascii="宋体" w:hAnsi="宋体" w:eastAsia="宋体" w:cs="宋体"/>
                <w:b/>
                <w:bCs/>
                <w:spacing w:val="1"/>
                <w:sz w:val="21"/>
                <w:szCs w:val="21"/>
              </w:rPr>
              <w:t>风险物质名称</w:t>
            </w:r>
          </w:p>
        </w:tc>
        <w:tc>
          <w:tcPr>
            <w:tcW w:w="1700" w:type="pct"/>
            <w:tcBorders>
              <w:top w:val="single" w:color="000000" w:sz="4" w:space="0"/>
              <w:left w:val="single" w:color="000000" w:sz="4" w:space="0"/>
              <w:bottom w:val="single" w:color="000000" w:sz="4" w:space="0"/>
              <w:right w:val="single" w:color="000000" w:sz="4" w:space="0"/>
            </w:tcBorders>
          </w:tcPr>
          <w:p>
            <w:pPr>
              <w:pStyle w:val="4069"/>
              <w:spacing w:line="267" w:lineRule="exact"/>
              <w:ind w:right="1217"/>
              <w:jc w:val="both"/>
              <w:rPr>
                <w:rFonts w:ascii="宋体" w:hAnsi="宋体" w:eastAsia="宋体" w:cs="宋体"/>
                <w:sz w:val="21"/>
                <w:szCs w:val="21"/>
              </w:rPr>
            </w:pPr>
            <w:r>
              <w:rPr>
                <w:rFonts w:ascii="宋体" w:hAnsi="宋体" w:eastAsia="宋体" w:cs="宋体"/>
                <w:b/>
                <w:bCs/>
                <w:spacing w:val="1"/>
                <w:sz w:val="21"/>
                <w:szCs w:val="21"/>
              </w:rPr>
              <w:t>使用量</w:t>
            </w:r>
          </w:p>
        </w:tc>
        <w:tc>
          <w:tcPr>
            <w:tcW w:w="1535" w:type="pct"/>
            <w:tcBorders>
              <w:top w:val="single" w:color="000000" w:sz="4" w:space="0"/>
              <w:left w:val="single" w:color="000000" w:sz="4" w:space="0"/>
              <w:bottom w:val="single" w:color="000000" w:sz="4" w:space="0"/>
              <w:right w:val="single" w:color="000000" w:sz="4" w:space="0"/>
            </w:tcBorders>
          </w:tcPr>
          <w:p>
            <w:pPr>
              <w:pStyle w:val="4069"/>
              <w:spacing w:line="267" w:lineRule="exact"/>
              <w:ind w:right="1065"/>
              <w:jc w:val="both"/>
              <w:rPr>
                <w:rFonts w:ascii="宋体" w:hAnsi="宋体" w:eastAsia="宋体" w:cs="宋体"/>
                <w:sz w:val="21"/>
                <w:szCs w:val="21"/>
              </w:rPr>
            </w:pPr>
            <w:r>
              <w:rPr>
                <w:rFonts w:ascii="宋体" w:hAnsi="宋体" w:eastAsia="宋体" w:cs="宋体"/>
                <w:b/>
                <w:bCs/>
                <w:spacing w:val="1"/>
                <w:sz w:val="21"/>
                <w:szCs w:val="21"/>
              </w:rPr>
              <w:t>临界量</w:t>
            </w:r>
          </w:p>
        </w:tc>
      </w:tr>
      <w:tr>
        <w:tblPrEx>
          <w:tblCellMar>
            <w:top w:w="0" w:type="dxa"/>
            <w:left w:w="0" w:type="dxa"/>
            <w:bottom w:w="0" w:type="dxa"/>
            <w:right w:w="0" w:type="dxa"/>
          </w:tblCellMar>
        </w:tblPrEx>
        <w:trPr>
          <w:trHeight w:val="322" w:hRule="exact"/>
        </w:trPr>
        <w:tc>
          <w:tcPr>
            <w:tcW w:w="1764" w:type="pct"/>
            <w:tcBorders>
              <w:top w:val="single" w:color="000000" w:sz="4" w:space="0"/>
              <w:left w:val="single" w:color="000000" w:sz="4" w:space="0"/>
              <w:bottom w:val="single" w:color="000000" w:sz="4" w:space="0"/>
              <w:right w:val="single" w:color="000000" w:sz="4" w:space="0"/>
            </w:tcBorders>
          </w:tcPr>
          <w:p>
            <w:pPr>
              <w:pStyle w:val="4069"/>
              <w:spacing w:line="259" w:lineRule="exact"/>
              <w:ind w:right="1387"/>
              <w:jc w:val="both"/>
              <w:rPr>
                <w:rFonts w:ascii="宋体" w:hAnsi="宋体" w:eastAsia="宋体" w:cs="宋体"/>
                <w:sz w:val="21"/>
                <w:szCs w:val="21"/>
              </w:rPr>
            </w:pPr>
            <w:r>
              <w:rPr>
                <w:rFonts w:ascii="宋体" w:hAnsi="宋体" w:eastAsia="宋体" w:cs="宋体"/>
                <w:spacing w:val="-1"/>
                <w:sz w:val="21"/>
                <w:szCs w:val="21"/>
              </w:rPr>
              <w:t>液氨</w:t>
            </w:r>
          </w:p>
        </w:tc>
        <w:tc>
          <w:tcPr>
            <w:tcW w:w="1700" w:type="pct"/>
            <w:tcBorders>
              <w:top w:val="single" w:color="000000" w:sz="4" w:space="0"/>
              <w:left w:val="single" w:color="000000" w:sz="4" w:space="0"/>
              <w:bottom w:val="single" w:color="000000" w:sz="4" w:space="0"/>
              <w:right w:val="single" w:color="000000" w:sz="4" w:space="0"/>
            </w:tcBorders>
          </w:tcPr>
          <w:p>
            <w:pPr>
              <w:pStyle w:val="4069"/>
              <w:spacing w:before="33" w:line="240" w:lineRule="auto"/>
              <w:ind w:right="1484"/>
              <w:jc w:val="both"/>
              <w:rPr>
                <w:rFonts w:ascii="Times New Roman" w:hAnsi="Times New Roman" w:eastAsia="Times New Roman" w:cs="Times New Roman"/>
                <w:sz w:val="21"/>
                <w:szCs w:val="21"/>
              </w:rPr>
            </w:pPr>
            <w:r>
              <w:rPr>
                <w:rFonts w:ascii="Times New Roman"/>
                <w:sz w:val="21"/>
              </w:rPr>
              <w:t>1</w:t>
            </w:r>
          </w:p>
        </w:tc>
        <w:tc>
          <w:tcPr>
            <w:tcW w:w="1535" w:type="pct"/>
            <w:tcBorders>
              <w:top w:val="single" w:color="000000" w:sz="4" w:space="0"/>
              <w:left w:val="single" w:color="000000" w:sz="4" w:space="0"/>
              <w:bottom w:val="single" w:color="000000" w:sz="4" w:space="0"/>
              <w:right w:val="single" w:color="000000" w:sz="4" w:space="0"/>
            </w:tcBorders>
          </w:tcPr>
          <w:p>
            <w:pPr>
              <w:pStyle w:val="4069"/>
              <w:spacing w:before="33" w:line="240" w:lineRule="auto"/>
              <w:ind w:right="1333"/>
              <w:jc w:val="both"/>
              <w:rPr>
                <w:rFonts w:ascii="Times New Roman" w:hAnsi="Times New Roman" w:eastAsia="Times New Roman" w:cs="Times New Roman"/>
                <w:sz w:val="21"/>
                <w:szCs w:val="21"/>
              </w:rPr>
            </w:pPr>
            <w:r>
              <w:rPr>
                <w:rFonts w:ascii="Times New Roman"/>
                <w:sz w:val="21"/>
              </w:rPr>
              <w:t>5</w:t>
            </w:r>
          </w:p>
        </w:tc>
      </w:tr>
      <w:tr>
        <w:tblPrEx>
          <w:tblCellMar>
            <w:top w:w="0" w:type="dxa"/>
            <w:left w:w="0" w:type="dxa"/>
            <w:bottom w:w="0" w:type="dxa"/>
            <w:right w:w="0" w:type="dxa"/>
          </w:tblCellMar>
        </w:tblPrEx>
        <w:trPr>
          <w:trHeight w:val="322" w:hRule="exact"/>
        </w:trPr>
        <w:tc>
          <w:tcPr>
            <w:tcW w:w="1764" w:type="pct"/>
            <w:tcBorders>
              <w:top w:val="single" w:color="000000" w:sz="4" w:space="0"/>
              <w:left w:val="single" w:color="000000" w:sz="4" w:space="0"/>
              <w:bottom w:val="single" w:color="000000" w:sz="4" w:space="0"/>
              <w:right w:val="single" w:color="000000" w:sz="4" w:space="0"/>
            </w:tcBorders>
          </w:tcPr>
          <w:p>
            <w:pPr>
              <w:pStyle w:val="4069"/>
              <w:spacing w:line="259" w:lineRule="exact"/>
              <w:ind w:right="1281"/>
              <w:jc w:val="both"/>
              <w:rPr>
                <w:rFonts w:ascii="宋体" w:hAnsi="宋体" w:eastAsia="宋体" w:cs="宋体"/>
                <w:sz w:val="21"/>
                <w:szCs w:val="21"/>
              </w:rPr>
            </w:pPr>
            <w:r>
              <w:rPr>
                <w:rFonts w:ascii="宋体" w:hAnsi="宋体" w:eastAsia="宋体" w:cs="宋体"/>
                <w:sz w:val="21"/>
                <w:szCs w:val="21"/>
              </w:rPr>
              <w:t>氯酸钠</w:t>
            </w:r>
          </w:p>
        </w:tc>
        <w:tc>
          <w:tcPr>
            <w:tcW w:w="1700" w:type="pct"/>
            <w:tcBorders>
              <w:top w:val="single" w:color="000000" w:sz="4" w:space="0"/>
              <w:left w:val="single" w:color="000000" w:sz="4" w:space="0"/>
              <w:bottom w:val="single" w:color="000000" w:sz="4" w:space="0"/>
              <w:right w:val="single" w:color="000000" w:sz="4" w:space="0"/>
            </w:tcBorders>
          </w:tcPr>
          <w:p>
            <w:pPr>
              <w:pStyle w:val="4069"/>
              <w:spacing w:before="33" w:line="240" w:lineRule="auto"/>
              <w:ind w:right="1351"/>
              <w:jc w:val="both"/>
              <w:rPr>
                <w:rFonts w:ascii="Times New Roman" w:hAnsi="Times New Roman" w:eastAsia="Times New Roman" w:cs="Times New Roman"/>
                <w:sz w:val="21"/>
                <w:szCs w:val="21"/>
              </w:rPr>
            </w:pPr>
            <w:r>
              <w:rPr>
                <w:rFonts w:ascii="Times New Roman"/>
                <w:sz w:val="21"/>
              </w:rPr>
              <w:t>0.27</w:t>
            </w:r>
          </w:p>
        </w:tc>
        <w:tc>
          <w:tcPr>
            <w:tcW w:w="1535" w:type="pct"/>
            <w:tcBorders>
              <w:top w:val="single" w:color="000000" w:sz="4" w:space="0"/>
              <w:left w:val="single" w:color="000000" w:sz="4" w:space="0"/>
              <w:bottom w:val="single" w:color="000000" w:sz="4" w:space="0"/>
              <w:right w:val="single" w:color="000000" w:sz="4" w:space="0"/>
            </w:tcBorders>
          </w:tcPr>
          <w:p>
            <w:pPr>
              <w:pStyle w:val="4069"/>
              <w:spacing w:before="33" w:line="240" w:lineRule="auto"/>
              <w:ind w:right="1225"/>
              <w:jc w:val="both"/>
              <w:rPr>
                <w:rFonts w:ascii="Times New Roman" w:hAnsi="Times New Roman" w:eastAsia="Times New Roman" w:cs="Times New Roman"/>
                <w:sz w:val="21"/>
                <w:szCs w:val="21"/>
              </w:rPr>
            </w:pPr>
            <w:r>
              <w:rPr>
                <w:rFonts w:ascii="Times New Roman"/>
                <w:sz w:val="21"/>
              </w:rPr>
              <w:t>100</w:t>
            </w:r>
          </w:p>
        </w:tc>
      </w:tr>
      <w:tr>
        <w:tblPrEx>
          <w:tblCellMar>
            <w:top w:w="0" w:type="dxa"/>
            <w:left w:w="0" w:type="dxa"/>
            <w:bottom w:w="0" w:type="dxa"/>
            <w:right w:w="0" w:type="dxa"/>
          </w:tblCellMar>
        </w:tblPrEx>
        <w:trPr>
          <w:trHeight w:val="322" w:hRule="exact"/>
        </w:trPr>
        <w:tc>
          <w:tcPr>
            <w:tcW w:w="1764" w:type="pct"/>
            <w:tcBorders>
              <w:top w:val="single" w:color="000000" w:sz="4" w:space="0"/>
              <w:left w:val="single" w:color="000000" w:sz="4" w:space="0"/>
              <w:bottom w:val="single" w:color="000000" w:sz="4" w:space="0"/>
              <w:right w:val="single" w:color="000000" w:sz="4" w:space="0"/>
            </w:tcBorders>
          </w:tcPr>
          <w:p>
            <w:pPr>
              <w:pStyle w:val="4069"/>
              <w:spacing w:line="261" w:lineRule="exact"/>
              <w:ind w:right="1387"/>
              <w:jc w:val="both"/>
              <w:rPr>
                <w:rFonts w:ascii="宋体" w:hAnsi="宋体" w:eastAsia="宋体" w:cs="宋体"/>
                <w:sz w:val="21"/>
                <w:szCs w:val="21"/>
              </w:rPr>
            </w:pPr>
            <w:r>
              <w:rPr>
                <w:rFonts w:ascii="宋体" w:hAnsi="宋体" w:eastAsia="宋体" w:cs="宋体"/>
                <w:spacing w:val="-1"/>
                <w:sz w:val="21"/>
                <w:szCs w:val="21"/>
              </w:rPr>
              <w:t>盐酸</w:t>
            </w:r>
          </w:p>
        </w:tc>
        <w:tc>
          <w:tcPr>
            <w:tcW w:w="1700" w:type="pct"/>
            <w:tcBorders>
              <w:top w:val="single" w:color="000000" w:sz="4" w:space="0"/>
              <w:left w:val="single" w:color="000000" w:sz="4" w:space="0"/>
              <w:bottom w:val="single" w:color="000000" w:sz="4" w:space="0"/>
              <w:right w:val="single" w:color="000000" w:sz="4" w:space="0"/>
            </w:tcBorders>
          </w:tcPr>
          <w:p>
            <w:pPr>
              <w:pStyle w:val="4069"/>
              <w:spacing w:before="35" w:line="240" w:lineRule="auto"/>
              <w:ind w:right="1351"/>
              <w:jc w:val="both"/>
              <w:rPr>
                <w:rFonts w:ascii="Times New Roman" w:hAnsi="Times New Roman" w:eastAsia="Times New Roman" w:cs="Times New Roman"/>
                <w:sz w:val="21"/>
                <w:szCs w:val="21"/>
              </w:rPr>
            </w:pPr>
            <w:r>
              <w:rPr>
                <w:rFonts w:ascii="Times New Roman"/>
                <w:sz w:val="21"/>
              </w:rPr>
              <w:t>0.24</w:t>
            </w:r>
          </w:p>
        </w:tc>
        <w:tc>
          <w:tcPr>
            <w:tcW w:w="1535" w:type="pct"/>
            <w:tcBorders>
              <w:top w:val="single" w:color="000000" w:sz="4" w:space="0"/>
              <w:left w:val="single" w:color="000000" w:sz="4" w:space="0"/>
              <w:bottom w:val="single" w:color="000000" w:sz="4" w:space="0"/>
              <w:right w:val="single" w:color="000000" w:sz="4" w:space="0"/>
            </w:tcBorders>
          </w:tcPr>
          <w:p>
            <w:pPr>
              <w:pStyle w:val="4069"/>
              <w:spacing w:before="35" w:line="240" w:lineRule="auto"/>
              <w:ind w:right="1254"/>
              <w:jc w:val="both"/>
              <w:rPr>
                <w:rFonts w:ascii="Times New Roman" w:hAnsi="Times New Roman" w:eastAsia="Times New Roman" w:cs="Times New Roman"/>
                <w:sz w:val="21"/>
                <w:szCs w:val="21"/>
              </w:rPr>
            </w:pPr>
            <w:r>
              <w:rPr>
                <w:rFonts w:ascii="Times New Roman"/>
                <w:sz w:val="21"/>
              </w:rPr>
              <w:t>7.5</w:t>
            </w:r>
          </w:p>
        </w:tc>
      </w:tr>
    </w:tbl>
    <w:p>
      <w:pPr>
        <w:pStyle w:val="6"/>
        <w:ind w:left="0" w:firstLine="0"/>
      </w:pPr>
      <w:bookmarkStart w:id="258" w:name="_Toc6184"/>
      <w:r>
        <w:rPr>
          <w:rFonts w:hint="eastAsia"/>
          <w:lang w:eastAsia="zh-CN"/>
        </w:rPr>
        <w:t>风险潜势判断</w:t>
      </w:r>
      <w:bookmarkEnd w:id="258"/>
    </w:p>
    <w:p>
      <w:pPr>
        <w:spacing w:line="500" w:lineRule="exact"/>
        <w:ind w:firstLine="480" w:firstLineChars="200"/>
        <w:rPr>
          <w:sz w:val="24"/>
        </w:rPr>
      </w:pPr>
      <w:r>
        <w:rPr>
          <w:sz w:val="24"/>
        </w:rPr>
        <w:t>根据风险评价导则附录C，存在多种危险物质时，按式C.1计算物质总量与临界量比值Q：</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1743075" cy="476250"/>
            <wp:effectExtent l="0" t="0" r="9525" b="0"/>
            <wp:docPr id="865"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22" descr="IMG_256"/>
                    <pic:cNvPicPr>
                      <a:picLocks noChangeAspect="1"/>
                    </pic:cNvPicPr>
                  </pic:nvPicPr>
                  <pic:blipFill>
                    <a:blip r:embed="rId29"/>
                    <a:stretch>
                      <a:fillRect/>
                    </a:stretch>
                  </pic:blipFill>
                  <pic:spPr>
                    <a:xfrm>
                      <a:off x="0" y="0"/>
                      <a:ext cx="1743075" cy="476250"/>
                    </a:xfrm>
                    <a:prstGeom prst="rect">
                      <a:avLst/>
                    </a:prstGeom>
                    <a:noFill/>
                    <a:ln w="9525">
                      <a:noFill/>
                    </a:ln>
                  </pic:spPr>
                </pic:pic>
              </a:graphicData>
            </a:graphic>
          </wp:inline>
        </w:drawing>
      </w:r>
    </w:p>
    <w:p>
      <w:pPr>
        <w:spacing w:line="500" w:lineRule="exact"/>
        <w:ind w:firstLine="480" w:firstLineChars="200"/>
        <w:rPr>
          <w:rFonts w:ascii="Times New Roman" w:hAnsi="Times New Roman" w:eastAsia="宋体" w:cs="Times New Roman"/>
          <w:sz w:val="24"/>
        </w:rPr>
      </w:pPr>
      <w:r>
        <w:rPr>
          <w:rFonts w:ascii="Times New Roman" w:hAnsi="Times New Roman" w:eastAsia="宋体" w:cs="Times New Roman"/>
          <w:sz w:val="24"/>
        </w:rPr>
        <w:t>式中：q1，q2，...，qn—每种危险物质的最大存在总量，t；</w:t>
      </w:r>
    </w:p>
    <w:p>
      <w:pPr>
        <w:spacing w:line="500" w:lineRule="exact"/>
        <w:ind w:firstLine="1200" w:firstLineChars="500"/>
        <w:rPr>
          <w:rFonts w:ascii="Times New Roman" w:hAnsi="Times New Roman" w:eastAsia="宋体" w:cs="Times New Roman"/>
          <w:sz w:val="24"/>
          <w:lang w:val="en-US" w:eastAsia="zh-CN"/>
        </w:rPr>
      </w:pPr>
      <w:r>
        <w:rPr>
          <w:rFonts w:ascii="Times New Roman" w:hAnsi="Times New Roman" w:eastAsia="宋体" w:cs="Times New Roman"/>
          <w:sz w:val="24"/>
        </w:rPr>
        <w:t>Q1，Q2，...，Qn—每种危险物质的</w:t>
      </w:r>
      <w:r>
        <w:rPr>
          <w:rFonts w:ascii="Times New Roman" w:hAnsi="Times New Roman" w:eastAsia="宋体" w:cs="Times New Roman"/>
          <w:sz w:val="24"/>
          <w:lang w:val="en-US" w:eastAsia="zh-CN"/>
        </w:rPr>
        <w:t>临界量，t。</w:t>
      </w:r>
    </w:p>
    <w:p>
      <w:pPr>
        <w:spacing w:line="500" w:lineRule="exact"/>
        <w:ind w:firstLine="1200" w:firstLineChars="500"/>
        <w:rPr>
          <w:rFonts w:ascii="Times New Roman" w:hAnsi="Times New Roman" w:eastAsia="宋体" w:cs="Times New Roman"/>
          <w:sz w:val="24"/>
        </w:rPr>
      </w:pPr>
      <w:r>
        <w:rPr>
          <w:rFonts w:ascii="Times New Roman" w:hAnsi="Times New Roman" w:eastAsia="宋体" w:cs="Times New Roman"/>
          <w:sz w:val="24"/>
        </w:rPr>
        <w:t>当Q＜1时，该项目环境风险潜势为I，</w:t>
      </w:r>
    </w:p>
    <w:p>
      <w:pPr>
        <w:spacing w:line="500" w:lineRule="exact"/>
        <w:ind w:firstLine="1200" w:firstLineChars="500"/>
        <w:rPr>
          <w:rFonts w:ascii="Times New Roman" w:hAnsi="Times New Roman" w:eastAsia="宋体" w:cs="Times New Roman"/>
          <w:sz w:val="24"/>
        </w:rPr>
      </w:pPr>
      <w:r>
        <w:rPr>
          <w:rFonts w:ascii="Times New Roman" w:hAnsi="Times New Roman" w:eastAsia="宋体" w:cs="Times New Roman"/>
          <w:sz w:val="24"/>
        </w:rPr>
        <w:t>经计算，本项目的Q=0.2347＜1，因此本项目环境风险潜势为I。</w:t>
      </w:r>
    </w:p>
    <w:p>
      <w:pPr>
        <w:pStyle w:val="6"/>
        <w:ind w:left="0" w:firstLine="0"/>
      </w:pPr>
      <w:bookmarkStart w:id="259" w:name="_Toc19477"/>
      <w:r>
        <w:rPr>
          <w:rFonts w:hint="eastAsia"/>
          <w:lang w:eastAsia="zh-CN"/>
        </w:rPr>
        <w:t>评价工作等级</w:t>
      </w:r>
      <w:bookmarkEnd w:id="259"/>
    </w:p>
    <w:p>
      <w:pPr>
        <w:spacing w:line="500" w:lineRule="exact"/>
        <w:ind w:firstLine="480" w:firstLineChars="200"/>
        <w:rPr>
          <w:sz w:val="24"/>
        </w:rPr>
      </w:pPr>
      <w:r>
        <w:rPr>
          <w:sz w:val="24"/>
        </w:rPr>
        <w:t>根据建设项目涉及的物质及工艺系统危险性和所在地的环境敏感性确定环境风险潜势，按照表1确定评价工作等级。风险潜势为IV及以上，进行一级评价;风险潜势为III,进行二级评价</w:t>
      </w:r>
      <w:r>
        <w:rPr>
          <w:rFonts w:hint="eastAsia"/>
          <w:sz w:val="24"/>
          <w:lang w:eastAsia="zh-CN"/>
        </w:rPr>
        <w:t>：</w:t>
      </w:r>
      <w:r>
        <w:rPr>
          <w:sz w:val="24"/>
        </w:rPr>
        <w:t>风险潜势为II，进行三级评价</w:t>
      </w:r>
      <w:r>
        <w:rPr>
          <w:rFonts w:hint="eastAsia"/>
          <w:sz w:val="24"/>
          <w:lang w:eastAsia="zh-CN"/>
        </w:rPr>
        <w:t>；</w:t>
      </w:r>
      <w:r>
        <w:rPr>
          <w:sz w:val="24"/>
        </w:rPr>
        <w:t>风险潜势为I，可开展简单分析。</w:t>
      </w:r>
    </w:p>
    <w:p>
      <w:pPr>
        <w:spacing w:line="500" w:lineRule="exact"/>
        <w:ind w:firstLine="480" w:firstLineChars="200"/>
        <w:rPr>
          <w:sz w:val="24"/>
        </w:rPr>
      </w:pPr>
      <w:r>
        <w:rPr>
          <w:sz w:val="24"/>
        </w:rPr>
        <w:t>评价工作等级划分如表7.1-2所示。</w:t>
      </w:r>
    </w:p>
    <w:p>
      <w:pPr>
        <w:spacing w:line="360" w:lineRule="auto"/>
        <w:jc w:val="center"/>
        <w:rPr>
          <w:rFonts w:hint="eastAsia" w:ascii="Times New Roman" w:hAnsi="Times New Roman" w:eastAsia="宋体" w:cs="Times New Roman"/>
          <w:b/>
          <w:sz w:val="24"/>
          <w:lang w:eastAsia="zh-CN"/>
        </w:rPr>
      </w:pPr>
      <w:r>
        <w:rPr>
          <w:rFonts w:ascii="Times New Roman" w:hAnsi="Times New Roman" w:eastAsia="宋体" w:cs="Times New Roman"/>
          <w:b/>
          <w:sz w:val="24"/>
        </w:rPr>
        <w:t>表 7.1-</w:t>
      </w:r>
      <w:r>
        <w:rPr>
          <w:rFonts w:hint="eastAsia" w:ascii="Times New Roman" w:hAnsi="Times New Roman" w:eastAsia="宋体" w:cs="Times New Roman"/>
          <w:b/>
          <w:sz w:val="24"/>
          <w:lang w:val="en-US" w:eastAsia="zh-CN"/>
        </w:rPr>
        <w:t>2</w:t>
      </w:r>
      <w:r>
        <w:rPr>
          <w:rFonts w:ascii="Times New Roman" w:hAnsi="Times New Roman" w:eastAsia="宋体" w:cs="Times New Roman"/>
          <w:b/>
          <w:sz w:val="24"/>
        </w:rPr>
        <w:tab/>
      </w:r>
      <w:r>
        <w:rPr>
          <w:rFonts w:hint="eastAsia" w:ascii="Times New Roman" w:hAnsi="Times New Roman" w:eastAsia="宋体" w:cs="Times New Roman"/>
          <w:b/>
          <w:sz w:val="24"/>
          <w:lang w:eastAsia="zh-CN"/>
        </w:rPr>
        <w:t>评级工作等级划分</w:t>
      </w:r>
    </w:p>
    <w:tbl>
      <w:tblPr>
        <w:tblStyle w:val="88"/>
        <w:tblW w:w="5093" w:type="pct"/>
        <w:tblInd w:w="0" w:type="dxa"/>
        <w:tblLayout w:type="fixed"/>
        <w:tblCellMar>
          <w:top w:w="0" w:type="dxa"/>
          <w:left w:w="0" w:type="dxa"/>
          <w:bottom w:w="0" w:type="dxa"/>
          <w:right w:w="0" w:type="dxa"/>
        </w:tblCellMar>
      </w:tblPr>
      <w:tblGrid>
        <w:gridCol w:w="1376"/>
        <w:gridCol w:w="1796"/>
        <w:gridCol w:w="1740"/>
        <w:gridCol w:w="2451"/>
        <w:gridCol w:w="1114"/>
      </w:tblGrid>
      <w:tr>
        <w:tblPrEx>
          <w:tblCellMar>
            <w:top w:w="0" w:type="dxa"/>
            <w:left w:w="0" w:type="dxa"/>
            <w:bottom w:w="0" w:type="dxa"/>
            <w:right w:w="0" w:type="dxa"/>
          </w:tblCellMar>
        </w:tblPrEx>
        <w:trPr>
          <w:trHeight w:val="322" w:hRule="exact"/>
        </w:trPr>
        <w:tc>
          <w:tcPr>
            <w:tcW w:w="811" w:type="pct"/>
            <w:tcBorders>
              <w:top w:val="single" w:color="000000" w:sz="4" w:space="0"/>
              <w:left w:val="single" w:color="000000" w:sz="4" w:space="0"/>
              <w:bottom w:val="single" w:color="000000" w:sz="4" w:space="0"/>
              <w:right w:val="single" w:color="000000" w:sz="4" w:space="0"/>
            </w:tcBorders>
          </w:tcPr>
          <w:p>
            <w:pPr>
              <w:pStyle w:val="4069"/>
              <w:spacing w:line="261" w:lineRule="exact"/>
              <w:ind w:left="258" w:right="0"/>
              <w:jc w:val="left"/>
              <w:rPr>
                <w:rFonts w:ascii="宋体" w:hAnsi="宋体" w:eastAsia="宋体" w:cs="宋体"/>
                <w:sz w:val="21"/>
                <w:szCs w:val="21"/>
              </w:rPr>
            </w:pPr>
            <w:r>
              <w:rPr>
                <w:rFonts w:ascii="宋体" w:hAnsi="宋体" w:eastAsia="宋体" w:cs="宋体"/>
                <w:sz w:val="21"/>
                <w:szCs w:val="21"/>
              </w:rPr>
              <w:t>环境风险潜势</w:t>
            </w:r>
          </w:p>
        </w:tc>
        <w:tc>
          <w:tcPr>
            <w:tcW w:w="1059" w:type="pct"/>
            <w:tcBorders>
              <w:top w:val="single" w:color="000000" w:sz="4" w:space="0"/>
              <w:left w:val="single" w:color="000000" w:sz="4" w:space="0"/>
              <w:bottom w:val="single" w:color="000000" w:sz="4" w:space="0"/>
              <w:right w:val="single" w:color="000000" w:sz="4" w:space="0"/>
            </w:tcBorders>
          </w:tcPr>
          <w:p>
            <w:pPr>
              <w:pStyle w:val="4069"/>
              <w:spacing w:line="276" w:lineRule="exact"/>
              <w:ind w:left="546" w:right="0"/>
              <w:jc w:val="left"/>
              <w:rPr>
                <w:rFonts w:ascii="Times New Roman" w:hAnsi="Times New Roman" w:eastAsia="Times New Roman" w:cs="Times New Roman"/>
                <w:sz w:val="13"/>
                <w:szCs w:val="13"/>
              </w:rPr>
            </w:pPr>
            <w:r>
              <w:rPr>
                <w:rFonts w:ascii="Times New Roman" w:hAnsi="Times New Roman" w:eastAsia="Times New Roman" w:cs="Times New Roman"/>
                <w:sz w:val="21"/>
                <w:szCs w:val="21"/>
              </w:rPr>
              <w:t>IV</w:t>
            </w:r>
            <w:r>
              <w:rPr>
                <w:rFonts w:ascii="宋体" w:hAnsi="宋体" w:eastAsia="宋体" w:cs="宋体"/>
                <w:sz w:val="21"/>
                <w:szCs w:val="21"/>
              </w:rPr>
              <w:t>、</w:t>
            </w:r>
            <w:r>
              <w:rPr>
                <w:rFonts w:ascii="Times New Roman" w:hAnsi="Times New Roman" w:eastAsia="Times New Roman" w:cs="Times New Roman"/>
                <w:sz w:val="21"/>
                <w:szCs w:val="21"/>
              </w:rPr>
              <w:t>IV</w:t>
            </w:r>
            <w:r>
              <w:rPr>
                <w:rFonts w:ascii="Times New Roman" w:hAnsi="Times New Roman" w:eastAsia="Times New Roman" w:cs="Times New Roman"/>
                <w:position w:val="7"/>
                <w:sz w:val="13"/>
                <w:szCs w:val="13"/>
              </w:rPr>
              <w:t>+</w:t>
            </w:r>
          </w:p>
        </w:tc>
        <w:tc>
          <w:tcPr>
            <w:tcW w:w="1026" w:type="pct"/>
            <w:tcBorders>
              <w:top w:val="single" w:color="000000" w:sz="4" w:space="0"/>
              <w:left w:val="single" w:color="000000" w:sz="4" w:space="0"/>
              <w:bottom w:val="single" w:color="000000" w:sz="4" w:space="0"/>
              <w:right w:val="single" w:color="000000" w:sz="4" w:space="0"/>
            </w:tcBorders>
          </w:tcPr>
          <w:p>
            <w:pPr>
              <w:pStyle w:val="4069"/>
              <w:spacing w:before="35" w:line="240" w:lineRule="auto"/>
              <w:ind w:right="0"/>
              <w:jc w:val="center"/>
              <w:rPr>
                <w:rFonts w:ascii="Times New Roman" w:hAnsi="Times New Roman" w:eastAsia="Times New Roman" w:cs="Times New Roman"/>
                <w:sz w:val="21"/>
                <w:szCs w:val="21"/>
              </w:rPr>
            </w:pPr>
            <w:r>
              <w:rPr>
                <w:rFonts w:ascii="Times New Roman"/>
                <w:spacing w:val="-1"/>
                <w:sz w:val="21"/>
              </w:rPr>
              <w:t>III</w:t>
            </w:r>
          </w:p>
        </w:tc>
        <w:tc>
          <w:tcPr>
            <w:tcW w:w="1445" w:type="pct"/>
            <w:tcBorders>
              <w:top w:val="single" w:color="000000" w:sz="4" w:space="0"/>
              <w:left w:val="single" w:color="000000" w:sz="4" w:space="0"/>
              <w:bottom w:val="single" w:color="000000" w:sz="4" w:space="0"/>
              <w:right w:val="single" w:color="000000" w:sz="4" w:space="0"/>
            </w:tcBorders>
          </w:tcPr>
          <w:p>
            <w:pPr>
              <w:pStyle w:val="4069"/>
              <w:spacing w:before="35" w:line="240" w:lineRule="auto"/>
              <w:ind w:left="0" w:right="0"/>
              <w:jc w:val="center"/>
              <w:rPr>
                <w:rFonts w:ascii="Times New Roman" w:hAnsi="Times New Roman" w:eastAsia="Times New Roman" w:cs="Times New Roman"/>
                <w:sz w:val="21"/>
                <w:szCs w:val="21"/>
              </w:rPr>
            </w:pPr>
            <w:r>
              <w:rPr>
                <w:rFonts w:ascii="Times New Roman"/>
                <w:sz w:val="21"/>
              </w:rPr>
              <w:t>II</w:t>
            </w:r>
          </w:p>
        </w:tc>
        <w:tc>
          <w:tcPr>
            <w:tcW w:w="657" w:type="pct"/>
            <w:tcBorders>
              <w:top w:val="single" w:color="000000" w:sz="4" w:space="0"/>
              <w:left w:val="single" w:color="000000" w:sz="4" w:space="0"/>
              <w:bottom w:val="single" w:color="000000" w:sz="4" w:space="0"/>
              <w:right w:val="single" w:color="000000" w:sz="4" w:space="0"/>
            </w:tcBorders>
          </w:tcPr>
          <w:p>
            <w:pPr>
              <w:pStyle w:val="4069"/>
              <w:spacing w:before="35" w:line="240" w:lineRule="auto"/>
              <w:ind w:left="1" w:right="0"/>
              <w:jc w:val="center"/>
              <w:rPr>
                <w:rFonts w:ascii="Times New Roman" w:hAnsi="Times New Roman" w:eastAsia="Times New Roman" w:cs="Times New Roman"/>
                <w:sz w:val="21"/>
                <w:szCs w:val="21"/>
              </w:rPr>
            </w:pPr>
            <w:r>
              <w:rPr>
                <w:rFonts w:ascii="Times New Roman"/>
                <w:sz w:val="21"/>
              </w:rPr>
              <w:t>I</w:t>
            </w:r>
          </w:p>
        </w:tc>
      </w:tr>
      <w:tr>
        <w:tblPrEx>
          <w:tblCellMar>
            <w:top w:w="0" w:type="dxa"/>
            <w:left w:w="0" w:type="dxa"/>
            <w:bottom w:w="0" w:type="dxa"/>
            <w:right w:w="0" w:type="dxa"/>
          </w:tblCellMar>
        </w:tblPrEx>
        <w:trPr>
          <w:trHeight w:val="322" w:hRule="exact"/>
        </w:trPr>
        <w:tc>
          <w:tcPr>
            <w:tcW w:w="811" w:type="pct"/>
            <w:tcBorders>
              <w:top w:val="single" w:color="000000" w:sz="4" w:space="0"/>
              <w:left w:val="single" w:color="000000" w:sz="4" w:space="0"/>
              <w:bottom w:val="single" w:color="000000" w:sz="4" w:space="0"/>
              <w:right w:val="single" w:color="000000" w:sz="4" w:space="0"/>
            </w:tcBorders>
          </w:tcPr>
          <w:p>
            <w:pPr>
              <w:pStyle w:val="4069"/>
              <w:spacing w:line="260" w:lineRule="exact"/>
              <w:ind w:left="258" w:right="0"/>
              <w:jc w:val="left"/>
              <w:rPr>
                <w:rFonts w:ascii="宋体" w:hAnsi="宋体" w:eastAsia="宋体" w:cs="宋体"/>
                <w:sz w:val="21"/>
                <w:szCs w:val="21"/>
              </w:rPr>
            </w:pPr>
            <w:r>
              <w:rPr>
                <w:rFonts w:ascii="宋体" w:hAnsi="宋体" w:eastAsia="宋体" w:cs="宋体"/>
                <w:sz w:val="21"/>
                <w:szCs w:val="21"/>
              </w:rPr>
              <w:t>评价工作等级</w:t>
            </w:r>
          </w:p>
        </w:tc>
        <w:tc>
          <w:tcPr>
            <w:tcW w:w="1059" w:type="pct"/>
            <w:tcBorders>
              <w:top w:val="single" w:color="000000" w:sz="4" w:space="0"/>
              <w:left w:val="single" w:color="000000" w:sz="4" w:space="0"/>
              <w:bottom w:val="single" w:color="000000" w:sz="4" w:space="0"/>
              <w:right w:val="single" w:color="000000" w:sz="4" w:space="0"/>
            </w:tcBorders>
          </w:tcPr>
          <w:p>
            <w:pPr>
              <w:pStyle w:val="4069"/>
              <w:spacing w:line="260" w:lineRule="exact"/>
              <w:ind w:left="786" w:right="785"/>
              <w:jc w:val="center"/>
              <w:rPr>
                <w:rFonts w:ascii="宋体" w:hAnsi="宋体" w:eastAsia="宋体" w:cs="宋体"/>
                <w:sz w:val="21"/>
                <w:szCs w:val="21"/>
              </w:rPr>
            </w:pPr>
            <w:r>
              <w:rPr>
                <w:rFonts w:ascii="宋体" w:hAnsi="宋体" w:eastAsia="宋体" w:cs="宋体"/>
                <w:sz w:val="21"/>
                <w:szCs w:val="21"/>
              </w:rPr>
              <w:t>一</w:t>
            </w:r>
          </w:p>
        </w:tc>
        <w:tc>
          <w:tcPr>
            <w:tcW w:w="1026" w:type="pct"/>
            <w:tcBorders>
              <w:top w:val="single" w:color="000000" w:sz="4" w:space="0"/>
              <w:left w:val="single" w:color="000000" w:sz="4" w:space="0"/>
              <w:bottom w:val="single" w:color="000000" w:sz="4" w:space="0"/>
              <w:right w:val="single" w:color="000000" w:sz="4" w:space="0"/>
            </w:tcBorders>
          </w:tcPr>
          <w:p>
            <w:pPr>
              <w:pStyle w:val="4069"/>
              <w:spacing w:line="260" w:lineRule="exact"/>
              <w:ind w:left="1089" w:right="1091"/>
              <w:jc w:val="center"/>
              <w:rPr>
                <w:rFonts w:ascii="宋体" w:hAnsi="宋体" w:eastAsia="宋体" w:cs="宋体"/>
                <w:sz w:val="21"/>
                <w:szCs w:val="21"/>
              </w:rPr>
            </w:pPr>
            <w:r>
              <w:rPr>
                <w:rFonts w:ascii="宋体" w:hAnsi="宋体" w:eastAsia="宋体" w:cs="宋体"/>
                <w:sz w:val="21"/>
                <w:szCs w:val="21"/>
              </w:rPr>
              <w:t>二</w:t>
            </w:r>
          </w:p>
        </w:tc>
        <w:tc>
          <w:tcPr>
            <w:tcW w:w="1445" w:type="pct"/>
            <w:tcBorders>
              <w:top w:val="single" w:color="000000" w:sz="4" w:space="0"/>
              <w:left w:val="single" w:color="000000" w:sz="4" w:space="0"/>
              <w:bottom w:val="single" w:color="000000" w:sz="4" w:space="0"/>
              <w:right w:val="single" w:color="000000" w:sz="4" w:space="0"/>
            </w:tcBorders>
          </w:tcPr>
          <w:p>
            <w:pPr>
              <w:pStyle w:val="4069"/>
              <w:spacing w:line="260" w:lineRule="exact"/>
              <w:ind w:left="754" w:right="756"/>
              <w:jc w:val="center"/>
              <w:rPr>
                <w:rFonts w:ascii="宋体" w:hAnsi="宋体" w:eastAsia="宋体" w:cs="宋体"/>
                <w:sz w:val="21"/>
                <w:szCs w:val="21"/>
              </w:rPr>
            </w:pPr>
            <w:r>
              <w:rPr>
                <w:rFonts w:ascii="宋体" w:hAnsi="宋体" w:eastAsia="宋体" w:cs="宋体"/>
                <w:sz w:val="21"/>
                <w:szCs w:val="21"/>
              </w:rPr>
              <w:t>三</w:t>
            </w:r>
          </w:p>
        </w:tc>
        <w:tc>
          <w:tcPr>
            <w:tcW w:w="657" w:type="pct"/>
            <w:tcBorders>
              <w:top w:val="single" w:color="000000" w:sz="4" w:space="0"/>
              <w:left w:val="single" w:color="000000" w:sz="4" w:space="0"/>
              <w:bottom w:val="single" w:color="000000" w:sz="4" w:space="0"/>
              <w:right w:val="single" w:color="000000" w:sz="4" w:space="0"/>
            </w:tcBorders>
          </w:tcPr>
          <w:p>
            <w:pPr>
              <w:pStyle w:val="4069"/>
              <w:spacing w:line="260" w:lineRule="exact"/>
              <w:ind w:left="193" w:right="0"/>
              <w:jc w:val="left"/>
              <w:rPr>
                <w:rFonts w:ascii="Times New Roman" w:hAnsi="Times New Roman" w:eastAsia="Times New Roman" w:cs="Times New Roman"/>
                <w:sz w:val="13"/>
                <w:szCs w:val="13"/>
              </w:rPr>
            </w:pPr>
            <w:r>
              <w:rPr>
                <w:rFonts w:ascii="宋体" w:hAnsi="宋体" w:eastAsia="宋体" w:cs="宋体"/>
                <w:sz w:val="21"/>
                <w:szCs w:val="21"/>
              </w:rPr>
              <w:t>简单分析</w:t>
            </w:r>
            <w:r>
              <w:rPr>
                <w:rFonts w:ascii="宋体" w:hAnsi="宋体" w:eastAsia="宋体" w:cs="宋体"/>
                <w:spacing w:val="-56"/>
                <w:sz w:val="21"/>
                <w:szCs w:val="21"/>
              </w:rPr>
              <w:t xml:space="preserve"> </w:t>
            </w:r>
            <w:r>
              <w:rPr>
                <w:rFonts w:ascii="Times New Roman" w:hAnsi="Times New Roman" w:eastAsia="Times New Roman" w:cs="Times New Roman"/>
                <w:position w:val="7"/>
                <w:sz w:val="13"/>
                <w:szCs w:val="13"/>
              </w:rPr>
              <w:t>a</w:t>
            </w:r>
          </w:p>
        </w:tc>
      </w:tr>
      <w:tr>
        <w:tblPrEx>
          <w:tblCellMar>
            <w:top w:w="0" w:type="dxa"/>
            <w:left w:w="0" w:type="dxa"/>
            <w:bottom w:w="0" w:type="dxa"/>
            <w:right w:w="0" w:type="dxa"/>
          </w:tblCellMar>
        </w:tblPrEx>
        <w:trPr>
          <w:trHeight w:val="634" w:hRule="exact"/>
        </w:trPr>
        <w:tc>
          <w:tcPr>
            <w:tcW w:w="5000" w:type="pct"/>
            <w:gridSpan w:val="5"/>
            <w:tcBorders>
              <w:top w:val="single" w:color="000000" w:sz="4" w:space="0"/>
              <w:left w:val="single" w:color="000000" w:sz="4" w:space="0"/>
              <w:bottom w:val="single" w:color="000000" w:sz="4" w:space="0"/>
              <w:right w:val="single" w:color="000000" w:sz="4" w:space="0"/>
            </w:tcBorders>
          </w:tcPr>
          <w:p>
            <w:pPr>
              <w:pStyle w:val="4069"/>
              <w:spacing w:before="13" w:line="321" w:lineRule="auto"/>
              <w:ind w:left="102" w:right="0"/>
              <w:jc w:val="left"/>
              <w:rPr>
                <w:rFonts w:ascii="宋体" w:hAnsi="宋体" w:eastAsia="宋体" w:cs="宋体"/>
                <w:sz w:val="18"/>
                <w:szCs w:val="18"/>
              </w:rPr>
            </w:pPr>
            <w:r>
              <w:rPr>
                <w:rFonts w:ascii="Times New Roman" w:hAnsi="Times New Roman" w:eastAsia="Times New Roman" w:cs="Times New Roman"/>
                <w:position w:val="6"/>
                <w:sz w:val="11"/>
                <w:szCs w:val="11"/>
              </w:rPr>
              <w:t>a</w:t>
            </w:r>
            <w:r>
              <w:rPr>
                <w:rFonts w:ascii="Times New Roman" w:hAnsi="Times New Roman" w:eastAsia="Times New Roman" w:cs="Times New Roman"/>
                <w:spacing w:val="4"/>
                <w:position w:val="6"/>
                <w:sz w:val="11"/>
                <w:szCs w:val="11"/>
              </w:rPr>
              <w:t xml:space="preserve"> </w:t>
            </w:r>
            <w:r>
              <w:rPr>
                <w:rFonts w:ascii="宋体" w:hAnsi="宋体" w:eastAsia="宋体" w:cs="宋体"/>
                <w:sz w:val="18"/>
                <w:szCs w:val="18"/>
              </w:rPr>
              <w:t>是相对于详细评价工作内容而言，在描述危险物质、环境影响途径、环境危害后果、风险防范措施等方面给出定性的说明。</w:t>
            </w:r>
          </w:p>
        </w:tc>
      </w:tr>
    </w:tbl>
    <w:p>
      <w:pPr>
        <w:pStyle w:val="2"/>
        <w:rPr>
          <w:sz w:val="24"/>
        </w:rPr>
      </w:pPr>
      <w:r>
        <w:t>由表</w:t>
      </w:r>
      <w:r>
        <w:rPr>
          <w:spacing w:val="-60"/>
        </w:rPr>
        <w:t xml:space="preserve"> </w:t>
      </w:r>
      <w:r>
        <w:rPr>
          <w:rFonts w:ascii="Times New Roman" w:hAnsi="Times New Roman" w:eastAsia="Times New Roman" w:cs="Times New Roman"/>
          <w:spacing w:val="-1"/>
        </w:rPr>
        <w:t>7.2-1</w:t>
      </w:r>
      <w:r>
        <w:rPr>
          <w:rFonts w:ascii="Times New Roman" w:hAnsi="Times New Roman" w:eastAsia="Times New Roman" w:cs="Times New Roman"/>
        </w:rPr>
        <w:t xml:space="preserve"> </w:t>
      </w:r>
      <w:r>
        <w:t>可知项目环境风险评价工作等级为简单分析。</w:t>
      </w:r>
    </w:p>
    <w:p>
      <w:pPr>
        <w:pStyle w:val="5"/>
        <w:spacing w:before="120" w:after="120"/>
      </w:pPr>
      <w:bookmarkStart w:id="260" w:name="_Toc24877"/>
      <w:r>
        <w:rPr>
          <w:rFonts w:hint="eastAsia"/>
          <w:lang w:eastAsia="zh-CN"/>
        </w:rPr>
        <w:t>环境敏感目标概况</w:t>
      </w:r>
      <w:bookmarkEnd w:id="260"/>
    </w:p>
    <w:p>
      <w:pPr>
        <w:pStyle w:val="2"/>
        <w:rPr>
          <w:sz w:val="24"/>
        </w:rPr>
      </w:pPr>
      <w:r>
        <w:rPr>
          <w:sz w:val="24"/>
        </w:rPr>
        <w:t>本项目占地不属于自然保护区、风景名胜区、饮用水源地和其他需要特殊保护的区域。本项目环境风险涉及的环境保护目标</w:t>
      </w:r>
      <w:r>
        <w:rPr>
          <w:rFonts w:hint="eastAsia"/>
          <w:sz w:val="24"/>
          <w:lang w:eastAsia="zh-CN"/>
        </w:rPr>
        <w:t>章节</w:t>
      </w:r>
      <w:r>
        <w:rPr>
          <w:sz w:val="24"/>
        </w:rPr>
        <w:t>。</w:t>
      </w:r>
    </w:p>
    <w:p>
      <w:pPr>
        <w:pStyle w:val="5"/>
        <w:spacing w:before="120" w:after="120"/>
      </w:pPr>
      <w:bookmarkStart w:id="261" w:name="_Toc10557"/>
      <w:r>
        <w:rPr>
          <w:rFonts w:hint="eastAsia"/>
          <w:lang w:eastAsia="zh-CN"/>
        </w:rPr>
        <w:t>环境风险识别</w:t>
      </w:r>
      <w:bookmarkEnd w:id="261"/>
    </w:p>
    <w:p>
      <w:pPr>
        <w:pStyle w:val="2"/>
        <w:rPr>
          <w:sz w:val="24"/>
        </w:rPr>
      </w:pPr>
      <w:r>
        <w:rPr>
          <w:sz w:val="24"/>
        </w:rPr>
        <w:t>①冷库液氨泄露造成火灾、爆炸、毒性而引发的次生环境污染。</w:t>
      </w:r>
    </w:p>
    <w:p>
      <w:pPr>
        <w:pStyle w:val="2"/>
        <w:rPr>
          <w:sz w:val="24"/>
        </w:rPr>
      </w:pPr>
      <w:r>
        <w:rPr>
          <w:sz w:val="24"/>
        </w:rPr>
        <w:t>②污水处理设施故障产生的废水有机物浓度含量很高，若发生输送管道破裂或老化等情形，项目所产生的高浓度废水可能泄漏至外环境造成地表水和地下水污染。</w:t>
      </w:r>
    </w:p>
    <w:p>
      <w:pPr>
        <w:pStyle w:val="2"/>
        <w:rPr>
          <w:sz w:val="24"/>
        </w:rPr>
      </w:pPr>
      <w:r>
        <w:rPr>
          <w:sz w:val="24"/>
        </w:rPr>
        <w:t>③污水处理站废水采用二氧化氯进行消毒，以氯酸钠（NaClO</w:t>
      </w:r>
      <w:r>
        <w:rPr>
          <w:sz w:val="24"/>
          <w:vertAlign w:val="subscript"/>
        </w:rPr>
        <w:t>3</w:t>
      </w:r>
      <w:r>
        <w:rPr>
          <w:sz w:val="24"/>
        </w:rPr>
        <w:t>）与盐酸（HCl水溶液）作为原料，应用二氧化氯发生器来制备。主要为氯酸钠（NaClO</w:t>
      </w:r>
      <w:r>
        <w:rPr>
          <w:sz w:val="24"/>
          <w:vertAlign w:val="subscript"/>
        </w:rPr>
        <w:t>3</w:t>
      </w:r>
      <w:r>
        <w:rPr>
          <w:sz w:val="24"/>
        </w:rPr>
        <w:t>）与盐酸（HCl水溶液）泄露造成火灾、爆炸、毒性而引发的次生环境污染。</w:t>
      </w:r>
    </w:p>
    <w:p>
      <w:pPr>
        <w:pStyle w:val="2"/>
        <w:rPr>
          <w:sz w:val="24"/>
        </w:rPr>
      </w:pPr>
      <w:r>
        <w:rPr>
          <w:sz w:val="24"/>
        </w:rPr>
        <w:t>④除臭设施故障造成H</w:t>
      </w:r>
      <w:r>
        <w:rPr>
          <w:sz w:val="24"/>
          <w:vertAlign w:val="subscript"/>
        </w:rPr>
        <w:t>2</w:t>
      </w:r>
      <w:r>
        <w:rPr>
          <w:sz w:val="24"/>
        </w:rPr>
        <w:t>S和NH</w:t>
      </w:r>
      <w:r>
        <w:rPr>
          <w:sz w:val="24"/>
          <w:vertAlign w:val="subscript"/>
        </w:rPr>
        <w:t>3</w:t>
      </w:r>
      <w:r>
        <w:rPr>
          <w:sz w:val="24"/>
        </w:rPr>
        <w:t>超标排放而对大气环境造成污染。</w:t>
      </w:r>
    </w:p>
    <w:p>
      <w:pPr>
        <w:pStyle w:val="5"/>
        <w:spacing w:before="120" w:after="120"/>
      </w:pPr>
      <w:bookmarkStart w:id="262" w:name="_Toc11575"/>
      <w:r>
        <w:rPr>
          <w:rFonts w:hint="eastAsia"/>
          <w:lang w:eastAsia="zh-CN"/>
        </w:rPr>
        <w:t>环境风险分析</w:t>
      </w:r>
      <w:bookmarkEnd w:id="262"/>
    </w:p>
    <w:p>
      <w:pPr>
        <w:pStyle w:val="6"/>
        <w:ind w:left="0" w:firstLine="0"/>
      </w:pPr>
      <w:bookmarkStart w:id="263" w:name="_Toc30262"/>
      <w:r>
        <w:rPr>
          <w:rFonts w:hint="eastAsia"/>
          <w:lang w:eastAsia="zh-CN"/>
        </w:rPr>
        <w:t>氨环境风险分析</w:t>
      </w:r>
      <w:bookmarkEnd w:id="263"/>
    </w:p>
    <w:p>
      <w:pPr>
        <w:pStyle w:val="2"/>
        <w:rPr>
          <w:rFonts w:hint="eastAsia" w:eastAsia="宋体"/>
          <w:sz w:val="24"/>
          <w:lang w:eastAsia="zh-CN"/>
        </w:rPr>
      </w:pPr>
      <w:r>
        <w:rPr>
          <w:sz w:val="24"/>
        </w:rPr>
        <w:t>（1）氨的特性 氨为无色气体，在适当压力下可变成液氨，具有刺激性、毒性、能燃烧或燥炸、等特性。纯品，无色，其挥发性气体有刺激性恶臭，属于毒气体。易燃，与空混合能形成爆炸性混合物。遇明火、高温能引起燃烧爆炸，爆炸下限15.7%，爆炸上限27.4%，引燃温度651C，最大爆炸压力0.580Mpa。在适当压力下可变成液氨，易溶于水且呈碱性。具体特性如下</w:t>
      </w:r>
      <w:r>
        <w:rPr>
          <w:rFonts w:hint="eastAsia"/>
          <w:sz w:val="24"/>
          <w:lang w:eastAsia="zh-CN"/>
        </w:rPr>
        <w:t>：</w:t>
      </w:r>
    </w:p>
    <w:p>
      <w:pPr>
        <w:pStyle w:val="2"/>
        <w:rPr>
          <w:sz w:val="24"/>
        </w:rPr>
      </w:pPr>
      <w:r>
        <w:rPr>
          <w:sz w:val="24"/>
        </w:rPr>
        <w:t>1）毒性大。“美国国立火灾保险组织”将氨划为二级毒性，这就是说，氨的毒性是比较大的。当空气中含量达5ppm时，人即可感到难闻和刺眼；当达到100ppm，一般人已无法忍受</w:t>
      </w:r>
      <w:r>
        <w:rPr>
          <w:rFonts w:hint="eastAsia"/>
          <w:sz w:val="24"/>
          <w:lang w:eastAsia="zh-CN"/>
        </w:rPr>
        <w:t>；</w:t>
      </w:r>
      <w:r>
        <w:rPr>
          <w:sz w:val="24"/>
        </w:rPr>
        <w:t>当达到200一500ppm</w:t>
      </w:r>
      <w:r>
        <w:rPr>
          <w:rFonts w:hint="eastAsia"/>
          <w:sz w:val="24"/>
          <w:lang w:eastAsia="zh-CN"/>
        </w:rPr>
        <w:t>，</w:t>
      </w:r>
      <w:r>
        <w:rPr>
          <w:sz w:val="24"/>
        </w:rPr>
        <w:t>已可造成伤害，而达到500ppm以上时，由于氨的扩散渗透性极强，将对人体呼吸系统，神经系统造成极大伤害、甚至死亡。</w:t>
      </w:r>
    </w:p>
    <w:p>
      <w:pPr>
        <w:pStyle w:val="2"/>
        <w:rPr>
          <w:sz w:val="24"/>
        </w:rPr>
      </w:pPr>
      <w:r>
        <w:rPr>
          <w:rFonts w:ascii="Times New Roman" w:hAnsi="Times New Roman" w:eastAsia="Times New Roman" w:cs="Times New Roman"/>
        </w:rPr>
        <w:t>2</w:t>
      </w:r>
      <w:r>
        <w:t>）氨气比空气轻。氨的相对密度为</w:t>
      </w:r>
      <w:r>
        <w:rPr>
          <w:rFonts w:ascii="Times New Roman" w:hAnsi="Times New Roman" w:eastAsia="Times New Roman" w:cs="Times New Roman"/>
        </w:rPr>
        <w:t>0.597</w:t>
      </w:r>
      <w:r>
        <w:t>，因此，在漏氨的年间内，下部氨浓度较低，上部氨浓度较高。</w:t>
      </w:r>
    </w:p>
    <w:p>
      <w:pPr>
        <w:pStyle w:val="2"/>
        <w:rPr>
          <w:sz w:val="24"/>
        </w:rPr>
      </w:pPr>
      <w:r>
        <w:rPr>
          <w:sz w:val="24"/>
        </w:rPr>
        <w:t>3）扩散速度快。制冷系统中氨的依度为99.8%，其存在于大于1.0Mpa的高压设备和小于0.35Mpa的低压设备之中，由于氨在正常大气压下的沸腾温度极低为-33.4C，而且复与水份可以任何比例相互得解，所以无论任何部位的设备、管道发生胞氨都可造成剧烈蒸发，强烈渗透，从而导致迅速扩散，高压液氨冲出即刻沸腾蒸发成为雾状在空气中迅速扩散、漫延，其扩散浓度与泄漏点的距离成反比。</w:t>
      </w:r>
    </w:p>
    <w:p>
      <w:pPr>
        <w:pStyle w:val="2"/>
        <w:rPr>
          <w:sz w:val="24"/>
        </w:rPr>
      </w:pPr>
      <w:r>
        <w:rPr>
          <w:sz w:val="24"/>
        </w:rPr>
        <w:t>4）氨极易溶于水和酸</w:t>
      </w:r>
    </w:p>
    <w:p>
      <w:pPr>
        <w:pStyle w:val="2"/>
        <w:rPr>
          <w:sz w:val="24"/>
        </w:rPr>
      </w:pPr>
      <w:r>
        <w:rPr>
          <w:sz w:val="24"/>
        </w:rPr>
        <w:t>氨可以任何比例与水互溶，1m</w:t>
      </w:r>
      <w:r>
        <w:rPr>
          <w:sz w:val="24"/>
          <w:vertAlign w:val="superscript"/>
        </w:rPr>
        <w:t>3</w:t>
      </w:r>
      <w:r>
        <w:rPr>
          <w:sz w:val="24"/>
        </w:rPr>
        <w:t>的水可溶解900m</w:t>
      </w:r>
      <w:r>
        <w:rPr>
          <w:sz w:val="24"/>
          <w:vertAlign w:val="superscript"/>
        </w:rPr>
        <w:t>3</w:t>
      </w:r>
      <w:r>
        <w:rPr>
          <w:sz w:val="24"/>
        </w:rPr>
        <w:t>的氨气。同时，碱性的氨也极易与酸性物质快速中和。</w:t>
      </w:r>
    </w:p>
    <w:p>
      <w:pPr>
        <w:pStyle w:val="2"/>
        <w:rPr>
          <w:sz w:val="24"/>
        </w:rPr>
      </w:pPr>
      <w:r>
        <w:rPr>
          <w:sz w:val="24"/>
        </w:rPr>
        <w:t>5）燃爆特点</w:t>
      </w:r>
    </w:p>
    <w:p>
      <w:pPr>
        <w:pStyle w:val="2"/>
        <w:rPr>
          <w:sz w:val="24"/>
        </w:rPr>
      </w:pPr>
      <w:r>
        <w:rPr>
          <w:sz w:val="24"/>
        </w:rPr>
        <w:t>氨蒸汽在空气中的含量达到一定比例，当容积比为15%~30%，浓度达到110~192ppm时，就与空气构成爆炸性混合气体，遇明火即刻发生爆炸；而且在0.2秒的时间内即可达到最高爆炸压力0.45Mpa。但在此浓度范围外构不成爆炸。超过上限的混合气体遇明火可燃烧。值得提出的是，此浓度在空旷的室外是较难发生的，但在机房和密封的冷库内却极容易形成。</w:t>
      </w:r>
    </w:p>
    <w:p>
      <w:pPr>
        <w:pStyle w:val="2"/>
        <w:rPr>
          <w:sz w:val="24"/>
        </w:rPr>
      </w:pPr>
      <w:r>
        <w:rPr>
          <w:sz w:val="24"/>
        </w:rPr>
        <w:t>虽然，氨具有毒性、可燃、可爆等特性，但是由于氨冷媒臭氧破坏系数和地球暖化系数值皆为零，加之氨制冷系统历史悠久，技术成熟、价格低廉、制冷系数高的特点，仍被当今誉为天然冷媒。</w:t>
      </w:r>
    </w:p>
    <w:p>
      <w:pPr>
        <w:pStyle w:val="2"/>
        <w:rPr>
          <w:sz w:val="24"/>
        </w:rPr>
      </w:pPr>
      <w:r>
        <w:rPr>
          <w:sz w:val="24"/>
        </w:rPr>
        <w:t>（2）重大危险源辨识</w:t>
      </w:r>
    </w:p>
    <w:p>
      <w:pPr>
        <w:pStyle w:val="2"/>
        <w:rPr>
          <w:sz w:val="24"/>
        </w:rPr>
      </w:pPr>
      <w:r>
        <w:rPr>
          <w:sz w:val="24"/>
        </w:rPr>
        <w:t>按照《危险化学品重大危险源辨识》（GB18218-2018）中的临界量表对屠宰车间液氨进行重大危险源辨识，结果见表7.4-1。</w:t>
      </w:r>
    </w:p>
    <w:p>
      <w:pPr>
        <w:spacing w:line="360" w:lineRule="auto"/>
        <w:jc w:val="center"/>
        <w:rPr>
          <w:rFonts w:hint="eastAsia" w:ascii="Times New Roman" w:hAnsi="Times New Roman" w:eastAsia="宋体" w:cs="Times New Roman"/>
          <w:b/>
          <w:sz w:val="24"/>
          <w:lang w:eastAsia="zh-CN"/>
        </w:rPr>
      </w:pPr>
      <w:r>
        <w:rPr>
          <w:rFonts w:ascii="Times New Roman" w:hAnsi="Times New Roman" w:eastAsia="宋体" w:cs="Times New Roman"/>
          <w:b/>
          <w:sz w:val="24"/>
        </w:rPr>
        <w:t>表</w:t>
      </w:r>
      <w:r>
        <w:rPr>
          <w:rFonts w:hint="eastAsia" w:ascii="Times New Roman" w:hAnsi="Times New Roman" w:eastAsia="宋体" w:cs="Times New Roman"/>
          <w:b/>
          <w:sz w:val="24"/>
          <w:lang w:val="en-US" w:eastAsia="zh-CN"/>
        </w:rPr>
        <w:t xml:space="preserve">7.4-1  </w:t>
      </w:r>
      <w:r>
        <w:rPr>
          <w:rFonts w:ascii="Times New Roman" w:hAnsi="Times New Roman" w:eastAsia="宋体" w:cs="Times New Roman"/>
          <w:b/>
          <w:sz w:val="24"/>
        </w:rPr>
        <w:tab/>
      </w:r>
      <w:r>
        <w:rPr>
          <w:rFonts w:hint="eastAsia" w:ascii="Times New Roman" w:hAnsi="Times New Roman" w:eastAsia="宋体" w:cs="Times New Roman"/>
          <w:b/>
          <w:sz w:val="24"/>
          <w:lang w:eastAsia="zh-CN"/>
        </w:rPr>
        <w:t>重大危险源辨识结果</w:t>
      </w:r>
    </w:p>
    <w:tbl>
      <w:tblPr>
        <w:tblStyle w:val="88"/>
        <w:tblW w:w="4999" w:type="pct"/>
        <w:tblInd w:w="0" w:type="dxa"/>
        <w:tblLayout w:type="autofit"/>
        <w:tblCellMar>
          <w:top w:w="0" w:type="dxa"/>
          <w:left w:w="0" w:type="dxa"/>
          <w:bottom w:w="0" w:type="dxa"/>
          <w:right w:w="0" w:type="dxa"/>
        </w:tblCellMar>
      </w:tblPr>
      <w:tblGrid>
        <w:gridCol w:w="2773"/>
        <w:gridCol w:w="2776"/>
        <w:gridCol w:w="2771"/>
      </w:tblGrid>
      <w:tr>
        <w:tblPrEx>
          <w:tblCellMar>
            <w:top w:w="0" w:type="dxa"/>
            <w:left w:w="0" w:type="dxa"/>
            <w:bottom w:w="0" w:type="dxa"/>
            <w:right w:w="0" w:type="dxa"/>
          </w:tblCellMar>
        </w:tblPrEx>
        <w:trPr>
          <w:trHeight w:val="323" w:hRule="exact"/>
        </w:trPr>
        <w:tc>
          <w:tcPr>
            <w:tcW w:w="3334" w:type="pct"/>
            <w:gridSpan w:val="2"/>
            <w:tcBorders>
              <w:top w:val="single" w:color="000000" w:sz="4" w:space="0"/>
              <w:left w:val="single" w:color="000000" w:sz="4" w:space="0"/>
              <w:bottom w:val="single" w:color="000000" w:sz="4" w:space="0"/>
              <w:right w:val="single" w:color="000000" w:sz="4" w:space="0"/>
            </w:tcBorders>
          </w:tcPr>
          <w:p>
            <w:pPr>
              <w:pStyle w:val="4069"/>
              <w:spacing w:line="261" w:lineRule="exact"/>
              <w:ind w:right="4"/>
              <w:jc w:val="center"/>
              <w:rPr>
                <w:rFonts w:ascii="宋体" w:hAnsi="宋体" w:eastAsia="宋体" w:cs="宋体"/>
                <w:sz w:val="21"/>
                <w:szCs w:val="21"/>
              </w:rPr>
            </w:pPr>
            <w:r>
              <w:rPr>
                <w:rFonts w:ascii="宋体" w:hAnsi="宋体" w:eastAsia="宋体" w:cs="宋体"/>
                <w:sz w:val="21"/>
                <w:szCs w:val="21"/>
              </w:rPr>
              <w:t>有毒物质名称</w:t>
            </w:r>
          </w:p>
        </w:tc>
        <w:tc>
          <w:tcPr>
            <w:tcW w:w="1665" w:type="pct"/>
            <w:tcBorders>
              <w:top w:val="single" w:color="000000" w:sz="4" w:space="0"/>
              <w:left w:val="single" w:color="000000" w:sz="4" w:space="0"/>
              <w:bottom w:val="single" w:color="000000" w:sz="4" w:space="0"/>
              <w:right w:val="single" w:color="000000" w:sz="4" w:space="0"/>
            </w:tcBorders>
          </w:tcPr>
          <w:p>
            <w:pPr>
              <w:pStyle w:val="4069"/>
              <w:spacing w:line="261" w:lineRule="exact"/>
              <w:ind w:right="3"/>
              <w:jc w:val="center"/>
              <w:rPr>
                <w:rFonts w:ascii="宋体" w:hAnsi="宋体" w:eastAsia="宋体" w:cs="宋体"/>
                <w:sz w:val="21"/>
                <w:szCs w:val="21"/>
              </w:rPr>
            </w:pPr>
            <w:r>
              <w:rPr>
                <w:rFonts w:ascii="宋体" w:hAnsi="宋体" w:eastAsia="宋体" w:cs="宋体"/>
                <w:spacing w:val="-1"/>
                <w:sz w:val="21"/>
                <w:szCs w:val="21"/>
              </w:rPr>
              <w:t>氨气</w:t>
            </w:r>
          </w:p>
        </w:tc>
      </w:tr>
      <w:tr>
        <w:tblPrEx>
          <w:tblCellMar>
            <w:top w:w="0" w:type="dxa"/>
            <w:left w:w="0" w:type="dxa"/>
            <w:bottom w:w="0" w:type="dxa"/>
            <w:right w:w="0" w:type="dxa"/>
          </w:tblCellMar>
        </w:tblPrEx>
        <w:trPr>
          <w:trHeight w:val="321" w:hRule="exact"/>
        </w:trPr>
        <w:tc>
          <w:tcPr>
            <w:tcW w:w="3334" w:type="pct"/>
            <w:gridSpan w:val="2"/>
            <w:tcBorders>
              <w:top w:val="single" w:color="000000" w:sz="4" w:space="0"/>
              <w:left w:val="single" w:color="000000" w:sz="4" w:space="0"/>
              <w:bottom w:val="single" w:color="000000" w:sz="4" w:space="0"/>
              <w:right w:val="single" w:color="000000" w:sz="4" w:space="0"/>
            </w:tcBorders>
          </w:tcPr>
          <w:p>
            <w:pPr>
              <w:pStyle w:val="4069"/>
              <w:spacing w:line="259" w:lineRule="exact"/>
              <w:ind w:left="-1" w:right="4"/>
              <w:jc w:val="center"/>
              <w:rPr>
                <w:rFonts w:ascii="宋体" w:hAnsi="宋体" w:eastAsia="宋体" w:cs="宋体"/>
                <w:sz w:val="21"/>
                <w:szCs w:val="21"/>
              </w:rPr>
            </w:pPr>
            <w:r>
              <w:rPr>
                <w:rFonts w:ascii="宋体" w:hAnsi="宋体" w:eastAsia="宋体" w:cs="宋体"/>
                <w:spacing w:val="-1"/>
                <w:sz w:val="21"/>
                <w:szCs w:val="21"/>
              </w:rPr>
              <w:t>性质</w:t>
            </w:r>
          </w:p>
        </w:tc>
        <w:tc>
          <w:tcPr>
            <w:tcW w:w="1665" w:type="pct"/>
            <w:tcBorders>
              <w:top w:val="single" w:color="000000" w:sz="4" w:space="0"/>
              <w:left w:val="single" w:color="000000" w:sz="4" w:space="0"/>
              <w:bottom w:val="single" w:color="000000" w:sz="4" w:space="0"/>
              <w:right w:val="single" w:color="000000" w:sz="4" w:space="0"/>
            </w:tcBorders>
          </w:tcPr>
          <w:p>
            <w:pPr>
              <w:pStyle w:val="4069"/>
              <w:spacing w:line="259" w:lineRule="exact"/>
              <w:ind w:right="1"/>
              <w:jc w:val="center"/>
              <w:rPr>
                <w:rFonts w:ascii="宋体" w:hAnsi="宋体" w:eastAsia="宋体" w:cs="宋体"/>
                <w:sz w:val="21"/>
                <w:szCs w:val="21"/>
              </w:rPr>
            </w:pPr>
            <w:r>
              <w:rPr>
                <w:rFonts w:ascii="宋体" w:hAnsi="宋体" w:eastAsia="宋体" w:cs="宋体"/>
                <w:sz w:val="21"/>
                <w:szCs w:val="21"/>
              </w:rPr>
              <w:t>有毒物质</w:t>
            </w:r>
          </w:p>
        </w:tc>
      </w:tr>
      <w:tr>
        <w:tblPrEx>
          <w:tblCellMar>
            <w:top w:w="0" w:type="dxa"/>
            <w:left w:w="0" w:type="dxa"/>
            <w:bottom w:w="0" w:type="dxa"/>
            <w:right w:w="0" w:type="dxa"/>
          </w:tblCellMar>
        </w:tblPrEx>
        <w:trPr>
          <w:trHeight w:val="321" w:hRule="exact"/>
        </w:trPr>
        <w:tc>
          <w:tcPr>
            <w:tcW w:w="3334" w:type="pct"/>
            <w:gridSpan w:val="2"/>
            <w:tcBorders>
              <w:top w:val="single" w:color="000000" w:sz="4" w:space="0"/>
              <w:left w:val="single" w:color="000000" w:sz="4" w:space="0"/>
              <w:bottom w:val="single" w:color="000000" w:sz="4" w:space="0"/>
              <w:right w:val="single" w:color="000000" w:sz="4" w:space="0"/>
            </w:tcBorders>
          </w:tcPr>
          <w:p>
            <w:pPr>
              <w:pStyle w:val="4069"/>
              <w:spacing w:line="276" w:lineRule="exact"/>
              <w:ind w:right="2"/>
              <w:jc w:val="center"/>
              <w:rPr>
                <w:rFonts w:ascii="宋体" w:hAnsi="宋体" w:eastAsia="宋体" w:cs="宋体"/>
                <w:sz w:val="21"/>
                <w:szCs w:val="21"/>
              </w:rPr>
            </w:pPr>
            <w:r>
              <w:rPr>
                <w:rFonts w:ascii="宋体" w:hAnsi="宋体" w:eastAsia="宋体" w:cs="宋体"/>
                <w:sz w:val="21"/>
                <w:szCs w:val="21"/>
              </w:rPr>
              <w:t>临界量（</w:t>
            </w:r>
            <w:r>
              <w:rPr>
                <w:rFonts w:ascii="Times New Roman" w:hAnsi="Times New Roman" w:eastAsia="Times New Roman" w:cs="Times New Roman"/>
                <w:sz w:val="21"/>
                <w:szCs w:val="21"/>
              </w:rPr>
              <w:t>t</w:t>
            </w:r>
            <w:r>
              <w:rPr>
                <w:rFonts w:ascii="宋体" w:hAnsi="宋体" w:eastAsia="宋体" w:cs="宋体"/>
                <w:sz w:val="21"/>
                <w:szCs w:val="21"/>
              </w:rPr>
              <w:t>）</w:t>
            </w:r>
          </w:p>
        </w:tc>
        <w:tc>
          <w:tcPr>
            <w:tcW w:w="1665" w:type="pct"/>
            <w:tcBorders>
              <w:top w:val="single" w:color="000000" w:sz="4" w:space="0"/>
              <w:left w:val="single" w:color="000000" w:sz="4" w:space="0"/>
              <w:bottom w:val="single" w:color="000000" w:sz="4" w:space="0"/>
              <w:right w:val="single" w:color="000000" w:sz="4" w:space="0"/>
            </w:tcBorders>
          </w:tcPr>
          <w:p>
            <w:pPr>
              <w:pStyle w:val="4069"/>
              <w:spacing w:before="34" w:line="240" w:lineRule="auto"/>
              <w:ind w:right="3"/>
              <w:jc w:val="center"/>
              <w:rPr>
                <w:rFonts w:ascii="Times New Roman" w:hAnsi="Times New Roman" w:eastAsia="Times New Roman" w:cs="Times New Roman"/>
                <w:sz w:val="21"/>
                <w:szCs w:val="21"/>
              </w:rPr>
            </w:pPr>
            <w:r>
              <w:rPr>
                <w:rFonts w:ascii="Times New Roman"/>
                <w:w w:val="85"/>
                <w:sz w:val="21"/>
              </w:rPr>
              <w:t>5</w:t>
            </w:r>
          </w:p>
        </w:tc>
      </w:tr>
      <w:tr>
        <w:tblPrEx>
          <w:tblCellMar>
            <w:top w:w="0" w:type="dxa"/>
            <w:left w:w="0" w:type="dxa"/>
            <w:bottom w:w="0" w:type="dxa"/>
            <w:right w:w="0" w:type="dxa"/>
          </w:tblCellMar>
        </w:tblPrEx>
        <w:trPr>
          <w:trHeight w:val="321" w:hRule="exact"/>
        </w:trPr>
        <w:tc>
          <w:tcPr>
            <w:tcW w:w="3334" w:type="pct"/>
            <w:gridSpan w:val="2"/>
            <w:tcBorders>
              <w:top w:val="single" w:color="000000" w:sz="4" w:space="0"/>
              <w:left w:val="single" w:color="000000" w:sz="4" w:space="0"/>
              <w:bottom w:val="single" w:color="000000" w:sz="4" w:space="0"/>
              <w:right w:val="single" w:color="000000" w:sz="4" w:space="0"/>
            </w:tcBorders>
          </w:tcPr>
          <w:p>
            <w:pPr>
              <w:pStyle w:val="4069"/>
              <w:spacing w:line="276" w:lineRule="exact"/>
              <w:ind w:left="1834" w:right="0"/>
              <w:jc w:val="left"/>
              <w:rPr>
                <w:rFonts w:ascii="宋体" w:hAnsi="宋体" w:eastAsia="宋体" w:cs="宋体"/>
                <w:sz w:val="21"/>
                <w:szCs w:val="21"/>
              </w:rPr>
            </w:pPr>
            <w:r>
              <w:rPr>
                <w:rFonts w:ascii="宋体" w:hAnsi="宋体" w:eastAsia="宋体" w:cs="宋体"/>
                <w:sz w:val="21"/>
                <w:szCs w:val="21"/>
              </w:rPr>
              <w:t>本项目使用、贮存量（</w:t>
            </w:r>
            <w:r>
              <w:rPr>
                <w:rFonts w:ascii="Times New Roman" w:hAnsi="Times New Roman" w:eastAsia="Times New Roman" w:cs="Times New Roman"/>
                <w:sz w:val="21"/>
                <w:szCs w:val="21"/>
              </w:rPr>
              <w:t>t</w:t>
            </w:r>
            <w:r>
              <w:rPr>
                <w:rFonts w:ascii="宋体" w:hAnsi="宋体" w:eastAsia="宋体" w:cs="宋体"/>
                <w:sz w:val="21"/>
                <w:szCs w:val="21"/>
              </w:rPr>
              <w:t>）</w:t>
            </w:r>
          </w:p>
        </w:tc>
        <w:tc>
          <w:tcPr>
            <w:tcW w:w="1665" w:type="pct"/>
            <w:tcBorders>
              <w:top w:val="single" w:color="000000" w:sz="4" w:space="0"/>
              <w:left w:val="single" w:color="000000" w:sz="4" w:space="0"/>
              <w:bottom w:val="single" w:color="000000" w:sz="4" w:space="0"/>
              <w:right w:val="single" w:color="000000" w:sz="4" w:space="0"/>
            </w:tcBorders>
          </w:tcPr>
          <w:p>
            <w:pPr>
              <w:pStyle w:val="4069"/>
              <w:spacing w:before="34" w:line="240" w:lineRule="auto"/>
              <w:ind w:right="1"/>
              <w:jc w:val="center"/>
              <w:rPr>
                <w:rFonts w:ascii="Times New Roman" w:hAnsi="Times New Roman" w:eastAsia="Times New Roman" w:cs="Times New Roman"/>
                <w:sz w:val="21"/>
                <w:szCs w:val="21"/>
              </w:rPr>
            </w:pPr>
            <w:r>
              <w:rPr>
                <w:rFonts w:ascii="Times New Roman"/>
                <w:w w:val="75"/>
                <w:sz w:val="21"/>
              </w:rPr>
              <w:t>1</w:t>
            </w:r>
          </w:p>
        </w:tc>
      </w:tr>
      <w:tr>
        <w:tblPrEx>
          <w:tblCellMar>
            <w:top w:w="0" w:type="dxa"/>
            <w:left w:w="0" w:type="dxa"/>
            <w:bottom w:w="0" w:type="dxa"/>
            <w:right w:w="0" w:type="dxa"/>
          </w:tblCellMar>
        </w:tblPrEx>
        <w:trPr>
          <w:trHeight w:val="324" w:hRule="exact"/>
        </w:trPr>
        <w:tc>
          <w:tcPr>
            <w:tcW w:w="1666" w:type="pct"/>
            <w:tcBorders>
              <w:top w:val="single" w:color="000000" w:sz="4" w:space="0"/>
              <w:left w:val="single" w:color="000000" w:sz="4" w:space="0"/>
              <w:bottom w:val="single" w:color="000000" w:sz="4" w:space="0"/>
              <w:right w:val="single" w:color="000000" w:sz="4" w:space="0"/>
            </w:tcBorders>
          </w:tcPr>
          <w:p>
            <w:pPr>
              <w:pStyle w:val="4069"/>
              <w:spacing w:line="261" w:lineRule="exact"/>
              <w:ind w:right="3"/>
              <w:jc w:val="center"/>
              <w:rPr>
                <w:rFonts w:ascii="宋体" w:hAnsi="宋体" w:eastAsia="宋体" w:cs="宋体"/>
                <w:sz w:val="21"/>
                <w:szCs w:val="21"/>
              </w:rPr>
            </w:pPr>
            <w:r>
              <w:rPr>
                <w:rFonts w:ascii="宋体" w:hAnsi="宋体" w:eastAsia="宋体" w:cs="宋体"/>
                <w:spacing w:val="-1"/>
                <w:sz w:val="21"/>
                <w:szCs w:val="21"/>
              </w:rPr>
              <w:t>结论</w:t>
            </w:r>
          </w:p>
        </w:tc>
        <w:tc>
          <w:tcPr>
            <w:tcW w:w="3333" w:type="pct"/>
            <w:gridSpan w:val="2"/>
            <w:tcBorders>
              <w:top w:val="single" w:color="000000" w:sz="4" w:space="0"/>
              <w:left w:val="single" w:color="000000" w:sz="4" w:space="0"/>
              <w:bottom w:val="single" w:color="000000" w:sz="4" w:space="0"/>
              <w:right w:val="single" w:color="000000" w:sz="4" w:space="0"/>
            </w:tcBorders>
          </w:tcPr>
          <w:p>
            <w:pPr>
              <w:pStyle w:val="4069"/>
              <w:spacing w:line="261" w:lineRule="exact"/>
              <w:ind w:right="5"/>
              <w:jc w:val="center"/>
              <w:rPr>
                <w:rFonts w:ascii="宋体" w:hAnsi="宋体" w:eastAsia="宋体" w:cs="宋体"/>
                <w:sz w:val="21"/>
                <w:szCs w:val="21"/>
              </w:rPr>
            </w:pPr>
            <w:r>
              <w:rPr>
                <w:rFonts w:ascii="宋体" w:hAnsi="宋体" w:eastAsia="宋体" w:cs="宋体"/>
                <w:sz w:val="21"/>
                <w:szCs w:val="21"/>
              </w:rPr>
              <w:t>不构成重大危险源</w:t>
            </w:r>
          </w:p>
        </w:tc>
      </w:tr>
    </w:tbl>
    <w:p>
      <w:pPr>
        <w:pStyle w:val="2"/>
        <w:rPr>
          <w:sz w:val="24"/>
        </w:rPr>
      </w:pPr>
      <w:r>
        <w:rPr>
          <w:sz w:val="24"/>
        </w:rPr>
        <w:t>从表7.</w:t>
      </w:r>
      <w:r>
        <w:rPr>
          <w:rFonts w:hint="eastAsia"/>
          <w:sz w:val="24"/>
          <w:lang w:val="en-US" w:eastAsia="zh-CN"/>
        </w:rPr>
        <w:t>4</w:t>
      </w:r>
      <w:r>
        <w:rPr>
          <w:sz w:val="24"/>
        </w:rPr>
        <w:t>-1可以看出，氨气不构成重大危险源，但考虑到氨气属于有毒物质，应加强管理，避免外泄。同时氨气有较强的挥发性，故在生产场所应避免氨气在装料时在空气中暴露，尽量减少氨的蒸发损失量。</w:t>
      </w:r>
    </w:p>
    <w:p>
      <w:pPr>
        <w:pStyle w:val="2"/>
        <w:rPr>
          <w:sz w:val="24"/>
        </w:rPr>
      </w:pPr>
      <w:r>
        <w:rPr>
          <w:sz w:val="24"/>
        </w:rPr>
        <w:t>（3）液氨泄露造成火灾、爆炸、毒性而引发的次生环境污染本项目采用蒸汽压缩重力供液循环系统，结冻、冷藏采用一个蒸发温度，并合用一个氨液分离器，以气、液调节阀控制库温度。本项目不在场内贮存液氨，冷库一次性充装液氨总计约1t，在设备液氨不足时临时采购进行补充。若蒸汽压缩重力供液循环系统发生泄漏，达到爆炸浓度时，极易产生火灾或爆炸事故，燃烧过程中产生大量浓烟，不完全燃烧时含大量浓烟，如火灾不能得到及时控制，火灾持续时间越长，对大气的污染程度越大；且在灭火过程中产生大量的消防废液，从而对当地水环境造成污染。</w:t>
      </w:r>
    </w:p>
    <w:p>
      <w:pPr>
        <w:pStyle w:val="6"/>
        <w:ind w:left="0" w:firstLine="0"/>
      </w:pPr>
      <w:bookmarkStart w:id="264" w:name="_Toc8226"/>
      <w:r>
        <w:rPr>
          <w:rFonts w:hint="eastAsia"/>
          <w:lang w:eastAsia="zh-CN"/>
        </w:rPr>
        <w:t>污废水环境风险分析</w:t>
      </w:r>
      <w:bookmarkEnd w:id="264"/>
    </w:p>
    <w:p>
      <w:pPr>
        <w:pStyle w:val="2"/>
        <w:rPr>
          <w:sz w:val="24"/>
        </w:rPr>
      </w:pPr>
      <w:r>
        <w:rPr>
          <w:sz w:val="24"/>
        </w:rPr>
        <w:t>本项目污水处理设施故障，便会造成屠宰废水无法有效处理，产生的废水有机物浓度含量很高，若发生输送管道破裂或老化等情形，项目所产生的高浓度废水可能泄漏至外环境造成地表水污染，废水通过渗透进入地下水环境，可能会污染厂区和周边区域地下水。同时可能对土壤的环境质量造成不良影响，导致场内绿植死亡，甚至影响人群牲畜的健康。</w:t>
      </w:r>
    </w:p>
    <w:p>
      <w:pPr>
        <w:pStyle w:val="2"/>
        <w:rPr>
          <w:sz w:val="24"/>
        </w:rPr>
      </w:pPr>
      <w:r>
        <w:rPr>
          <w:sz w:val="24"/>
        </w:rPr>
        <w:t>1）土壤环境风险分析</w:t>
      </w:r>
    </w:p>
    <w:p>
      <w:pPr>
        <w:pStyle w:val="2"/>
        <w:rPr>
          <w:sz w:val="24"/>
        </w:rPr>
      </w:pPr>
      <w:r>
        <w:rPr>
          <w:sz w:val="24"/>
        </w:rPr>
        <w:t>废水中高浓度的有机物和氨氮会使土壤环境质量严重恶化。当废水排放超过了土壤的自净能力，便会出现降解不完全和厌氧腐解，产生恶臭物质和亚硝酸盐等有害物质，引起土壤的组成和性状发生改变，破坏其原有的基本功能；作物徒长、倒伏、晚熟或不熟，造成减产、甚至毒害作物使之出现大面积腐烂。此外，土壤对病原微生物的自净能力下降，不仅增加了净化难度，而且易造成生物污染和疫病传播。</w:t>
      </w:r>
    </w:p>
    <w:p>
      <w:pPr>
        <w:pStyle w:val="2"/>
        <w:rPr>
          <w:sz w:val="24"/>
        </w:rPr>
      </w:pPr>
      <w:r>
        <w:rPr>
          <w:sz w:val="24"/>
        </w:rPr>
        <w:t>2）大气环境风险分析</w:t>
      </w:r>
    </w:p>
    <w:p>
      <w:pPr>
        <w:pStyle w:val="2"/>
        <w:rPr>
          <w:sz w:val="24"/>
        </w:rPr>
      </w:pPr>
      <w:r>
        <w:rPr>
          <w:sz w:val="24"/>
        </w:rPr>
        <w:t>废水会散发出高浓度的恶臭气体，造成空气中含氧量相对下降，污浊度升高，轻则降低空气质量、产生异味妨碍人畜健康生存；重则引起呼吸系统的疾病。</w:t>
      </w:r>
    </w:p>
    <w:p>
      <w:pPr>
        <w:pStyle w:val="2"/>
        <w:rPr>
          <w:sz w:val="24"/>
        </w:rPr>
      </w:pPr>
      <w:r>
        <w:rPr>
          <w:sz w:val="24"/>
        </w:rPr>
        <w:t>3）地表水环境风险分析</w:t>
      </w:r>
    </w:p>
    <w:p>
      <w:pPr>
        <w:pStyle w:val="2"/>
        <w:rPr>
          <w:rFonts w:ascii="Times New Roman" w:hAnsi="Times New Roman" w:eastAsia="宋体" w:cs="Times New Roman"/>
          <w:sz w:val="24"/>
        </w:rPr>
      </w:pPr>
      <w:r>
        <w:rPr>
          <w:sz w:val="24"/>
        </w:rPr>
        <w:t>屠宰过程中高浓度、未经处理的污水进入自然水体后，使水中固体悬浮物（SS）、有机物和微生物含量升高，改变水体的物理、化学和生物群落组成，使水质变坏。粪污中含有大量的病原微生物将通过水体或通过水生动植物进行扩散传播，危害</w:t>
      </w:r>
      <w:r>
        <w:rPr>
          <w:rFonts w:ascii="Times New Roman" w:hAnsi="Times New Roman" w:eastAsia="宋体" w:cs="Times New Roman"/>
          <w:sz w:val="24"/>
        </w:rPr>
        <w:t>人畜健康。此外，粪污中有机物生物降解和水生生物的繁殖大量消耗水体溶解氧（DO），使水体变黑发臭，水生生物死亡，导致水体“富营养化”，这种水体将不可能再得到恢复。</w:t>
      </w:r>
    </w:p>
    <w:p>
      <w:pPr>
        <w:pStyle w:val="2"/>
        <w:rPr>
          <w:rFonts w:ascii="Times New Roman" w:hAnsi="Times New Roman" w:eastAsia="宋体" w:cs="Times New Roman"/>
          <w:sz w:val="24"/>
        </w:rPr>
      </w:pPr>
      <w:r>
        <w:rPr>
          <w:rFonts w:ascii="Times New Roman" w:hAnsi="Times New Roman" w:eastAsia="宋体" w:cs="Times New Roman"/>
          <w:sz w:val="24"/>
        </w:rPr>
        <w:t>4）地下水环境风险分析</w:t>
      </w:r>
    </w:p>
    <w:p>
      <w:pPr>
        <w:pStyle w:val="2"/>
        <w:rPr>
          <w:sz w:val="24"/>
        </w:rPr>
      </w:pPr>
      <w:r>
        <w:rPr>
          <w:rFonts w:ascii="Times New Roman" w:hAnsi="Times New Roman" w:eastAsia="宋体" w:cs="Times New Roman"/>
          <w:sz w:val="24"/>
        </w:rPr>
        <w:t>未经处理的养殖废水直接灌溉土壤，部分氮、磷不仅随地表水体流失，流入江河污染地表水，且会渗入地下污染地下水。废水的有害成分进入地下水中，会使地下水溶解氧含量减少，严重时使水体发黑、变臭、失去使用价值。一旦污染了地下水，将极难治理恢复，造成较持久性的污染。</w:t>
      </w:r>
    </w:p>
    <w:p>
      <w:pPr>
        <w:pStyle w:val="6"/>
        <w:ind w:left="0" w:firstLine="0"/>
      </w:pPr>
      <w:bookmarkStart w:id="265" w:name="_Toc18580"/>
      <w:r>
        <w:rPr>
          <w:rFonts w:hint="eastAsia"/>
          <w:lang w:eastAsia="zh-CN"/>
        </w:rPr>
        <w:t>氯酸钠及盐酸环境风险分析</w:t>
      </w:r>
      <w:bookmarkEnd w:id="265"/>
    </w:p>
    <w:p>
      <w:pPr>
        <w:pStyle w:val="2"/>
        <w:rPr>
          <w:sz w:val="24"/>
        </w:rPr>
      </w:pPr>
      <w:r>
        <w:rPr>
          <w:sz w:val="24"/>
        </w:rPr>
        <w:t>（1）氯酸钠及盐酸特性</w:t>
      </w:r>
    </w:p>
    <w:p>
      <w:pPr>
        <w:pStyle w:val="2"/>
        <w:rPr>
          <w:sz w:val="24"/>
        </w:rPr>
      </w:pPr>
      <w:r>
        <w:rPr>
          <w:sz w:val="24"/>
        </w:rPr>
        <w:t>本工程加药间拟设氯酸钠储罐1台（根据类比，储罐容积按200L考虑，则最大储存量约0.27吨）、盐酸储罐1台(容积按200L考虑，则最大储存量约0.24吨)。氯酸钠及盐酸理化性质和危险特性详见表7.4-2、表7.4-3。</w:t>
      </w:r>
    </w:p>
    <w:p>
      <w:pPr>
        <w:pStyle w:val="2"/>
        <w:rPr>
          <w:sz w:val="24"/>
        </w:rPr>
      </w:pPr>
      <w:r>
        <w:rPr>
          <w:sz w:val="24"/>
        </w:rPr>
        <w:t>此外，二氧化氯通过发生器制备后直接通向清水池进行消毒，不存在贮存而引起大量泄漏风险，但制备过程中可能泄漏。类别同类型工程，二氧化氯发生量按0.4kg/h考虑。</w:t>
      </w:r>
    </w:p>
    <w:p>
      <w:pPr>
        <w:pStyle w:val="1659"/>
        <w:ind w:firstLine="0" w:firstLineChars="0"/>
        <w:jc w:val="center"/>
        <w:rPr>
          <w:rFonts w:ascii="Times New Roman" w:hAnsi="Times New Roman" w:eastAsia="宋体" w:cs="Times New Roman"/>
          <w:b/>
        </w:rPr>
      </w:pPr>
      <w:r>
        <w:rPr>
          <w:rFonts w:ascii="Times New Roman" w:hAnsi="Times New Roman" w:eastAsia="宋体" w:cs="Times New Roman"/>
          <w:b/>
        </w:rPr>
        <w:t>表 7.4-2</w:t>
      </w:r>
      <w:r>
        <w:rPr>
          <w:rFonts w:ascii="Times New Roman" w:hAnsi="Times New Roman" w:eastAsia="宋体" w:cs="Times New Roman"/>
          <w:b/>
        </w:rPr>
        <w:tab/>
      </w:r>
      <w:r>
        <w:rPr>
          <w:rFonts w:ascii="Times New Roman" w:hAnsi="Times New Roman" w:eastAsia="宋体" w:cs="Times New Roman"/>
          <w:b/>
        </w:rPr>
        <w:t>氯酸钠的理化性质和危险特性</w:t>
      </w:r>
    </w:p>
    <w:tbl>
      <w:tblPr>
        <w:tblStyle w:val="88"/>
        <w:tblW w:w="8366" w:type="dxa"/>
        <w:tblInd w:w="422" w:type="dxa"/>
        <w:tblLayout w:type="fixed"/>
        <w:tblCellMar>
          <w:top w:w="0" w:type="dxa"/>
          <w:left w:w="0" w:type="dxa"/>
          <w:bottom w:w="0" w:type="dxa"/>
          <w:right w:w="0" w:type="dxa"/>
        </w:tblCellMar>
      </w:tblPr>
      <w:tblGrid>
        <w:gridCol w:w="461"/>
        <w:gridCol w:w="1553"/>
        <w:gridCol w:w="1428"/>
        <w:gridCol w:w="1075"/>
        <w:gridCol w:w="1140"/>
        <w:gridCol w:w="204"/>
        <w:gridCol w:w="1135"/>
        <w:gridCol w:w="1370"/>
      </w:tblGrid>
      <w:tr>
        <w:tblPrEx>
          <w:tblCellMar>
            <w:top w:w="0" w:type="dxa"/>
            <w:left w:w="0" w:type="dxa"/>
            <w:bottom w:w="0" w:type="dxa"/>
            <w:right w:w="0" w:type="dxa"/>
          </w:tblCellMar>
        </w:tblPrEx>
        <w:trPr>
          <w:trHeight w:val="371" w:hRule="exact"/>
        </w:trPr>
        <w:tc>
          <w:tcPr>
            <w:tcW w:w="461" w:type="dxa"/>
            <w:vMerge w:val="restart"/>
            <w:tcBorders>
              <w:top w:val="single" w:color="000000" w:sz="10" w:space="0"/>
              <w:left w:val="single" w:color="000000" w:sz="6" w:space="0"/>
              <w:right w:val="single" w:color="000000" w:sz="4" w:space="0"/>
            </w:tcBorders>
          </w:tcPr>
          <w:p>
            <w:pPr>
              <w:pStyle w:val="4069"/>
              <w:spacing w:before="8" w:line="260" w:lineRule="exact"/>
              <w:ind w:right="0"/>
              <w:jc w:val="left"/>
              <w:rPr>
                <w:sz w:val="26"/>
                <w:szCs w:val="26"/>
              </w:rPr>
            </w:pPr>
          </w:p>
          <w:p>
            <w:pPr>
              <w:pStyle w:val="4069"/>
              <w:spacing w:line="275" w:lineRule="auto"/>
              <w:ind w:left="128" w:right="111"/>
              <w:jc w:val="left"/>
              <w:rPr>
                <w:rFonts w:ascii="宋体" w:hAnsi="宋体" w:eastAsia="宋体" w:cs="宋体"/>
                <w:sz w:val="21"/>
                <w:szCs w:val="21"/>
              </w:rPr>
            </w:pPr>
            <w:r>
              <w:rPr>
                <w:rFonts w:ascii="宋体" w:hAnsi="宋体" w:eastAsia="宋体" w:cs="宋体"/>
                <w:sz w:val="21"/>
                <w:szCs w:val="21"/>
              </w:rPr>
              <w:t>标</w:t>
            </w:r>
            <w:r>
              <w:rPr>
                <w:rFonts w:ascii="宋体" w:hAnsi="宋体" w:eastAsia="宋体" w:cs="宋体"/>
                <w:w w:val="99"/>
                <w:sz w:val="21"/>
                <w:szCs w:val="21"/>
              </w:rPr>
              <w:t xml:space="preserve"> </w:t>
            </w:r>
            <w:r>
              <w:rPr>
                <w:rFonts w:ascii="宋体" w:hAnsi="宋体" w:eastAsia="宋体" w:cs="宋体"/>
                <w:sz w:val="21"/>
                <w:szCs w:val="21"/>
              </w:rPr>
              <w:t>识</w:t>
            </w:r>
          </w:p>
        </w:tc>
        <w:tc>
          <w:tcPr>
            <w:tcW w:w="5400" w:type="dxa"/>
            <w:gridSpan w:val="5"/>
            <w:tcBorders>
              <w:top w:val="single" w:color="000000" w:sz="10" w:space="0"/>
              <w:left w:val="single" w:color="000000" w:sz="4" w:space="0"/>
              <w:bottom w:val="single" w:color="000000" w:sz="4" w:space="0"/>
              <w:right w:val="single" w:color="000000" w:sz="4" w:space="0"/>
            </w:tcBorders>
          </w:tcPr>
          <w:p>
            <w:pPr>
              <w:pStyle w:val="4069"/>
              <w:spacing w:before="25" w:line="240" w:lineRule="auto"/>
              <w:ind w:left="21" w:right="0"/>
              <w:jc w:val="center"/>
              <w:rPr>
                <w:rFonts w:ascii="宋体" w:hAnsi="宋体" w:eastAsia="宋体" w:cs="宋体"/>
                <w:sz w:val="21"/>
                <w:szCs w:val="21"/>
              </w:rPr>
            </w:pPr>
            <w:r>
              <w:rPr>
                <w:rFonts w:ascii="宋体" w:hAnsi="宋体" w:eastAsia="宋体" w:cs="宋体"/>
                <w:sz w:val="21"/>
                <w:szCs w:val="21"/>
              </w:rPr>
              <w:t>中文名：氯酸钠</w:t>
            </w:r>
          </w:p>
        </w:tc>
        <w:tc>
          <w:tcPr>
            <w:tcW w:w="2505" w:type="dxa"/>
            <w:gridSpan w:val="2"/>
            <w:tcBorders>
              <w:top w:val="single" w:color="000000" w:sz="10" w:space="0"/>
              <w:left w:val="single" w:color="000000" w:sz="4" w:space="0"/>
              <w:bottom w:val="single" w:color="000000" w:sz="4" w:space="0"/>
              <w:right w:val="single" w:color="000000" w:sz="6" w:space="0"/>
            </w:tcBorders>
          </w:tcPr>
          <w:p>
            <w:pPr>
              <w:pStyle w:val="4069"/>
              <w:spacing w:before="25" w:line="240" w:lineRule="auto"/>
              <w:ind w:left="375" w:right="0"/>
              <w:jc w:val="left"/>
              <w:rPr>
                <w:rFonts w:ascii="Times New Roman" w:hAnsi="Times New Roman" w:eastAsia="Times New Roman" w:cs="Times New Roman"/>
                <w:sz w:val="21"/>
                <w:szCs w:val="21"/>
              </w:rPr>
            </w:pPr>
            <w:r>
              <w:rPr>
                <w:rFonts w:ascii="宋体" w:hAnsi="宋体" w:eastAsia="宋体" w:cs="宋体"/>
                <w:sz w:val="21"/>
                <w:szCs w:val="21"/>
              </w:rPr>
              <w:t>危险货物编号：</w:t>
            </w:r>
            <w:r>
              <w:rPr>
                <w:rFonts w:ascii="Times New Roman" w:hAnsi="Times New Roman" w:eastAsia="Times New Roman" w:cs="Times New Roman"/>
                <w:sz w:val="21"/>
                <w:szCs w:val="21"/>
              </w:rPr>
              <w:t>51030</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right w:val="single" w:color="000000" w:sz="4" w:space="0"/>
            </w:tcBorders>
          </w:tcPr>
          <w:p/>
        </w:tc>
        <w:tc>
          <w:tcPr>
            <w:tcW w:w="5400" w:type="dxa"/>
            <w:gridSpan w:val="5"/>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2384" w:right="0"/>
              <w:jc w:val="left"/>
              <w:rPr>
                <w:rFonts w:ascii="Times New Roman" w:hAnsi="Times New Roman" w:eastAsia="Times New Roman" w:cs="Times New Roman"/>
                <w:sz w:val="21"/>
                <w:szCs w:val="21"/>
              </w:rPr>
            </w:pPr>
            <w:r>
              <w:rPr>
                <w:rFonts w:ascii="宋体" w:hAnsi="宋体" w:eastAsia="宋体" w:cs="宋体"/>
                <w:sz w:val="21"/>
                <w:szCs w:val="21"/>
              </w:rPr>
              <w:t>英文名：</w:t>
            </w:r>
            <w:r>
              <w:rPr>
                <w:rFonts w:ascii="Times New Roman" w:hAnsi="Times New Roman" w:eastAsia="Times New Roman" w:cs="Times New Roman"/>
                <w:sz w:val="21"/>
                <w:szCs w:val="21"/>
              </w:rPr>
              <w:t>Sodium</w:t>
            </w:r>
            <w:r>
              <w:rPr>
                <w:rFonts w:ascii="Times New Roman" w:hAnsi="Times New Roman" w:eastAsia="Times New Roman" w:cs="Times New Roman"/>
                <w:spacing w:val="-21"/>
                <w:sz w:val="21"/>
                <w:szCs w:val="21"/>
              </w:rPr>
              <w:t xml:space="preserve"> </w:t>
            </w:r>
            <w:r>
              <w:rPr>
                <w:rFonts w:ascii="Times New Roman" w:hAnsi="Times New Roman" w:eastAsia="Times New Roman" w:cs="Times New Roman"/>
                <w:sz w:val="21"/>
                <w:szCs w:val="21"/>
              </w:rPr>
              <w:t>chlorate</w:t>
            </w:r>
          </w:p>
        </w:tc>
        <w:tc>
          <w:tcPr>
            <w:tcW w:w="2505" w:type="dxa"/>
            <w:gridSpan w:val="2"/>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81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UN</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编号：</w:t>
            </w:r>
            <w:r>
              <w:rPr>
                <w:rFonts w:ascii="Times New Roman" w:hAnsi="Times New Roman" w:eastAsia="Times New Roman" w:cs="Times New Roman"/>
                <w:sz w:val="21"/>
                <w:szCs w:val="21"/>
              </w:rPr>
              <w:t>1495</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bottom w:val="single" w:color="000000" w:sz="4" w:space="0"/>
              <w:right w:val="single" w:color="000000" w:sz="4" w:space="0"/>
            </w:tcBorders>
          </w:tcPr>
          <w:p/>
        </w:tc>
        <w:tc>
          <w:tcPr>
            <w:tcW w:w="2981" w:type="dxa"/>
            <w:gridSpan w:val="2"/>
            <w:tcBorders>
              <w:top w:val="single" w:color="000000" w:sz="4" w:space="0"/>
              <w:left w:val="single" w:color="000000" w:sz="4" w:space="0"/>
              <w:bottom w:val="single" w:color="000000" w:sz="4" w:space="0"/>
              <w:right w:val="single" w:color="000000" w:sz="4" w:space="0"/>
            </w:tcBorders>
          </w:tcPr>
          <w:p>
            <w:pPr>
              <w:pStyle w:val="4069"/>
              <w:spacing w:line="301" w:lineRule="exact"/>
              <w:ind w:left="1088" w:right="0"/>
              <w:jc w:val="left"/>
              <w:rPr>
                <w:rFonts w:ascii="Times New Roman" w:hAnsi="Times New Roman" w:eastAsia="Times New Roman" w:cs="Times New Roman"/>
                <w:sz w:val="21"/>
                <w:szCs w:val="21"/>
              </w:rPr>
            </w:pPr>
            <w:r>
              <w:rPr>
                <w:rFonts w:ascii="宋体" w:hAnsi="宋体" w:eastAsia="宋体" w:cs="宋体"/>
                <w:sz w:val="21"/>
                <w:szCs w:val="21"/>
              </w:rPr>
              <w:t>分子式：</w:t>
            </w:r>
            <w:r>
              <w:rPr>
                <w:rFonts w:ascii="Times New Roman" w:hAnsi="Times New Roman" w:eastAsia="Times New Roman" w:cs="Times New Roman"/>
                <w:sz w:val="21"/>
                <w:szCs w:val="21"/>
              </w:rPr>
              <w:t>NaClO</w:t>
            </w:r>
            <w:r>
              <w:rPr>
                <w:rFonts w:ascii="Times New Roman" w:hAnsi="Times New Roman" w:eastAsia="Times New Roman" w:cs="Times New Roman"/>
                <w:position w:val="-1"/>
                <w:sz w:val="21"/>
                <w:szCs w:val="21"/>
              </w:rPr>
              <w:t>3</w:t>
            </w:r>
          </w:p>
        </w:tc>
        <w:tc>
          <w:tcPr>
            <w:tcW w:w="2419" w:type="dxa"/>
            <w:gridSpan w:val="3"/>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749" w:right="0"/>
              <w:jc w:val="left"/>
              <w:rPr>
                <w:rFonts w:ascii="Times New Roman" w:hAnsi="Times New Roman" w:eastAsia="Times New Roman" w:cs="Times New Roman"/>
                <w:sz w:val="21"/>
                <w:szCs w:val="21"/>
              </w:rPr>
            </w:pPr>
            <w:r>
              <w:rPr>
                <w:rFonts w:ascii="宋体" w:hAnsi="宋体" w:eastAsia="宋体" w:cs="宋体"/>
                <w:sz w:val="21"/>
                <w:szCs w:val="21"/>
              </w:rPr>
              <w:t>分子量：</w:t>
            </w:r>
            <w:r>
              <w:rPr>
                <w:rFonts w:ascii="Times New Roman" w:hAnsi="Times New Roman" w:eastAsia="Times New Roman" w:cs="Times New Roman"/>
                <w:sz w:val="21"/>
                <w:szCs w:val="21"/>
              </w:rPr>
              <w:t>106.45</w:t>
            </w:r>
          </w:p>
        </w:tc>
        <w:tc>
          <w:tcPr>
            <w:tcW w:w="2505" w:type="dxa"/>
            <w:gridSpan w:val="2"/>
            <w:tcBorders>
              <w:top w:val="single" w:color="000000" w:sz="4" w:space="0"/>
              <w:left w:val="single" w:color="000000" w:sz="4" w:space="0"/>
              <w:bottom w:val="single" w:color="000000" w:sz="4" w:space="0"/>
              <w:right w:val="single" w:color="000000" w:sz="6" w:space="0"/>
            </w:tcBorders>
          </w:tcPr>
          <w:p>
            <w:pPr>
              <w:pStyle w:val="4069"/>
              <w:spacing w:before="15" w:line="240" w:lineRule="auto"/>
              <w:ind w:left="55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CAS</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号：</w:t>
            </w:r>
            <w:r>
              <w:rPr>
                <w:rFonts w:ascii="Times New Roman" w:hAnsi="Times New Roman" w:eastAsia="Times New Roman" w:cs="Times New Roman"/>
                <w:sz w:val="21"/>
                <w:szCs w:val="21"/>
              </w:rPr>
              <w:t>7775-09-9</w:t>
            </w:r>
          </w:p>
        </w:tc>
      </w:tr>
      <w:tr>
        <w:tblPrEx>
          <w:tblCellMar>
            <w:top w:w="0" w:type="dxa"/>
            <w:left w:w="0" w:type="dxa"/>
            <w:bottom w:w="0" w:type="dxa"/>
            <w:right w:w="0" w:type="dxa"/>
          </w:tblCellMar>
        </w:tblPrEx>
        <w:trPr>
          <w:trHeight w:val="350" w:hRule="exact"/>
        </w:trPr>
        <w:tc>
          <w:tcPr>
            <w:tcW w:w="461" w:type="dxa"/>
            <w:vMerge w:val="restart"/>
            <w:tcBorders>
              <w:top w:val="single" w:color="000000" w:sz="4" w:space="0"/>
              <w:left w:val="single" w:color="000000" w:sz="6" w:space="0"/>
              <w:right w:val="single" w:color="000000" w:sz="4" w:space="0"/>
            </w:tcBorders>
          </w:tcPr>
          <w:p>
            <w:pPr>
              <w:pStyle w:val="4069"/>
              <w:spacing w:before="157" w:line="275" w:lineRule="auto"/>
              <w:ind w:left="128" w:right="111"/>
              <w:jc w:val="both"/>
              <w:rPr>
                <w:rFonts w:ascii="宋体" w:hAnsi="宋体" w:eastAsia="宋体" w:cs="宋体"/>
                <w:sz w:val="21"/>
                <w:szCs w:val="21"/>
              </w:rPr>
            </w:pPr>
            <w:r>
              <w:rPr>
                <w:rFonts w:ascii="宋体" w:hAnsi="宋体" w:eastAsia="宋体" w:cs="宋体"/>
                <w:sz w:val="21"/>
                <w:szCs w:val="21"/>
              </w:rPr>
              <w:t>理</w:t>
            </w:r>
            <w:r>
              <w:rPr>
                <w:rFonts w:ascii="宋体" w:hAnsi="宋体" w:eastAsia="宋体" w:cs="宋体"/>
                <w:w w:val="99"/>
                <w:sz w:val="21"/>
                <w:szCs w:val="21"/>
              </w:rPr>
              <w:t xml:space="preserve"> </w:t>
            </w:r>
            <w:r>
              <w:rPr>
                <w:rFonts w:ascii="宋体" w:hAnsi="宋体" w:eastAsia="宋体" w:cs="宋体"/>
                <w:sz w:val="21"/>
                <w:szCs w:val="21"/>
              </w:rPr>
              <w:t>化</w:t>
            </w:r>
            <w:r>
              <w:rPr>
                <w:rFonts w:ascii="宋体" w:hAnsi="宋体" w:eastAsia="宋体" w:cs="宋体"/>
                <w:w w:val="99"/>
                <w:sz w:val="21"/>
                <w:szCs w:val="21"/>
              </w:rPr>
              <w:t xml:space="preserve"> </w:t>
            </w:r>
            <w:r>
              <w:rPr>
                <w:rFonts w:ascii="宋体" w:hAnsi="宋体" w:eastAsia="宋体" w:cs="宋体"/>
                <w:sz w:val="21"/>
                <w:szCs w:val="21"/>
              </w:rPr>
              <w:t>性</w:t>
            </w:r>
            <w:r>
              <w:rPr>
                <w:rFonts w:ascii="宋体" w:hAnsi="宋体" w:eastAsia="宋体" w:cs="宋体"/>
                <w:w w:val="99"/>
                <w:sz w:val="21"/>
                <w:szCs w:val="21"/>
              </w:rPr>
              <w:t xml:space="preserve"> </w:t>
            </w:r>
            <w:r>
              <w:rPr>
                <w:rFonts w:ascii="宋体" w:hAnsi="宋体" w:eastAsia="宋体" w:cs="宋体"/>
                <w:sz w:val="21"/>
                <w:szCs w:val="21"/>
              </w:rPr>
              <w:t>质</w:t>
            </w: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257" w:right="0"/>
              <w:jc w:val="left"/>
              <w:rPr>
                <w:rFonts w:ascii="宋体" w:hAnsi="宋体" w:eastAsia="宋体" w:cs="宋体"/>
                <w:sz w:val="21"/>
                <w:szCs w:val="21"/>
              </w:rPr>
            </w:pPr>
            <w:r>
              <w:rPr>
                <w:rFonts w:ascii="宋体" w:hAnsi="宋体" w:eastAsia="宋体" w:cs="宋体"/>
                <w:sz w:val="21"/>
                <w:szCs w:val="21"/>
              </w:rPr>
              <w:t>外观与性状</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5" w:line="240" w:lineRule="auto"/>
              <w:ind w:left="2079" w:right="0"/>
              <w:jc w:val="left"/>
              <w:rPr>
                <w:rFonts w:ascii="宋体" w:hAnsi="宋体" w:eastAsia="宋体" w:cs="宋体"/>
                <w:sz w:val="21"/>
                <w:szCs w:val="21"/>
              </w:rPr>
            </w:pPr>
            <w:r>
              <w:rPr>
                <w:rFonts w:ascii="宋体" w:hAnsi="宋体" w:eastAsia="宋体" w:cs="宋体"/>
                <w:sz w:val="21"/>
                <w:szCs w:val="21"/>
              </w:rPr>
              <w:t>无色无臭结晶，味咸而凉，有潮解性。</w:t>
            </w:r>
          </w:p>
        </w:tc>
      </w:tr>
      <w:tr>
        <w:tblPrEx>
          <w:tblCellMar>
            <w:top w:w="0" w:type="dxa"/>
            <w:left w:w="0" w:type="dxa"/>
            <w:bottom w:w="0" w:type="dxa"/>
            <w:right w:w="0" w:type="dxa"/>
          </w:tblCellMar>
        </w:tblPrEx>
        <w:trPr>
          <w:trHeight w:val="525"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257" w:right="0"/>
              <w:jc w:val="left"/>
              <w:rPr>
                <w:rFonts w:ascii="宋体" w:hAnsi="宋体" w:eastAsia="宋体" w:cs="宋体"/>
                <w:sz w:val="21"/>
                <w:szCs w:val="21"/>
              </w:rPr>
            </w:pPr>
            <w:r>
              <w:rPr>
                <w:rFonts w:ascii="宋体" w:hAnsi="宋体" w:eastAsia="宋体" w:cs="宋体"/>
                <w:sz w:val="21"/>
                <w:szCs w:val="21"/>
              </w:rPr>
              <w:t>熔点（℃）</w:t>
            </w:r>
          </w:p>
        </w:tc>
        <w:tc>
          <w:tcPr>
            <w:tcW w:w="1428"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343" w:right="0"/>
              <w:jc w:val="left"/>
              <w:rPr>
                <w:rFonts w:ascii="Times New Roman" w:hAnsi="Times New Roman" w:eastAsia="Times New Roman" w:cs="Times New Roman"/>
                <w:sz w:val="21"/>
                <w:szCs w:val="21"/>
              </w:rPr>
            </w:pPr>
            <w:r>
              <w:rPr>
                <w:rFonts w:ascii="Times New Roman" w:hAnsi="Times New Roman" w:eastAsia="Times New Roman" w:cs="Times New Roman"/>
                <w:w w:val="85"/>
                <w:sz w:val="21"/>
                <w:szCs w:val="21"/>
              </w:rPr>
              <w:t>248</w:t>
            </w:r>
            <w:r>
              <w:rPr>
                <w:rFonts w:ascii="宋体" w:hAnsi="宋体" w:eastAsia="宋体" w:cs="宋体"/>
                <w:w w:val="85"/>
                <w:sz w:val="21"/>
                <w:szCs w:val="21"/>
              </w:rPr>
              <w:t>～</w:t>
            </w:r>
            <w:r>
              <w:rPr>
                <w:rFonts w:ascii="Times New Roman" w:hAnsi="Times New Roman" w:eastAsia="Times New Roman" w:cs="Times New Roman"/>
                <w:w w:val="85"/>
                <w:sz w:val="21"/>
                <w:szCs w:val="21"/>
              </w:rPr>
              <w:t>261</w:t>
            </w:r>
          </w:p>
        </w:tc>
        <w:tc>
          <w:tcPr>
            <w:tcW w:w="2419" w:type="dxa"/>
            <w:gridSpan w:val="3"/>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754" w:right="0"/>
              <w:jc w:val="left"/>
              <w:rPr>
                <w:rFonts w:ascii="Times New Roman" w:hAnsi="Times New Roman" w:eastAsia="Times New Roman" w:cs="Times New Roman"/>
                <w:sz w:val="21"/>
                <w:szCs w:val="21"/>
              </w:rPr>
            </w:pPr>
            <w:r>
              <w:rPr>
                <w:rFonts w:ascii="宋体" w:hAnsi="宋体" w:eastAsia="宋体" w:cs="宋体"/>
                <w:sz w:val="21"/>
                <w:szCs w:val="21"/>
              </w:rPr>
              <w:t>相对密度</w:t>
            </w:r>
            <w:r>
              <w:rPr>
                <w:rFonts w:ascii="Times New Roman" w:hAnsi="Times New Roman" w:eastAsia="Times New Roman" w:cs="Times New Roman"/>
                <w:sz w:val="21"/>
                <w:szCs w:val="21"/>
              </w:rPr>
              <w:t>(</w:t>
            </w:r>
            <w:r>
              <w:rPr>
                <w:rFonts w:ascii="宋体" w:hAnsi="宋体" w:eastAsia="宋体" w:cs="宋体"/>
                <w:sz w:val="21"/>
                <w:szCs w:val="21"/>
              </w:rPr>
              <w:t>水</w:t>
            </w:r>
            <w:r>
              <w:rPr>
                <w:rFonts w:ascii="Times New Roman" w:hAnsi="Times New Roman" w:eastAsia="Times New Roman" w:cs="Times New Roman"/>
                <w:sz w:val="21"/>
                <w:szCs w:val="21"/>
              </w:rPr>
              <w:t>=1)</w:t>
            </w:r>
          </w:p>
        </w:tc>
        <w:tc>
          <w:tcPr>
            <w:tcW w:w="2505" w:type="dxa"/>
            <w:gridSpan w:val="2"/>
            <w:tcBorders>
              <w:top w:val="single" w:color="000000" w:sz="4" w:space="0"/>
              <w:left w:val="single" w:color="000000" w:sz="4" w:space="0"/>
              <w:bottom w:val="single" w:color="000000" w:sz="4" w:space="0"/>
              <w:right w:val="single" w:color="000000" w:sz="6" w:space="0"/>
            </w:tcBorders>
          </w:tcPr>
          <w:p>
            <w:pPr>
              <w:pStyle w:val="4069"/>
              <w:spacing w:before="160" w:line="240" w:lineRule="auto"/>
              <w:ind w:left="34" w:right="0"/>
              <w:jc w:val="center"/>
              <w:rPr>
                <w:rFonts w:ascii="Times New Roman" w:hAnsi="Times New Roman" w:eastAsia="Times New Roman" w:cs="Times New Roman"/>
                <w:sz w:val="21"/>
                <w:szCs w:val="21"/>
              </w:rPr>
            </w:pPr>
            <w:r>
              <w:rPr>
                <w:rFonts w:ascii="Times New Roman"/>
                <w:w w:val="85"/>
                <w:sz w:val="21"/>
              </w:rPr>
              <w:t>2</w:t>
            </w:r>
            <w:r>
              <w:rPr>
                <w:rFonts w:ascii="Times New Roman"/>
                <w:spacing w:val="1"/>
                <w:w w:val="85"/>
                <w:sz w:val="21"/>
              </w:rPr>
              <w:t>.</w:t>
            </w:r>
            <w:r>
              <w:rPr>
                <w:rFonts w:ascii="Times New Roman"/>
                <w:w w:val="85"/>
                <w:sz w:val="21"/>
              </w:rPr>
              <w:t>49</w:t>
            </w:r>
          </w:p>
        </w:tc>
      </w:tr>
      <w:tr>
        <w:tblPrEx>
          <w:tblCellMar>
            <w:top w:w="0" w:type="dxa"/>
            <w:left w:w="0" w:type="dxa"/>
            <w:bottom w:w="0" w:type="dxa"/>
            <w:right w:w="0" w:type="dxa"/>
          </w:tblCellMar>
        </w:tblPrEx>
        <w:trPr>
          <w:trHeight w:val="527"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257" w:right="0"/>
              <w:jc w:val="left"/>
              <w:rPr>
                <w:rFonts w:ascii="宋体" w:hAnsi="宋体" w:eastAsia="宋体" w:cs="宋体"/>
                <w:sz w:val="21"/>
                <w:szCs w:val="21"/>
              </w:rPr>
            </w:pPr>
            <w:r>
              <w:rPr>
                <w:rFonts w:ascii="宋体" w:hAnsi="宋体" w:eastAsia="宋体" w:cs="宋体"/>
                <w:sz w:val="21"/>
                <w:szCs w:val="21"/>
              </w:rPr>
              <w:t>沸点（℃）</w:t>
            </w:r>
          </w:p>
        </w:tc>
        <w:tc>
          <w:tcPr>
            <w:tcW w:w="1428"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90" w:right="471"/>
              <w:jc w:val="center"/>
              <w:rPr>
                <w:rFonts w:ascii="宋体" w:hAnsi="宋体" w:eastAsia="宋体" w:cs="宋体"/>
                <w:sz w:val="21"/>
                <w:szCs w:val="21"/>
              </w:rPr>
            </w:pPr>
            <w:r>
              <w:rPr>
                <w:rFonts w:ascii="宋体" w:hAnsi="宋体" w:eastAsia="宋体" w:cs="宋体"/>
                <w:spacing w:val="-1"/>
                <w:sz w:val="21"/>
                <w:szCs w:val="21"/>
              </w:rPr>
              <w:t>分解</w:t>
            </w:r>
          </w:p>
        </w:tc>
        <w:tc>
          <w:tcPr>
            <w:tcW w:w="2419" w:type="dxa"/>
            <w:gridSpan w:val="3"/>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687" w:right="0"/>
              <w:jc w:val="left"/>
              <w:rPr>
                <w:rFonts w:ascii="Times New Roman" w:hAnsi="Times New Roman" w:eastAsia="Times New Roman" w:cs="Times New Roman"/>
                <w:sz w:val="21"/>
                <w:szCs w:val="21"/>
              </w:rPr>
            </w:pPr>
            <w:r>
              <w:rPr>
                <w:rFonts w:ascii="宋体" w:hAnsi="宋体" w:eastAsia="宋体" w:cs="宋体"/>
                <w:sz w:val="21"/>
                <w:szCs w:val="21"/>
              </w:rPr>
              <w:t>饱和蒸气压</w:t>
            </w:r>
            <w:r>
              <w:rPr>
                <w:rFonts w:ascii="Times New Roman" w:hAnsi="Times New Roman" w:eastAsia="Times New Roman" w:cs="Times New Roman"/>
                <w:sz w:val="21"/>
                <w:szCs w:val="21"/>
              </w:rPr>
              <w:t>(kPa)</w:t>
            </w:r>
          </w:p>
        </w:tc>
        <w:tc>
          <w:tcPr>
            <w:tcW w:w="2505" w:type="dxa"/>
            <w:gridSpan w:val="2"/>
            <w:tcBorders>
              <w:top w:val="single" w:color="000000" w:sz="4" w:space="0"/>
              <w:left w:val="single" w:color="000000" w:sz="4" w:space="0"/>
              <w:bottom w:val="single" w:color="000000" w:sz="4" w:space="0"/>
              <w:right w:val="single" w:color="000000" w:sz="6" w:space="0"/>
            </w:tcBorders>
          </w:tcPr>
          <w:p>
            <w:pPr>
              <w:pStyle w:val="4069"/>
              <w:spacing w:before="163" w:line="240" w:lineRule="auto"/>
              <w:ind w:left="32" w:right="0"/>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bottom w:val="single" w:color="000000" w:sz="4"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466" w:right="0"/>
              <w:jc w:val="left"/>
              <w:rPr>
                <w:rFonts w:ascii="宋体" w:hAnsi="宋体" w:eastAsia="宋体" w:cs="宋体"/>
                <w:sz w:val="21"/>
                <w:szCs w:val="21"/>
              </w:rPr>
            </w:pPr>
            <w:r>
              <w:rPr>
                <w:rFonts w:ascii="宋体" w:hAnsi="宋体" w:eastAsia="宋体" w:cs="宋体"/>
                <w:sz w:val="21"/>
                <w:szCs w:val="21"/>
              </w:rPr>
              <w:t>溶解性</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5" w:line="240" w:lineRule="auto"/>
              <w:ind w:left="3024" w:right="0"/>
              <w:jc w:val="left"/>
              <w:rPr>
                <w:rFonts w:ascii="宋体" w:hAnsi="宋体" w:eastAsia="宋体" w:cs="宋体"/>
                <w:sz w:val="21"/>
                <w:szCs w:val="21"/>
              </w:rPr>
            </w:pPr>
            <w:r>
              <w:rPr>
                <w:rFonts w:ascii="宋体" w:hAnsi="宋体" w:eastAsia="宋体" w:cs="宋体"/>
                <w:sz w:val="21"/>
                <w:szCs w:val="21"/>
              </w:rPr>
              <w:t>易溶于水，微溶于乙醇。</w:t>
            </w:r>
          </w:p>
        </w:tc>
      </w:tr>
      <w:tr>
        <w:tblPrEx>
          <w:tblCellMar>
            <w:top w:w="0" w:type="dxa"/>
            <w:left w:w="0" w:type="dxa"/>
            <w:bottom w:w="0" w:type="dxa"/>
            <w:right w:w="0" w:type="dxa"/>
          </w:tblCellMar>
        </w:tblPrEx>
        <w:trPr>
          <w:trHeight w:val="350" w:hRule="exact"/>
        </w:trPr>
        <w:tc>
          <w:tcPr>
            <w:tcW w:w="461" w:type="dxa"/>
            <w:vMerge w:val="restart"/>
            <w:tcBorders>
              <w:top w:val="single" w:color="000000" w:sz="4" w:space="0"/>
              <w:left w:val="single" w:color="000000" w:sz="6" w:space="0"/>
              <w:right w:val="single" w:color="000000" w:sz="4" w:space="0"/>
            </w:tcBorders>
          </w:tcPr>
          <w:p>
            <w:pPr>
              <w:pStyle w:val="4069"/>
              <w:spacing w:before="7" w:line="220" w:lineRule="exact"/>
              <w:ind w:right="0"/>
              <w:jc w:val="left"/>
              <w:rPr>
                <w:sz w:val="22"/>
                <w:szCs w:val="22"/>
              </w:rPr>
            </w:pPr>
          </w:p>
          <w:p>
            <w:pPr>
              <w:pStyle w:val="4069"/>
              <w:spacing w:line="275" w:lineRule="auto"/>
              <w:ind w:left="128" w:right="111"/>
              <w:jc w:val="both"/>
              <w:rPr>
                <w:rFonts w:ascii="宋体" w:hAnsi="宋体" w:eastAsia="宋体" w:cs="宋体"/>
                <w:sz w:val="21"/>
                <w:szCs w:val="21"/>
              </w:rPr>
            </w:pPr>
            <w:r>
              <w:rPr>
                <w:rFonts w:ascii="宋体" w:hAnsi="宋体" w:eastAsia="宋体" w:cs="宋体"/>
                <w:sz w:val="21"/>
                <w:szCs w:val="21"/>
              </w:rPr>
              <w:t>毒</w:t>
            </w:r>
            <w:r>
              <w:rPr>
                <w:rFonts w:ascii="宋体" w:hAnsi="宋体" w:eastAsia="宋体" w:cs="宋体"/>
                <w:w w:val="99"/>
                <w:sz w:val="21"/>
                <w:szCs w:val="21"/>
              </w:rPr>
              <w:t xml:space="preserve"> </w:t>
            </w:r>
            <w:r>
              <w:rPr>
                <w:rFonts w:ascii="宋体" w:hAnsi="宋体" w:eastAsia="宋体" w:cs="宋体"/>
                <w:sz w:val="21"/>
                <w:szCs w:val="21"/>
              </w:rPr>
              <w:t>性</w:t>
            </w:r>
            <w:r>
              <w:rPr>
                <w:rFonts w:ascii="宋体" w:hAnsi="宋体" w:eastAsia="宋体" w:cs="宋体"/>
                <w:w w:val="99"/>
                <w:sz w:val="21"/>
                <w:szCs w:val="21"/>
              </w:rPr>
              <w:t xml:space="preserve"> </w:t>
            </w:r>
            <w:r>
              <w:rPr>
                <w:rFonts w:ascii="宋体" w:hAnsi="宋体" w:eastAsia="宋体" w:cs="宋体"/>
                <w:sz w:val="21"/>
                <w:szCs w:val="21"/>
              </w:rPr>
              <w:t>及</w:t>
            </w:r>
            <w:r>
              <w:rPr>
                <w:rFonts w:ascii="宋体" w:hAnsi="宋体" w:eastAsia="宋体" w:cs="宋体"/>
                <w:w w:val="99"/>
                <w:sz w:val="21"/>
                <w:szCs w:val="21"/>
              </w:rPr>
              <w:t xml:space="preserve"> </w:t>
            </w:r>
            <w:r>
              <w:rPr>
                <w:rFonts w:ascii="宋体" w:hAnsi="宋体" w:eastAsia="宋体" w:cs="宋体"/>
                <w:sz w:val="21"/>
                <w:szCs w:val="21"/>
              </w:rPr>
              <w:t>健</w:t>
            </w:r>
            <w:r>
              <w:rPr>
                <w:rFonts w:ascii="宋体" w:hAnsi="宋体" w:eastAsia="宋体" w:cs="宋体"/>
                <w:w w:val="99"/>
                <w:sz w:val="21"/>
                <w:szCs w:val="21"/>
              </w:rPr>
              <w:t xml:space="preserve"> </w:t>
            </w:r>
            <w:r>
              <w:rPr>
                <w:rFonts w:ascii="宋体" w:hAnsi="宋体" w:eastAsia="宋体" w:cs="宋体"/>
                <w:sz w:val="21"/>
                <w:szCs w:val="21"/>
              </w:rPr>
              <w:t>康</w:t>
            </w:r>
            <w:r>
              <w:rPr>
                <w:rFonts w:ascii="宋体" w:hAnsi="宋体" w:eastAsia="宋体" w:cs="宋体"/>
                <w:w w:val="99"/>
                <w:sz w:val="21"/>
                <w:szCs w:val="21"/>
              </w:rPr>
              <w:t xml:space="preserve"> </w:t>
            </w:r>
            <w:r>
              <w:rPr>
                <w:rFonts w:ascii="宋体" w:hAnsi="宋体" w:eastAsia="宋体" w:cs="宋体"/>
                <w:sz w:val="21"/>
                <w:szCs w:val="21"/>
              </w:rPr>
              <w:t>危</w:t>
            </w:r>
            <w:r>
              <w:rPr>
                <w:rFonts w:ascii="宋体" w:hAnsi="宋体" w:eastAsia="宋体" w:cs="宋体"/>
                <w:w w:val="99"/>
                <w:sz w:val="21"/>
                <w:szCs w:val="21"/>
              </w:rPr>
              <w:t xml:space="preserve"> </w:t>
            </w:r>
            <w:r>
              <w:rPr>
                <w:rFonts w:ascii="宋体" w:hAnsi="宋体" w:eastAsia="宋体" w:cs="宋体"/>
                <w:sz w:val="21"/>
                <w:szCs w:val="21"/>
              </w:rPr>
              <w:t>害</w:t>
            </w: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360" w:right="0"/>
              <w:jc w:val="left"/>
              <w:rPr>
                <w:rFonts w:ascii="宋体" w:hAnsi="宋体" w:eastAsia="宋体" w:cs="宋体"/>
                <w:sz w:val="21"/>
                <w:szCs w:val="21"/>
              </w:rPr>
            </w:pPr>
            <w:r>
              <w:rPr>
                <w:rFonts w:ascii="宋体" w:hAnsi="宋体" w:eastAsia="宋体" w:cs="宋体"/>
                <w:sz w:val="21"/>
                <w:szCs w:val="21"/>
              </w:rPr>
              <w:t>侵入途径</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5" w:line="240" w:lineRule="auto"/>
              <w:ind w:left="3183" w:right="0"/>
              <w:jc w:val="left"/>
              <w:rPr>
                <w:rFonts w:ascii="宋体" w:hAnsi="宋体" w:eastAsia="宋体" w:cs="宋体"/>
                <w:sz w:val="21"/>
                <w:szCs w:val="21"/>
              </w:rPr>
            </w:pPr>
            <w:r>
              <w:rPr>
                <w:rFonts w:ascii="宋体" w:hAnsi="宋体" w:eastAsia="宋体" w:cs="宋体"/>
                <w:sz w:val="21"/>
                <w:szCs w:val="21"/>
              </w:rPr>
              <w:t>吸入、食入、经皮吸收</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18" w:right="0"/>
              <w:jc w:val="center"/>
              <w:rPr>
                <w:rFonts w:ascii="宋体" w:hAnsi="宋体" w:eastAsia="宋体" w:cs="宋体"/>
                <w:sz w:val="21"/>
                <w:szCs w:val="21"/>
              </w:rPr>
            </w:pPr>
            <w:r>
              <w:rPr>
                <w:rFonts w:ascii="宋体" w:hAnsi="宋体" w:eastAsia="宋体" w:cs="宋体"/>
                <w:spacing w:val="-1"/>
                <w:sz w:val="21"/>
                <w:szCs w:val="21"/>
              </w:rPr>
              <w:t>毒性</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line="301" w:lineRule="exact"/>
              <w:ind w:left="2643" w:right="0"/>
              <w:jc w:val="left"/>
              <w:rPr>
                <w:rFonts w:ascii="宋体" w:hAnsi="宋体" w:eastAsia="宋体" w:cs="宋体"/>
                <w:sz w:val="21"/>
                <w:szCs w:val="21"/>
              </w:rPr>
            </w:pPr>
            <w:r>
              <w:rPr>
                <w:rFonts w:ascii="Times New Roman" w:hAnsi="Times New Roman" w:eastAsia="Times New Roman" w:cs="Times New Roman"/>
                <w:position w:val="2"/>
                <w:sz w:val="21"/>
                <w:szCs w:val="21"/>
              </w:rPr>
              <w:t>LD</w:t>
            </w:r>
            <w:r>
              <w:rPr>
                <w:rFonts w:ascii="Times New Roman" w:hAnsi="Times New Roman" w:eastAsia="Times New Roman" w:cs="Times New Roman"/>
                <w:sz w:val="21"/>
                <w:szCs w:val="21"/>
              </w:rPr>
              <w:t>50</w:t>
            </w:r>
            <w:r>
              <w:rPr>
                <w:rFonts w:ascii="宋体" w:hAnsi="宋体" w:eastAsia="宋体" w:cs="宋体"/>
                <w:position w:val="2"/>
                <w:sz w:val="21"/>
                <w:szCs w:val="21"/>
              </w:rPr>
              <w:t>：</w:t>
            </w:r>
            <w:r>
              <w:rPr>
                <w:rFonts w:ascii="Times New Roman" w:hAnsi="Times New Roman" w:eastAsia="Times New Roman" w:cs="Times New Roman"/>
                <w:position w:val="2"/>
                <w:sz w:val="21"/>
                <w:szCs w:val="21"/>
              </w:rPr>
              <w:t>1200mg/kg(</w:t>
            </w:r>
            <w:r>
              <w:rPr>
                <w:rFonts w:ascii="宋体" w:hAnsi="宋体" w:eastAsia="宋体" w:cs="宋体"/>
                <w:position w:val="2"/>
                <w:sz w:val="21"/>
                <w:szCs w:val="21"/>
              </w:rPr>
              <w:t>大鼠经口</w:t>
            </w:r>
            <w:r>
              <w:rPr>
                <w:rFonts w:ascii="Times New Roman" w:hAnsi="Times New Roman" w:eastAsia="Times New Roman" w:cs="Times New Roman"/>
                <w:position w:val="2"/>
                <w:sz w:val="21"/>
                <w:szCs w:val="21"/>
              </w:rPr>
              <w:t>)</w:t>
            </w:r>
            <w:r>
              <w:rPr>
                <w:rFonts w:ascii="宋体" w:hAnsi="宋体" w:eastAsia="宋体" w:cs="宋体"/>
                <w:position w:val="2"/>
                <w:sz w:val="21"/>
                <w:szCs w:val="21"/>
              </w:rPr>
              <w:t>。</w:t>
            </w:r>
          </w:p>
        </w:tc>
      </w:tr>
      <w:tr>
        <w:tblPrEx>
          <w:tblCellMar>
            <w:top w:w="0" w:type="dxa"/>
            <w:left w:w="0" w:type="dxa"/>
            <w:bottom w:w="0" w:type="dxa"/>
            <w:right w:w="0" w:type="dxa"/>
          </w:tblCellMar>
        </w:tblPrEx>
        <w:trPr>
          <w:trHeight w:val="650"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00" w:line="240" w:lineRule="auto"/>
              <w:ind w:left="360" w:right="0"/>
              <w:jc w:val="left"/>
              <w:rPr>
                <w:rFonts w:ascii="宋体" w:hAnsi="宋体" w:eastAsia="宋体" w:cs="宋体"/>
                <w:sz w:val="21"/>
                <w:szCs w:val="21"/>
              </w:rPr>
            </w:pPr>
            <w:r>
              <w:rPr>
                <w:rFonts w:ascii="宋体" w:hAnsi="宋体" w:eastAsia="宋体" w:cs="宋体"/>
                <w:sz w:val="21"/>
                <w:szCs w:val="21"/>
              </w:rPr>
              <w:t>健康危害</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4" w:line="284" w:lineRule="auto"/>
              <w:ind w:left="751" w:right="27" w:hanging="737"/>
              <w:jc w:val="left"/>
              <w:rPr>
                <w:rFonts w:ascii="宋体" w:hAnsi="宋体" w:eastAsia="宋体" w:cs="宋体"/>
                <w:sz w:val="21"/>
                <w:szCs w:val="21"/>
              </w:rPr>
            </w:pPr>
            <w:r>
              <w:rPr>
                <w:rFonts w:ascii="宋体" w:hAnsi="宋体" w:eastAsia="宋体" w:cs="宋体"/>
                <w:w w:val="95"/>
                <w:sz w:val="21"/>
                <w:szCs w:val="21"/>
              </w:rPr>
              <w:t>本品粉尘对呼吸道、眼及皮肤有刺激性。口服急性中毒，表现为高铁</w:t>
            </w:r>
            <w:r>
              <w:rPr>
                <w:rFonts w:ascii="宋体" w:hAnsi="宋体" w:eastAsia="宋体" w:cs="宋体"/>
                <w:spacing w:val="26"/>
                <w:w w:val="99"/>
                <w:sz w:val="21"/>
                <w:szCs w:val="21"/>
              </w:rPr>
              <w:t xml:space="preserve"> </w:t>
            </w:r>
            <w:r>
              <w:rPr>
                <w:rFonts w:ascii="宋体" w:hAnsi="宋体" w:eastAsia="宋体" w:cs="宋体"/>
                <w:sz w:val="21"/>
                <w:szCs w:val="21"/>
              </w:rPr>
              <w:t>血红蛋白血症，胃肠炎，肝肾损伤，甚至发生窒息。</w:t>
            </w:r>
          </w:p>
        </w:tc>
      </w:tr>
      <w:tr>
        <w:tblPrEx>
          <w:tblCellMar>
            <w:top w:w="0" w:type="dxa"/>
            <w:left w:w="0" w:type="dxa"/>
            <w:bottom w:w="0" w:type="dxa"/>
            <w:right w:w="0" w:type="dxa"/>
          </w:tblCellMar>
        </w:tblPrEx>
        <w:trPr>
          <w:trHeight w:val="1290" w:hRule="exact"/>
        </w:trPr>
        <w:tc>
          <w:tcPr>
            <w:tcW w:w="461" w:type="dxa"/>
            <w:vMerge w:val="continue"/>
            <w:tcBorders>
              <w:left w:val="single" w:color="000000" w:sz="6" w:space="0"/>
              <w:bottom w:val="single" w:color="000000" w:sz="4"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5" w:line="140" w:lineRule="exact"/>
              <w:ind w:right="0"/>
              <w:jc w:val="left"/>
              <w:rPr>
                <w:sz w:val="14"/>
                <w:szCs w:val="14"/>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360" w:right="0"/>
              <w:jc w:val="left"/>
              <w:rPr>
                <w:rFonts w:ascii="宋体" w:hAnsi="宋体" w:eastAsia="宋体" w:cs="宋体"/>
                <w:sz w:val="21"/>
                <w:szCs w:val="21"/>
              </w:rPr>
            </w:pPr>
            <w:r>
              <w:rPr>
                <w:rFonts w:ascii="宋体" w:hAnsi="宋体" w:eastAsia="宋体" w:cs="宋体"/>
                <w:sz w:val="21"/>
                <w:szCs w:val="21"/>
              </w:rPr>
              <w:t>急救措施</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4" w:line="282" w:lineRule="auto"/>
              <w:ind w:left="0" w:right="7"/>
              <w:jc w:val="both"/>
              <w:rPr>
                <w:rFonts w:ascii="宋体" w:hAnsi="宋体" w:eastAsia="宋体" w:cs="宋体"/>
                <w:sz w:val="21"/>
                <w:szCs w:val="21"/>
              </w:rPr>
            </w:pPr>
            <w:r>
              <w:rPr>
                <w:rFonts w:ascii="宋体" w:hAnsi="宋体" w:eastAsia="宋体" w:cs="宋体"/>
                <w:w w:val="95"/>
                <w:sz w:val="21"/>
                <w:szCs w:val="21"/>
              </w:rPr>
              <w:t>①皮肤接触：脱去污染的衣着，用大量流动清水冲洗。②眼睛接触：</w:t>
            </w:r>
            <w:r>
              <w:rPr>
                <w:rFonts w:ascii="宋体" w:hAnsi="宋体" w:eastAsia="宋体" w:cs="宋体"/>
                <w:spacing w:val="50"/>
                <w:w w:val="99"/>
                <w:sz w:val="21"/>
                <w:szCs w:val="21"/>
              </w:rPr>
              <w:t xml:space="preserve"> </w:t>
            </w:r>
            <w:r>
              <w:rPr>
                <w:rFonts w:ascii="宋体" w:hAnsi="宋体" w:eastAsia="宋体" w:cs="宋体"/>
                <w:w w:val="95"/>
                <w:sz w:val="21"/>
                <w:szCs w:val="21"/>
              </w:rPr>
              <w:t>提起眼睑，用流动清水或生理盐水冲洗。就医。③吸入：迅速脱离现</w:t>
            </w:r>
            <w:r>
              <w:rPr>
                <w:rFonts w:ascii="宋体" w:hAnsi="宋体" w:eastAsia="宋体" w:cs="宋体"/>
                <w:spacing w:val="50"/>
                <w:w w:val="99"/>
                <w:sz w:val="21"/>
                <w:szCs w:val="21"/>
              </w:rPr>
              <w:t xml:space="preserve"> </w:t>
            </w:r>
            <w:r>
              <w:rPr>
                <w:rFonts w:ascii="宋体" w:hAnsi="宋体" w:eastAsia="宋体" w:cs="宋体"/>
                <w:w w:val="95"/>
                <w:sz w:val="21"/>
                <w:szCs w:val="21"/>
              </w:rPr>
              <w:t>场至空气新鲜处。保持呼吸道通畅。如呼吸困难，给输氧。如呼吸停</w:t>
            </w:r>
            <w:r>
              <w:rPr>
                <w:rFonts w:ascii="宋体" w:hAnsi="宋体" w:eastAsia="宋体" w:cs="宋体"/>
                <w:spacing w:val="50"/>
                <w:w w:val="99"/>
                <w:sz w:val="21"/>
                <w:szCs w:val="21"/>
              </w:rPr>
              <w:t xml:space="preserve"> </w:t>
            </w:r>
            <w:r>
              <w:rPr>
                <w:rFonts w:ascii="宋体" w:hAnsi="宋体" w:eastAsia="宋体" w:cs="宋体"/>
                <w:sz w:val="21"/>
                <w:szCs w:val="21"/>
              </w:rPr>
              <w:t>止，立即进行人工呼吸。就医。④食入：饮足量温水，催吐。就医。</w:t>
            </w:r>
          </w:p>
        </w:tc>
      </w:tr>
      <w:tr>
        <w:tblPrEx>
          <w:tblCellMar>
            <w:top w:w="0" w:type="dxa"/>
            <w:left w:w="0" w:type="dxa"/>
            <w:bottom w:w="0" w:type="dxa"/>
            <w:right w:w="0" w:type="dxa"/>
          </w:tblCellMar>
        </w:tblPrEx>
        <w:trPr>
          <w:trHeight w:val="348" w:hRule="exact"/>
        </w:trPr>
        <w:tc>
          <w:tcPr>
            <w:tcW w:w="461" w:type="dxa"/>
            <w:tcBorders>
              <w:top w:val="single" w:color="000000" w:sz="4" w:space="0"/>
              <w:left w:val="single" w:color="000000" w:sz="6" w:space="0"/>
              <w:bottom w:val="single" w:color="000000" w:sz="4"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466" w:right="0"/>
              <w:jc w:val="left"/>
              <w:rPr>
                <w:rFonts w:ascii="宋体" w:hAnsi="宋体" w:eastAsia="宋体" w:cs="宋体"/>
                <w:sz w:val="21"/>
                <w:szCs w:val="21"/>
              </w:rPr>
            </w:pPr>
            <w:r>
              <w:rPr>
                <w:rFonts w:ascii="宋体" w:hAnsi="宋体" w:eastAsia="宋体" w:cs="宋体"/>
                <w:sz w:val="21"/>
                <w:szCs w:val="21"/>
              </w:rPr>
              <w:t>燃烧性</w:t>
            </w:r>
          </w:p>
        </w:tc>
        <w:tc>
          <w:tcPr>
            <w:tcW w:w="1428" w:type="dxa"/>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490" w:right="471"/>
              <w:jc w:val="center"/>
              <w:rPr>
                <w:rFonts w:ascii="宋体" w:hAnsi="宋体" w:eastAsia="宋体" w:cs="宋体"/>
                <w:sz w:val="21"/>
                <w:szCs w:val="21"/>
              </w:rPr>
            </w:pPr>
            <w:r>
              <w:rPr>
                <w:rFonts w:ascii="宋体" w:hAnsi="宋体" w:eastAsia="宋体" w:cs="宋体"/>
                <w:spacing w:val="-1"/>
                <w:sz w:val="21"/>
                <w:szCs w:val="21"/>
              </w:rPr>
              <w:t>助燃</w:t>
            </w:r>
          </w:p>
        </w:tc>
        <w:tc>
          <w:tcPr>
            <w:tcW w:w="2215" w:type="dxa"/>
            <w:gridSpan w:val="2"/>
            <w:tcBorders>
              <w:top w:val="single" w:color="000000" w:sz="4" w:space="0"/>
              <w:left w:val="single" w:color="000000" w:sz="4" w:space="0"/>
              <w:bottom w:val="single" w:color="000000" w:sz="4" w:space="0"/>
              <w:right w:val="single" w:color="000000" w:sz="4" w:space="0"/>
            </w:tcBorders>
          </w:tcPr>
          <w:p>
            <w:pPr>
              <w:pStyle w:val="4069"/>
              <w:spacing w:before="15" w:line="240" w:lineRule="auto"/>
              <w:ind w:left="871" w:right="0"/>
              <w:jc w:val="left"/>
              <w:rPr>
                <w:rFonts w:ascii="宋体" w:hAnsi="宋体" w:eastAsia="宋体" w:cs="宋体"/>
                <w:sz w:val="21"/>
                <w:szCs w:val="21"/>
              </w:rPr>
            </w:pPr>
            <w:r>
              <w:rPr>
                <w:rFonts w:ascii="宋体" w:hAnsi="宋体" w:eastAsia="宋体" w:cs="宋体"/>
                <w:sz w:val="21"/>
                <w:szCs w:val="21"/>
              </w:rPr>
              <w:t>燃烧分解物</w:t>
            </w:r>
          </w:p>
        </w:tc>
        <w:tc>
          <w:tcPr>
            <w:tcW w:w="2709" w:type="dxa"/>
            <w:gridSpan w:val="3"/>
            <w:tcBorders>
              <w:top w:val="single" w:color="000000" w:sz="4" w:space="0"/>
              <w:left w:val="single" w:color="000000" w:sz="4" w:space="0"/>
              <w:bottom w:val="single" w:color="000000" w:sz="4" w:space="0"/>
              <w:right w:val="single" w:color="000000" w:sz="6" w:space="0"/>
            </w:tcBorders>
          </w:tcPr>
          <w:p>
            <w:pPr>
              <w:pStyle w:val="4069"/>
              <w:spacing w:before="15" w:line="240" w:lineRule="auto"/>
              <w:ind w:left="291" w:right="0"/>
              <w:jc w:val="left"/>
              <w:rPr>
                <w:rFonts w:ascii="宋体" w:hAnsi="宋体" w:eastAsia="宋体" w:cs="宋体"/>
                <w:sz w:val="21"/>
                <w:szCs w:val="21"/>
              </w:rPr>
            </w:pPr>
            <w:r>
              <w:rPr>
                <w:rFonts w:ascii="宋体" w:hAnsi="宋体" w:eastAsia="宋体" w:cs="宋体"/>
                <w:sz w:val="21"/>
                <w:szCs w:val="21"/>
              </w:rPr>
              <w:t>氧气、氯化物、氧化钠。</w:t>
            </w:r>
          </w:p>
        </w:tc>
      </w:tr>
      <w:tr>
        <w:tblPrEx>
          <w:tblCellMar>
            <w:top w:w="0" w:type="dxa"/>
            <w:left w:w="0" w:type="dxa"/>
            <w:bottom w:w="0" w:type="dxa"/>
            <w:right w:w="0" w:type="dxa"/>
          </w:tblCellMar>
        </w:tblPrEx>
        <w:trPr>
          <w:trHeight w:val="525" w:hRule="exact"/>
        </w:trPr>
        <w:tc>
          <w:tcPr>
            <w:tcW w:w="461" w:type="dxa"/>
            <w:vMerge w:val="restart"/>
            <w:tcBorders>
              <w:top w:val="nil"/>
              <w:left w:val="single" w:color="000000" w:sz="6" w:space="0"/>
              <w:right w:val="single" w:color="000000" w:sz="4" w:space="0"/>
            </w:tcBorders>
          </w:tcPr>
          <w:p>
            <w:pPr>
              <w:pStyle w:val="4069"/>
              <w:spacing w:line="266" w:lineRule="exact"/>
              <w:ind w:left="128" w:right="111"/>
              <w:jc w:val="both"/>
              <w:rPr>
                <w:rFonts w:ascii="宋体" w:hAnsi="宋体" w:eastAsia="宋体" w:cs="宋体"/>
                <w:sz w:val="21"/>
                <w:szCs w:val="21"/>
              </w:rPr>
            </w:pPr>
            <w:r>
              <w:rPr>
                <w:rFonts w:ascii="宋体" w:hAnsi="宋体" w:eastAsia="宋体" w:cs="宋体"/>
                <w:sz w:val="21"/>
                <w:szCs w:val="21"/>
              </w:rPr>
              <w:t>燃</w:t>
            </w:r>
          </w:p>
          <w:p>
            <w:pPr>
              <w:pStyle w:val="4069"/>
              <w:spacing w:before="40" w:line="275" w:lineRule="auto"/>
              <w:ind w:left="128" w:right="111"/>
              <w:jc w:val="both"/>
              <w:rPr>
                <w:rFonts w:ascii="宋体" w:hAnsi="宋体" w:eastAsia="宋体" w:cs="宋体"/>
                <w:sz w:val="21"/>
                <w:szCs w:val="21"/>
              </w:rPr>
            </w:pPr>
            <w:r>
              <w:rPr>
                <w:rFonts w:ascii="宋体" w:hAnsi="宋体" w:eastAsia="宋体" w:cs="宋体"/>
                <w:sz w:val="21"/>
                <w:szCs w:val="21"/>
              </w:rPr>
              <w:t>烧</w:t>
            </w:r>
            <w:r>
              <w:rPr>
                <w:rFonts w:ascii="宋体" w:hAnsi="宋体" w:eastAsia="宋体" w:cs="宋体"/>
                <w:w w:val="99"/>
                <w:sz w:val="21"/>
                <w:szCs w:val="21"/>
              </w:rPr>
              <w:t xml:space="preserve"> </w:t>
            </w:r>
            <w:r>
              <w:rPr>
                <w:rFonts w:ascii="宋体" w:hAnsi="宋体" w:eastAsia="宋体" w:cs="宋体"/>
                <w:sz w:val="21"/>
                <w:szCs w:val="21"/>
              </w:rPr>
              <w:t>爆</w:t>
            </w:r>
            <w:r>
              <w:rPr>
                <w:rFonts w:ascii="宋体" w:hAnsi="宋体" w:eastAsia="宋体" w:cs="宋体"/>
                <w:w w:val="99"/>
                <w:sz w:val="21"/>
                <w:szCs w:val="21"/>
              </w:rPr>
              <w:t xml:space="preserve"> </w:t>
            </w:r>
            <w:r>
              <w:rPr>
                <w:rFonts w:ascii="宋体" w:hAnsi="宋体" w:eastAsia="宋体" w:cs="宋体"/>
                <w:sz w:val="21"/>
                <w:szCs w:val="21"/>
              </w:rPr>
              <w:t>炸</w:t>
            </w:r>
            <w:r>
              <w:rPr>
                <w:rFonts w:ascii="宋体" w:hAnsi="宋体" w:eastAsia="宋体" w:cs="宋体"/>
                <w:w w:val="99"/>
                <w:sz w:val="21"/>
                <w:szCs w:val="21"/>
              </w:rPr>
              <w:t xml:space="preserve"> </w:t>
            </w:r>
            <w:r>
              <w:rPr>
                <w:rFonts w:ascii="宋体" w:hAnsi="宋体" w:eastAsia="宋体" w:cs="宋体"/>
                <w:sz w:val="21"/>
                <w:szCs w:val="21"/>
              </w:rPr>
              <w:t>危</w:t>
            </w:r>
            <w:r>
              <w:rPr>
                <w:rFonts w:ascii="宋体" w:hAnsi="宋体" w:eastAsia="宋体" w:cs="宋体"/>
                <w:w w:val="99"/>
                <w:sz w:val="21"/>
                <w:szCs w:val="21"/>
              </w:rPr>
              <w:t xml:space="preserve"> </w:t>
            </w:r>
            <w:r>
              <w:rPr>
                <w:rFonts w:ascii="宋体" w:hAnsi="宋体" w:eastAsia="宋体" w:cs="宋体"/>
                <w:sz w:val="21"/>
                <w:szCs w:val="21"/>
              </w:rPr>
              <w:t>险</w:t>
            </w:r>
            <w:r>
              <w:rPr>
                <w:rFonts w:ascii="宋体" w:hAnsi="宋体" w:eastAsia="宋体" w:cs="宋体"/>
                <w:w w:val="99"/>
                <w:sz w:val="21"/>
                <w:szCs w:val="21"/>
              </w:rPr>
              <w:t xml:space="preserve"> </w:t>
            </w:r>
            <w:r>
              <w:rPr>
                <w:rFonts w:ascii="宋体" w:hAnsi="宋体" w:eastAsia="宋体" w:cs="宋体"/>
                <w:sz w:val="21"/>
                <w:szCs w:val="21"/>
              </w:rPr>
              <w:t>性</w:t>
            </w: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399" w:right="0"/>
              <w:jc w:val="left"/>
              <w:rPr>
                <w:rFonts w:ascii="Times New Roman" w:hAnsi="Times New Roman" w:eastAsia="Times New Roman" w:cs="Times New Roman"/>
                <w:sz w:val="21"/>
                <w:szCs w:val="21"/>
              </w:rPr>
            </w:pPr>
            <w:r>
              <w:rPr>
                <w:rFonts w:ascii="宋体" w:hAnsi="宋体" w:eastAsia="宋体" w:cs="宋体"/>
                <w:sz w:val="21"/>
                <w:szCs w:val="21"/>
              </w:rPr>
              <w:t>闪点</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p>
        </w:tc>
        <w:tc>
          <w:tcPr>
            <w:tcW w:w="1428" w:type="dxa"/>
            <w:tcBorders>
              <w:top w:val="single" w:color="000000" w:sz="4" w:space="0"/>
              <w:left w:val="single" w:color="000000" w:sz="4" w:space="0"/>
              <w:bottom w:val="single" w:color="000000" w:sz="4" w:space="0"/>
              <w:right w:val="single" w:color="000000" w:sz="4" w:space="0"/>
            </w:tcBorders>
          </w:tcPr>
          <w:p>
            <w:pPr>
              <w:pStyle w:val="4069"/>
              <w:spacing w:before="160" w:line="240" w:lineRule="auto"/>
              <w:ind w:left="677" w:right="655"/>
              <w:jc w:val="center"/>
              <w:rPr>
                <w:rFonts w:ascii="Times New Roman" w:hAnsi="Times New Roman" w:eastAsia="Times New Roman" w:cs="Times New Roman"/>
                <w:sz w:val="21"/>
                <w:szCs w:val="21"/>
              </w:rPr>
            </w:pPr>
            <w:r>
              <w:rPr>
                <w:rFonts w:ascii="Times New Roman"/>
                <w:w w:val="80"/>
                <w:sz w:val="21"/>
              </w:rPr>
              <w:t>/</w:t>
            </w:r>
          </w:p>
        </w:tc>
        <w:tc>
          <w:tcPr>
            <w:tcW w:w="2215" w:type="dxa"/>
            <w:gridSpan w:val="2"/>
            <w:tcBorders>
              <w:top w:val="single" w:color="000000" w:sz="4" w:space="0"/>
              <w:left w:val="single" w:color="000000" w:sz="4" w:space="0"/>
              <w:bottom w:val="single" w:color="000000" w:sz="4" w:space="0"/>
              <w:right w:val="single" w:color="000000" w:sz="4" w:space="0"/>
            </w:tcBorders>
          </w:tcPr>
          <w:p>
            <w:pPr>
              <w:pStyle w:val="4069"/>
              <w:spacing w:line="301" w:lineRule="exact"/>
              <w:ind w:left="243" w:right="0"/>
              <w:jc w:val="left"/>
              <w:rPr>
                <w:rFonts w:ascii="宋体" w:hAnsi="宋体" w:eastAsia="宋体" w:cs="宋体"/>
                <w:sz w:val="21"/>
                <w:szCs w:val="21"/>
              </w:rPr>
            </w:pPr>
            <w:r>
              <w:rPr>
                <w:rFonts w:ascii="宋体" w:hAnsi="宋体" w:eastAsia="宋体" w:cs="宋体"/>
                <w:sz w:val="21"/>
                <w:szCs w:val="21"/>
              </w:rPr>
              <w:t>爆炸上限（</w:t>
            </w:r>
            <w:r>
              <w:rPr>
                <w:rFonts w:ascii="Times New Roman" w:hAnsi="Times New Roman" w:eastAsia="Times New Roman" w:cs="Times New Roman"/>
                <w:sz w:val="21"/>
                <w:szCs w:val="21"/>
              </w:rPr>
              <w:t>g/m</w:t>
            </w:r>
            <w:r>
              <w:rPr>
                <w:rFonts w:ascii="Times New Roman" w:hAnsi="Times New Roman" w:eastAsia="Times New Roman" w:cs="Times New Roman"/>
                <w:position w:val="7"/>
                <w:sz w:val="21"/>
                <w:szCs w:val="21"/>
              </w:rPr>
              <w:t>3</w:t>
            </w:r>
            <w:r>
              <w:rPr>
                <w:rFonts w:ascii="宋体" w:hAnsi="宋体" w:eastAsia="宋体" w:cs="宋体"/>
                <w:sz w:val="21"/>
                <w:szCs w:val="21"/>
              </w:rPr>
              <w:t>）：</w:t>
            </w:r>
          </w:p>
        </w:tc>
        <w:tc>
          <w:tcPr>
            <w:tcW w:w="2709" w:type="dxa"/>
            <w:gridSpan w:val="3"/>
            <w:tcBorders>
              <w:top w:val="single" w:color="000000" w:sz="4" w:space="0"/>
              <w:left w:val="single" w:color="000000" w:sz="4" w:space="0"/>
              <w:bottom w:val="single" w:color="000000" w:sz="4" w:space="0"/>
              <w:right w:val="single" w:color="000000" w:sz="6" w:space="0"/>
            </w:tcBorders>
          </w:tcPr>
          <w:p>
            <w:pPr>
              <w:pStyle w:val="4069"/>
              <w:spacing w:before="160" w:line="240" w:lineRule="auto"/>
              <w:ind w:left="1322" w:right="1288"/>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525"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2" w:line="240" w:lineRule="auto"/>
              <w:ind w:left="188" w:right="0"/>
              <w:jc w:val="left"/>
              <w:rPr>
                <w:rFonts w:ascii="Times New Roman" w:hAnsi="Times New Roman" w:eastAsia="Times New Roman" w:cs="Times New Roman"/>
                <w:sz w:val="21"/>
                <w:szCs w:val="21"/>
              </w:rPr>
            </w:pPr>
            <w:r>
              <w:rPr>
                <w:rFonts w:ascii="宋体" w:hAnsi="宋体" w:eastAsia="宋体" w:cs="宋体"/>
                <w:sz w:val="21"/>
                <w:szCs w:val="21"/>
              </w:rPr>
              <w:t>自燃温度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p>
        </w:tc>
        <w:tc>
          <w:tcPr>
            <w:tcW w:w="1428" w:type="dxa"/>
            <w:tcBorders>
              <w:top w:val="single" w:color="000000" w:sz="4" w:space="0"/>
              <w:left w:val="single" w:color="000000" w:sz="4" w:space="0"/>
              <w:bottom w:val="single" w:color="000000" w:sz="4" w:space="0"/>
              <w:right w:val="single" w:color="000000" w:sz="4" w:space="0"/>
            </w:tcBorders>
          </w:tcPr>
          <w:p>
            <w:pPr>
              <w:pStyle w:val="4069"/>
              <w:spacing w:before="161" w:line="240" w:lineRule="auto"/>
              <w:ind w:left="677" w:right="655"/>
              <w:jc w:val="center"/>
              <w:rPr>
                <w:rFonts w:ascii="Times New Roman" w:hAnsi="Times New Roman" w:eastAsia="Times New Roman" w:cs="Times New Roman"/>
                <w:sz w:val="21"/>
                <w:szCs w:val="21"/>
              </w:rPr>
            </w:pPr>
            <w:r>
              <w:rPr>
                <w:rFonts w:ascii="Times New Roman"/>
                <w:w w:val="80"/>
                <w:sz w:val="21"/>
              </w:rPr>
              <w:t>/</w:t>
            </w:r>
          </w:p>
        </w:tc>
        <w:tc>
          <w:tcPr>
            <w:tcW w:w="2215" w:type="dxa"/>
            <w:gridSpan w:val="2"/>
            <w:tcBorders>
              <w:top w:val="single" w:color="000000" w:sz="4" w:space="0"/>
              <w:left w:val="single" w:color="000000" w:sz="4" w:space="0"/>
              <w:bottom w:val="single" w:color="000000" w:sz="4" w:space="0"/>
              <w:right w:val="single" w:color="000000" w:sz="4" w:space="0"/>
            </w:tcBorders>
          </w:tcPr>
          <w:p>
            <w:pPr>
              <w:pStyle w:val="4069"/>
              <w:spacing w:line="299" w:lineRule="exact"/>
              <w:ind w:left="243" w:right="0"/>
              <w:jc w:val="left"/>
              <w:rPr>
                <w:rFonts w:ascii="宋体" w:hAnsi="宋体" w:eastAsia="宋体" w:cs="宋体"/>
                <w:sz w:val="21"/>
                <w:szCs w:val="21"/>
              </w:rPr>
            </w:pPr>
            <w:r>
              <w:rPr>
                <w:rFonts w:ascii="宋体" w:hAnsi="宋体" w:eastAsia="宋体" w:cs="宋体"/>
                <w:sz w:val="21"/>
                <w:szCs w:val="21"/>
              </w:rPr>
              <w:t>爆炸下限（</w:t>
            </w:r>
            <w:r>
              <w:rPr>
                <w:rFonts w:ascii="Times New Roman" w:hAnsi="Times New Roman" w:eastAsia="Times New Roman" w:cs="Times New Roman"/>
                <w:sz w:val="21"/>
                <w:szCs w:val="21"/>
              </w:rPr>
              <w:t>g/m</w:t>
            </w:r>
            <w:r>
              <w:rPr>
                <w:rFonts w:ascii="Times New Roman" w:hAnsi="Times New Roman" w:eastAsia="Times New Roman" w:cs="Times New Roman"/>
                <w:position w:val="7"/>
                <w:sz w:val="21"/>
                <w:szCs w:val="21"/>
              </w:rPr>
              <w:t>3</w:t>
            </w:r>
            <w:r>
              <w:rPr>
                <w:rFonts w:ascii="宋体" w:hAnsi="宋体" w:eastAsia="宋体" w:cs="宋体"/>
                <w:sz w:val="21"/>
                <w:szCs w:val="21"/>
              </w:rPr>
              <w:t>）：</w:t>
            </w:r>
          </w:p>
        </w:tc>
        <w:tc>
          <w:tcPr>
            <w:tcW w:w="2709" w:type="dxa"/>
            <w:gridSpan w:val="3"/>
            <w:tcBorders>
              <w:top w:val="single" w:color="000000" w:sz="4" w:space="0"/>
              <w:left w:val="single" w:color="000000" w:sz="4" w:space="0"/>
              <w:bottom w:val="single" w:color="000000" w:sz="4" w:space="0"/>
              <w:right w:val="single" w:color="000000" w:sz="6" w:space="0"/>
            </w:tcBorders>
          </w:tcPr>
          <w:p>
            <w:pPr>
              <w:pStyle w:val="4069"/>
              <w:spacing w:before="161" w:line="240" w:lineRule="auto"/>
              <w:ind w:left="1322" w:right="1288"/>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827"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8" w:line="220" w:lineRule="exact"/>
              <w:ind w:right="0"/>
              <w:jc w:val="left"/>
              <w:rPr>
                <w:sz w:val="22"/>
                <w:szCs w:val="22"/>
              </w:rPr>
            </w:pPr>
          </w:p>
          <w:p>
            <w:pPr>
              <w:pStyle w:val="4069"/>
              <w:spacing w:line="240" w:lineRule="auto"/>
              <w:ind w:left="360" w:right="0"/>
              <w:jc w:val="left"/>
              <w:rPr>
                <w:rFonts w:ascii="宋体" w:hAnsi="宋体" w:eastAsia="宋体" w:cs="宋体"/>
                <w:sz w:val="21"/>
                <w:szCs w:val="21"/>
              </w:rPr>
            </w:pPr>
            <w:r>
              <w:rPr>
                <w:rFonts w:ascii="宋体" w:hAnsi="宋体" w:eastAsia="宋体" w:cs="宋体"/>
                <w:sz w:val="21"/>
                <w:szCs w:val="21"/>
              </w:rPr>
              <w:t>危险特性</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 w:line="232" w:lineRule="exact"/>
              <w:ind w:left="245" w:right="216"/>
              <w:jc w:val="center"/>
              <w:rPr>
                <w:rFonts w:ascii="宋体" w:hAnsi="宋体" w:eastAsia="宋体" w:cs="宋体"/>
                <w:sz w:val="21"/>
                <w:szCs w:val="21"/>
              </w:rPr>
            </w:pPr>
            <w:r>
              <w:rPr>
                <w:rFonts w:ascii="宋体" w:hAnsi="宋体" w:eastAsia="宋体" w:cs="宋体"/>
                <w:w w:val="95"/>
                <w:sz w:val="21"/>
                <w:szCs w:val="21"/>
              </w:rPr>
              <w:t>强氧化剂。受强热或与强酸接触时即发生爆炸。与还原剂、有机</w:t>
            </w:r>
            <w:r>
              <w:rPr>
                <w:rFonts w:ascii="宋体" w:hAnsi="宋体" w:eastAsia="宋体" w:cs="宋体"/>
                <w:spacing w:val="24"/>
                <w:w w:val="99"/>
                <w:sz w:val="21"/>
                <w:szCs w:val="21"/>
              </w:rPr>
              <w:t xml:space="preserve"> </w:t>
            </w:r>
            <w:r>
              <w:rPr>
                <w:rFonts w:ascii="宋体" w:hAnsi="宋体" w:eastAsia="宋体" w:cs="宋体"/>
                <w:w w:val="95"/>
                <w:sz w:val="21"/>
                <w:szCs w:val="21"/>
              </w:rPr>
              <w:t>物、易燃物如硫、磷或金属粉末等混合可形成爆炸性混合物。急</w:t>
            </w:r>
          </w:p>
          <w:p>
            <w:pPr>
              <w:pStyle w:val="4069"/>
              <w:spacing w:line="218" w:lineRule="exact"/>
              <w:ind w:left="31" w:right="0"/>
              <w:jc w:val="center"/>
              <w:rPr>
                <w:rFonts w:ascii="宋体" w:hAnsi="宋体" w:eastAsia="宋体" w:cs="宋体"/>
                <w:sz w:val="21"/>
                <w:szCs w:val="21"/>
              </w:rPr>
            </w:pPr>
            <w:r>
              <w:rPr>
                <w:rFonts w:ascii="宋体" w:hAnsi="宋体" w:eastAsia="宋体" w:cs="宋体"/>
                <w:sz w:val="21"/>
                <w:szCs w:val="21"/>
              </w:rPr>
              <w:t>剧加热时可发生爆炸。</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152" w:right="0"/>
              <w:jc w:val="left"/>
              <w:rPr>
                <w:rFonts w:ascii="宋体" w:hAnsi="宋体" w:eastAsia="宋体" w:cs="宋体"/>
                <w:sz w:val="21"/>
                <w:szCs w:val="21"/>
              </w:rPr>
            </w:pPr>
            <w:r>
              <w:rPr>
                <w:rFonts w:ascii="宋体" w:hAnsi="宋体" w:eastAsia="宋体" w:cs="宋体"/>
                <w:sz w:val="21"/>
                <w:szCs w:val="21"/>
              </w:rPr>
              <w:t>建规火险分级</w:t>
            </w:r>
          </w:p>
        </w:tc>
        <w:tc>
          <w:tcPr>
            <w:tcW w:w="1428"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21" w:right="0"/>
              <w:jc w:val="center"/>
              <w:rPr>
                <w:rFonts w:ascii="宋体" w:hAnsi="宋体" w:eastAsia="宋体" w:cs="宋体"/>
                <w:sz w:val="21"/>
                <w:szCs w:val="21"/>
              </w:rPr>
            </w:pPr>
            <w:r>
              <w:rPr>
                <w:rFonts w:ascii="宋体" w:hAnsi="宋体" w:eastAsia="宋体" w:cs="宋体"/>
                <w:w w:val="95"/>
                <w:sz w:val="21"/>
                <w:szCs w:val="21"/>
              </w:rPr>
              <w:t>甲</w:t>
            </w:r>
          </w:p>
        </w:tc>
        <w:tc>
          <w:tcPr>
            <w:tcW w:w="1075"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331" w:right="0"/>
              <w:jc w:val="left"/>
              <w:rPr>
                <w:rFonts w:ascii="宋体" w:hAnsi="宋体" w:eastAsia="宋体" w:cs="宋体"/>
                <w:sz w:val="21"/>
                <w:szCs w:val="21"/>
              </w:rPr>
            </w:pPr>
            <w:r>
              <w:rPr>
                <w:rFonts w:ascii="宋体" w:hAnsi="宋体" w:eastAsia="宋体" w:cs="宋体"/>
                <w:sz w:val="21"/>
                <w:szCs w:val="21"/>
              </w:rPr>
              <w:t>稳定性</w:t>
            </w:r>
          </w:p>
        </w:tc>
        <w:tc>
          <w:tcPr>
            <w:tcW w:w="1140"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538" w:right="0"/>
              <w:jc w:val="left"/>
              <w:rPr>
                <w:rFonts w:ascii="宋体" w:hAnsi="宋体" w:eastAsia="宋体" w:cs="宋体"/>
                <w:sz w:val="21"/>
                <w:szCs w:val="21"/>
              </w:rPr>
            </w:pPr>
            <w:r>
              <w:rPr>
                <w:rFonts w:ascii="宋体" w:hAnsi="宋体" w:eastAsia="宋体" w:cs="宋体"/>
                <w:spacing w:val="-1"/>
                <w:sz w:val="21"/>
                <w:szCs w:val="21"/>
              </w:rPr>
              <w:t>稳定</w:t>
            </w:r>
          </w:p>
        </w:tc>
        <w:tc>
          <w:tcPr>
            <w:tcW w:w="1339" w:type="dxa"/>
            <w:gridSpan w:val="2"/>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372" w:right="0"/>
              <w:jc w:val="left"/>
              <w:rPr>
                <w:rFonts w:ascii="宋体" w:hAnsi="宋体" w:eastAsia="宋体" w:cs="宋体"/>
                <w:sz w:val="21"/>
                <w:szCs w:val="21"/>
              </w:rPr>
            </w:pPr>
            <w:r>
              <w:rPr>
                <w:rFonts w:ascii="宋体" w:hAnsi="宋体" w:eastAsia="宋体" w:cs="宋体"/>
                <w:sz w:val="21"/>
                <w:szCs w:val="21"/>
              </w:rPr>
              <w:t>聚合危害</w:t>
            </w:r>
          </w:p>
        </w:tc>
        <w:tc>
          <w:tcPr>
            <w:tcW w:w="1370" w:type="dxa"/>
            <w:tcBorders>
              <w:top w:val="single" w:color="000000" w:sz="4" w:space="0"/>
              <w:left w:val="single" w:color="000000" w:sz="4" w:space="0"/>
              <w:bottom w:val="single" w:color="000000" w:sz="4" w:space="0"/>
              <w:right w:val="single" w:color="000000" w:sz="6" w:space="0"/>
            </w:tcBorders>
          </w:tcPr>
          <w:p>
            <w:pPr>
              <w:pStyle w:val="4069"/>
              <w:spacing w:before="13" w:line="240" w:lineRule="auto"/>
              <w:ind w:left="548" w:right="0"/>
              <w:jc w:val="left"/>
              <w:rPr>
                <w:rFonts w:ascii="宋体" w:hAnsi="宋体" w:eastAsia="宋体" w:cs="宋体"/>
                <w:sz w:val="21"/>
                <w:szCs w:val="21"/>
              </w:rPr>
            </w:pPr>
            <w:r>
              <w:rPr>
                <w:rFonts w:ascii="宋体" w:hAnsi="宋体" w:eastAsia="宋体" w:cs="宋体"/>
                <w:sz w:val="21"/>
                <w:szCs w:val="21"/>
              </w:rPr>
              <w:t>不聚合</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66" w:right="0"/>
              <w:jc w:val="left"/>
              <w:rPr>
                <w:rFonts w:ascii="宋体" w:hAnsi="宋体" w:eastAsia="宋体" w:cs="宋体"/>
                <w:sz w:val="21"/>
                <w:szCs w:val="21"/>
              </w:rPr>
            </w:pPr>
            <w:r>
              <w:rPr>
                <w:rFonts w:ascii="宋体" w:hAnsi="宋体" w:eastAsia="宋体" w:cs="宋体"/>
                <w:sz w:val="21"/>
                <w:szCs w:val="21"/>
              </w:rPr>
              <w:t>禁忌物</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977" w:right="0"/>
              <w:jc w:val="left"/>
              <w:rPr>
                <w:rFonts w:ascii="宋体" w:hAnsi="宋体" w:eastAsia="宋体" w:cs="宋体"/>
                <w:sz w:val="21"/>
                <w:szCs w:val="21"/>
              </w:rPr>
            </w:pPr>
            <w:r>
              <w:rPr>
                <w:rFonts w:ascii="宋体" w:hAnsi="宋体" w:eastAsia="宋体" w:cs="宋体"/>
                <w:sz w:val="21"/>
                <w:szCs w:val="21"/>
              </w:rPr>
              <w:t>强还原剂、易燃或可燃物、醇类、强酸、硫、磷、铝。</w:t>
            </w:r>
          </w:p>
        </w:tc>
      </w:tr>
      <w:tr>
        <w:tblPrEx>
          <w:tblCellMar>
            <w:top w:w="0" w:type="dxa"/>
            <w:left w:w="0" w:type="dxa"/>
            <w:bottom w:w="0" w:type="dxa"/>
            <w:right w:w="0" w:type="dxa"/>
          </w:tblCellMar>
        </w:tblPrEx>
        <w:trPr>
          <w:trHeight w:val="350" w:hRule="exact"/>
        </w:trPr>
        <w:tc>
          <w:tcPr>
            <w:tcW w:w="461" w:type="dxa"/>
            <w:vMerge w:val="continue"/>
            <w:tcBorders>
              <w:left w:val="single" w:color="000000" w:sz="6" w:space="0"/>
              <w:bottom w:val="single" w:color="000000" w:sz="4" w:space="0"/>
              <w:right w:val="single" w:color="000000" w:sz="4" w:space="0"/>
            </w:tcBorders>
          </w:tcPr>
          <w:p/>
        </w:tc>
        <w:tc>
          <w:tcPr>
            <w:tcW w:w="1553"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360" w:right="0"/>
              <w:jc w:val="left"/>
              <w:rPr>
                <w:rFonts w:ascii="宋体" w:hAnsi="宋体" w:eastAsia="宋体" w:cs="宋体"/>
                <w:sz w:val="21"/>
                <w:szCs w:val="21"/>
              </w:rPr>
            </w:pPr>
            <w:r>
              <w:rPr>
                <w:rFonts w:ascii="宋体" w:hAnsi="宋体" w:eastAsia="宋体" w:cs="宋体"/>
                <w:sz w:val="21"/>
                <w:szCs w:val="21"/>
              </w:rPr>
              <w:t>灭火方法</w:t>
            </w:r>
          </w:p>
        </w:tc>
        <w:tc>
          <w:tcPr>
            <w:tcW w:w="6352" w:type="dxa"/>
            <w:gridSpan w:val="6"/>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1923" w:right="0"/>
              <w:jc w:val="left"/>
              <w:rPr>
                <w:rFonts w:ascii="宋体" w:hAnsi="宋体" w:eastAsia="宋体" w:cs="宋体"/>
                <w:sz w:val="21"/>
                <w:szCs w:val="21"/>
              </w:rPr>
            </w:pPr>
            <w:r>
              <w:rPr>
                <w:rFonts w:ascii="宋体" w:hAnsi="宋体" w:eastAsia="宋体" w:cs="宋体"/>
                <w:sz w:val="21"/>
                <w:szCs w:val="21"/>
              </w:rPr>
              <w:t>用大量水扑救，同时用干粉灭火剂闷熄。</w:t>
            </w:r>
          </w:p>
        </w:tc>
      </w:tr>
      <w:tr>
        <w:tblPrEx>
          <w:tblCellMar>
            <w:top w:w="0" w:type="dxa"/>
            <w:left w:w="0" w:type="dxa"/>
            <w:bottom w:w="0" w:type="dxa"/>
            <w:right w:w="0" w:type="dxa"/>
          </w:tblCellMar>
        </w:tblPrEx>
        <w:trPr>
          <w:trHeight w:val="2133" w:hRule="exact"/>
        </w:trPr>
        <w:tc>
          <w:tcPr>
            <w:tcW w:w="461" w:type="dxa"/>
            <w:tcBorders>
              <w:top w:val="single" w:color="000000" w:sz="4" w:space="0"/>
              <w:left w:val="single" w:color="000000" w:sz="6" w:space="0"/>
              <w:bottom w:val="single" w:color="000000" w:sz="6" w:space="0"/>
              <w:right w:val="single" w:color="000000" w:sz="4" w:space="0"/>
            </w:tcBorders>
          </w:tcPr>
          <w:p>
            <w:pPr>
              <w:pStyle w:val="4069"/>
              <w:spacing w:before="142" w:line="275" w:lineRule="auto"/>
              <w:ind w:left="128" w:right="111"/>
              <w:jc w:val="both"/>
              <w:rPr>
                <w:rFonts w:ascii="宋体" w:hAnsi="宋体" w:eastAsia="宋体" w:cs="宋体"/>
                <w:sz w:val="21"/>
                <w:szCs w:val="21"/>
              </w:rPr>
            </w:pPr>
            <w:r>
              <w:rPr>
                <w:rFonts w:ascii="宋体" w:hAnsi="宋体" w:eastAsia="宋体" w:cs="宋体"/>
                <w:sz w:val="21"/>
                <w:szCs w:val="21"/>
              </w:rPr>
              <w:t>储</w:t>
            </w:r>
            <w:r>
              <w:rPr>
                <w:rFonts w:ascii="宋体" w:hAnsi="宋体" w:eastAsia="宋体" w:cs="宋体"/>
                <w:w w:val="99"/>
                <w:sz w:val="21"/>
                <w:szCs w:val="21"/>
              </w:rPr>
              <w:t xml:space="preserve"> </w:t>
            </w:r>
            <w:r>
              <w:rPr>
                <w:rFonts w:ascii="宋体" w:hAnsi="宋体" w:eastAsia="宋体" w:cs="宋体"/>
                <w:sz w:val="21"/>
                <w:szCs w:val="21"/>
              </w:rPr>
              <w:t>运</w:t>
            </w:r>
            <w:r>
              <w:rPr>
                <w:rFonts w:ascii="宋体" w:hAnsi="宋体" w:eastAsia="宋体" w:cs="宋体"/>
                <w:w w:val="99"/>
                <w:sz w:val="21"/>
                <w:szCs w:val="21"/>
              </w:rPr>
              <w:t xml:space="preserve"> </w:t>
            </w:r>
            <w:r>
              <w:rPr>
                <w:rFonts w:ascii="宋体" w:hAnsi="宋体" w:eastAsia="宋体" w:cs="宋体"/>
                <w:sz w:val="21"/>
                <w:szCs w:val="21"/>
              </w:rPr>
              <w:t>注</w:t>
            </w:r>
            <w:r>
              <w:rPr>
                <w:rFonts w:ascii="宋体" w:hAnsi="宋体" w:eastAsia="宋体" w:cs="宋体"/>
                <w:w w:val="99"/>
                <w:sz w:val="21"/>
                <w:szCs w:val="21"/>
              </w:rPr>
              <w:t xml:space="preserve"> </w:t>
            </w:r>
            <w:r>
              <w:rPr>
                <w:rFonts w:ascii="宋体" w:hAnsi="宋体" w:eastAsia="宋体" w:cs="宋体"/>
                <w:sz w:val="21"/>
                <w:szCs w:val="21"/>
              </w:rPr>
              <w:t>意</w:t>
            </w:r>
            <w:r>
              <w:rPr>
                <w:rFonts w:ascii="宋体" w:hAnsi="宋体" w:eastAsia="宋体" w:cs="宋体"/>
                <w:w w:val="99"/>
                <w:sz w:val="21"/>
                <w:szCs w:val="21"/>
              </w:rPr>
              <w:t xml:space="preserve"> </w:t>
            </w:r>
            <w:r>
              <w:rPr>
                <w:rFonts w:ascii="宋体" w:hAnsi="宋体" w:eastAsia="宋体" w:cs="宋体"/>
                <w:sz w:val="21"/>
                <w:szCs w:val="21"/>
              </w:rPr>
              <w:t>事</w:t>
            </w:r>
            <w:r>
              <w:rPr>
                <w:rFonts w:ascii="宋体" w:hAnsi="宋体" w:eastAsia="宋体" w:cs="宋体"/>
                <w:w w:val="99"/>
                <w:sz w:val="21"/>
                <w:szCs w:val="21"/>
              </w:rPr>
              <w:t xml:space="preserve"> </w:t>
            </w:r>
            <w:r>
              <w:rPr>
                <w:rFonts w:ascii="宋体" w:hAnsi="宋体" w:eastAsia="宋体" w:cs="宋体"/>
                <w:sz w:val="21"/>
                <w:szCs w:val="21"/>
              </w:rPr>
              <w:t>项</w:t>
            </w:r>
          </w:p>
        </w:tc>
        <w:tc>
          <w:tcPr>
            <w:tcW w:w="7905" w:type="dxa"/>
            <w:gridSpan w:val="7"/>
            <w:tcBorders>
              <w:top w:val="single" w:color="000000" w:sz="4" w:space="0"/>
              <w:left w:val="single" w:color="000000" w:sz="4" w:space="0"/>
              <w:bottom w:val="single" w:color="000000" w:sz="6" w:space="0"/>
              <w:right w:val="single" w:color="000000" w:sz="6" w:space="0"/>
            </w:tcBorders>
          </w:tcPr>
          <w:p>
            <w:pPr>
              <w:pStyle w:val="4069"/>
              <w:spacing w:line="260" w:lineRule="exact"/>
              <w:ind w:left="2" w:right="0"/>
              <w:jc w:val="center"/>
              <w:rPr>
                <w:rFonts w:ascii="宋体" w:hAnsi="宋体" w:eastAsia="宋体" w:cs="宋体"/>
                <w:sz w:val="21"/>
                <w:szCs w:val="21"/>
              </w:rPr>
            </w:pPr>
            <w:r>
              <w:rPr>
                <w:rFonts w:ascii="宋体" w:hAnsi="宋体" w:eastAsia="宋体" w:cs="宋体"/>
                <w:spacing w:val="-10"/>
                <w:sz w:val="21"/>
                <w:szCs w:val="21"/>
              </w:rPr>
              <w:t>①储存注意事项：储存于阴凉、通风的库房。远离火种、热源。包装密封。应与易（可燃</w:t>
            </w:r>
          </w:p>
          <w:p>
            <w:pPr>
              <w:pStyle w:val="4069"/>
              <w:spacing w:before="40" w:line="240" w:lineRule="auto"/>
              <w:ind w:left="40" w:right="0"/>
              <w:jc w:val="center"/>
              <w:rPr>
                <w:rFonts w:ascii="宋体" w:hAnsi="宋体" w:eastAsia="宋体" w:cs="宋体"/>
                <w:sz w:val="21"/>
                <w:szCs w:val="21"/>
              </w:rPr>
            </w:pPr>
            <w:r>
              <w:rPr>
                <w:rFonts w:ascii="宋体" w:hAnsi="宋体" w:eastAsia="宋体" w:cs="宋体"/>
                <w:spacing w:val="-11"/>
                <w:sz w:val="21"/>
                <w:szCs w:val="21"/>
              </w:rPr>
              <w:t>物、还原剂、醇类等分开存放，切忌混储。储区应备有合适材料收容泄漏物。</w:t>
            </w:r>
          </w:p>
          <w:p>
            <w:pPr>
              <w:pStyle w:val="4069"/>
              <w:spacing w:before="40" w:line="275" w:lineRule="auto"/>
              <w:ind w:left="41" w:right="10" w:hanging="30"/>
              <w:jc w:val="center"/>
              <w:rPr>
                <w:rFonts w:ascii="宋体" w:hAnsi="宋体" w:eastAsia="宋体" w:cs="宋体"/>
                <w:sz w:val="21"/>
                <w:szCs w:val="21"/>
              </w:rPr>
            </w:pPr>
            <w:r>
              <w:rPr>
                <w:rFonts w:ascii="宋体" w:hAnsi="宋体" w:eastAsia="宋体" w:cs="宋体"/>
                <w:spacing w:val="-9"/>
                <w:w w:val="95"/>
                <w:sz w:val="21"/>
                <w:szCs w:val="21"/>
              </w:rPr>
              <w:t>②运输注意事项：运输时单独装运，运输过程中要确保容器不泄漏、不倒塌、不坠落不损</w:t>
            </w:r>
            <w:r>
              <w:rPr>
                <w:rFonts w:ascii="宋体" w:hAnsi="宋体" w:eastAsia="宋体" w:cs="宋体"/>
                <w:spacing w:val="21"/>
                <w:w w:val="99"/>
                <w:sz w:val="21"/>
                <w:szCs w:val="21"/>
              </w:rPr>
              <w:t xml:space="preserve"> </w:t>
            </w:r>
            <w:r>
              <w:rPr>
                <w:rFonts w:ascii="宋体" w:hAnsi="宋体" w:eastAsia="宋体" w:cs="宋体"/>
                <w:spacing w:val="-10"/>
                <w:w w:val="95"/>
                <w:sz w:val="21"/>
                <w:szCs w:val="21"/>
              </w:rPr>
              <w:t>坏。运输时运输车辆应配备相应品种和数量的消防器材。严禁与酸类、易燃物、有机物、</w:t>
            </w:r>
            <w:r>
              <w:rPr>
                <w:rFonts w:ascii="宋体" w:hAnsi="宋体" w:eastAsia="宋体" w:cs="宋体"/>
                <w:spacing w:val="73"/>
                <w:w w:val="99"/>
                <w:sz w:val="21"/>
                <w:szCs w:val="21"/>
              </w:rPr>
              <w:t xml:space="preserve"> </w:t>
            </w:r>
            <w:r>
              <w:rPr>
                <w:rFonts w:ascii="宋体" w:hAnsi="宋体" w:eastAsia="宋体" w:cs="宋体"/>
                <w:spacing w:val="-10"/>
                <w:w w:val="95"/>
                <w:sz w:val="21"/>
                <w:szCs w:val="21"/>
              </w:rPr>
              <w:t>还原剂、自燃物品、遇湿易燃物品等并车混运。运输时车速不宜过快，不得强行超车。运</w:t>
            </w:r>
            <w:r>
              <w:rPr>
                <w:rFonts w:ascii="宋体" w:hAnsi="宋体" w:eastAsia="宋体" w:cs="宋体"/>
                <w:spacing w:val="27"/>
                <w:w w:val="99"/>
                <w:sz w:val="21"/>
                <w:szCs w:val="21"/>
              </w:rPr>
              <w:t xml:space="preserve"> </w:t>
            </w:r>
            <w:r>
              <w:rPr>
                <w:rFonts w:ascii="宋体" w:hAnsi="宋体" w:eastAsia="宋体" w:cs="宋体"/>
                <w:spacing w:val="-11"/>
                <w:sz w:val="21"/>
                <w:szCs w:val="21"/>
              </w:rPr>
              <w:t>输车辆装卸前后，均应彻底清扫、洗净，严禁混入有机物、易燃物等杂</w:t>
            </w:r>
          </w:p>
          <w:p>
            <w:pPr>
              <w:pStyle w:val="4069"/>
              <w:spacing w:line="245" w:lineRule="exact"/>
              <w:ind w:left="29" w:right="0"/>
              <w:jc w:val="center"/>
              <w:rPr>
                <w:rFonts w:ascii="宋体" w:hAnsi="宋体" w:eastAsia="宋体" w:cs="宋体"/>
                <w:sz w:val="21"/>
                <w:szCs w:val="21"/>
              </w:rPr>
            </w:pPr>
            <w:r>
              <w:rPr>
                <w:rFonts w:ascii="宋体" w:hAnsi="宋体" w:eastAsia="宋体" w:cs="宋体"/>
                <w:spacing w:val="-1"/>
                <w:sz w:val="21"/>
                <w:szCs w:val="21"/>
              </w:rPr>
              <w:t>质。</w:t>
            </w:r>
          </w:p>
        </w:tc>
      </w:tr>
    </w:tbl>
    <w:p>
      <w:pPr>
        <w:pStyle w:val="1659"/>
        <w:ind w:firstLine="0" w:firstLineChars="0"/>
        <w:jc w:val="center"/>
        <w:rPr>
          <w:rFonts w:ascii="Times New Roman" w:hAnsi="Times New Roman" w:eastAsia="宋体" w:cs="Times New Roman"/>
          <w:b/>
        </w:rPr>
      </w:pPr>
      <w:r>
        <w:rPr>
          <w:rFonts w:ascii="Times New Roman" w:hAnsi="Times New Roman" w:eastAsia="宋体" w:cs="Times New Roman"/>
          <w:b/>
        </w:rPr>
        <w:t>表 7.4-</w:t>
      </w:r>
      <w:r>
        <w:rPr>
          <w:rFonts w:hint="eastAsia" w:ascii="Times New Roman" w:hAnsi="Times New Roman" w:eastAsia="宋体" w:cs="Times New Roman"/>
          <w:b/>
          <w:lang w:val="en-US" w:eastAsia="zh-CN"/>
        </w:rPr>
        <w:t>3</w:t>
      </w:r>
      <w:r>
        <w:rPr>
          <w:rFonts w:ascii="Times New Roman" w:hAnsi="Times New Roman" w:eastAsia="宋体" w:cs="Times New Roman"/>
          <w:b/>
        </w:rPr>
        <w:tab/>
      </w:r>
      <w:r>
        <w:rPr>
          <w:rFonts w:hint="eastAsia" w:ascii="Times New Roman" w:hAnsi="Times New Roman" w:eastAsia="宋体" w:cs="Times New Roman"/>
          <w:b/>
          <w:lang w:eastAsia="zh-CN"/>
        </w:rPr>
        <w:t>盐酸</w:t>
      </w:r>
      <w:r>
        <w:rPr>
          <w:rFonts w:ascii="Times New Roman" w:hAnsi="Times New Roman" w:eastAsia="宋体" w:cs="Times New Roman"/>
          <w:b/>
        </w:rPr>
        <w:t>的理化性质和危险特性</w:t>
      </w:r>
    </w:p>
    <w:tbl>
      <w:tblPr>
        <w:tblStyle w:val="88"/>
        <w:tblW w:w="8523" w:type="dxa"/>
        <w:tblInd w:w="344" w:type="dxa"/>
        <w:tblLayout w:type="fixed"/>
        <w:tblCellMar>
          <w:top w:w="0" w:type="dxa"/>
          <w:left w:w="0" w:type="dxa"/>
          <w:bottom w:w="0" w:type="dxa"/>
          <w:right w:w="0" w:type="dxa"/>
        </w:tblCellMar>
      </w:tblPr>
      <w:tblGrid>
        <w:gridCol w:w="463"/>
        <w:gridCol w:w="1574"/>
        <w:gridCol w:w="986"/>
        <w:gridCol w:w="235"/>
        <w:gridCol w:w="146"/>
        <w:gridCol w:w="1312"/>
        <w:gridCol w:w="136"/>
        <w:gridCol w:w="890"/>
        <w:gridCol w:w="163"/>
        <w:gridCol w:w="1353"/>
        <w:gridCol w:w="431"/>
        <w:gridCol w:w="834"/>
      </w:tblGrid>
      <w:tr>
        <w:tblPrEx>
          <w:tblCellMar>
            <w:top w:w="0" w:type="dxa"/>
            <w:left w:w="0" w:type="dxa"/>
            <w:bottom w:w="0" w:type="dxa"/>
            <w:right w:w="0" w:type="dxa"/>
          </w:tblCellMar>
        </w:tblPrEx>
        <w:trPr>
          <w:trHeight w:val="371" w:hRule="exact"/>
        </w:trPr>
        <w:tc>
          <w:tcPr>
            <w:tcW w:w="463" w:type="dxa"/>
            <w:vMerge w:val="restart"/>
            <w:tcBorders>
              <w:top w:val="single" w:color="000000" w:sz="10" w:space="0"/>
              <w:left w:val="single" w:color="000000" w:sz="6" w:space="0"/>
              <w:right w:val="single" w:color="000000" w:sz="4" w:space="0"/>
            </w:tcBorders>
          </w:tcPr>
          <w:p>
            <w:pPr>
              <w:pStyle w:val="4069"/>
              <w:spacing w:before="9" w:line="260" w:lineRule="exact"/>
              <w:ind w:right="0"/>
              <w:jc w:val="left"/>
              <w:rPr>
                <w:sz w:val="26"/>
                <w:szCs w:val="26"/>
              </w:rPr>
            </w:pPr>
          </w:p>
          <w:p>
            <w:pPr>
              <w:pStyle w:val="4069"/>
              <w:spacing w:line="275" w:lineRule="auto"/>
              <w:ind w:left="127" w:right="0"/>
              <w:jc w:val="left"/>
              <w:rPr>
                <w:rFonts w:ascii="宋体" w:hAnsi="宋体" w:eastAsia="宋体" w:cs="宋体"/>
                <w:sz w:val="21"/>
                <w:szCs w:val="21"/>
              </w:rPr>
            </w:pPr>
            <w:r>
              <w:rPr>
                <w:rFonts w:ascii="宋体" w:hAnsi="宋体" w:eastAsia="宋体" w:cs="宋体"/>
                <w:sz w:val="21"/>
                <w:szCs w:val="21"/>
              </w:rPr>
              <w:t>标</w:t>
            </w:r>
            <w:r>
              <w:rPr>
                <w:rFonts w:ascii="宋体" w:hAnsi="宋体" w:eastAsia="宋体" w:cs="宋体"/>
                <w:w w:val="99"/>
                <w:sz w:val="21"/>
                <w:szCs w:val="21"/>
              </w:rPr>
              <w:t xml:space="preserve"> </w:t>
            </w:r>
            <w:r>
              <w:rPr>
                <w:rFonts w:ascii="宋体" w:hAnsi="宋体" w:eastAsia="宋体" w:cs="宋体"/>
                <w:sz w:val="21"/>
                <w:szCs w:val="21"/>
              </w:rPr>
              <w:t>识</w:t>
            </w:r>
          </w:p>
        </w:tc>
        <w:tc>
          <w:tcPr>
            <w:tcW w:w="5279" w:type="dxa"/>
            <w:gridSpan w:val="7"/>
            <w:tcBorders>
              <w:top w:val="single" w:color="000000" w:sz="10" w:space="0"/>
              <w:left w:val="single" w:color="000000" w:sz="4" w:space="0"/>
              <w:bottom w:val="single" w:color="000000" w:sz="4" w:space="0"/>
              <w:right w:val="single" w:color="000000" w:sz="4" w:space="0"/>
            </w:tcBorders>
          </w:tcPr>
          <w:p>
            <w:pPr>
              <w:pStyle w:val="4069"/>
              <w:spacing w:before="26" w:line="240" w:lineRule="auto"/>
              <w:ind w:left="2383" w:right="0"/>
              <w:jc w:val="left"/>
              <w:rPr>
                <w:rFonts w:ascii="宋体" w:hAnsi="宋体" w:eastAsia="宋体" w:cs="宋体"/>
                <w:sz w:val="21"/>
                <w:szCs w:val="21"/>
              </w:rPr>
            </w:pPr>
            <w:r>
              <w:rPr>
                <w:rFonts w:ascii="宋体" w:hAnsi="宋体" w:eastAsia="宋体" w:cs="宋体"/>
                <w:sz w:val="21"/>
                <w:szCs w:val="21"/>
              </w:rPr>
              <w:t>中文名：盐酸；氢氯酸</w:t>
            </w:r>
          </w:p>
        </w:tc>
        <w:tc>
          <w:tcPr>
            <w:tcW w:w="2781" w:type="dxa"/>
            <w:gridSpan w:val="4"/>
            <w:tcBorders>
              <w:top w:val="single" w:color="000000" w:sz="10" w:space="0"/>
              <w:left w:val="single" w:color="000000" w:sz="4" w:space="0"/>
              <w:bottom w:val="single" w:color="000000" w:sz="4" w:space="0"/>
              <w:right w:val="single" w:color="000000" w:sz="6" w:space="0"/>
            </w:tcBorders>
          </w:tcPr>
          <w:p>
            <w:pPr>
              <w:pStyle w:val="4069"/>
              <w:spacing w:before="26" w:line="240" w:lineRule="auto"/>
              <w:ind w:left="584" w:right="0"/>
              <w:jc w:val="left"/>
              <w:rPr>
                <w:rFonts w:ascii="Times New Roman" w:hAnsi="Times New Roman" w:eastAsia="Times New Roman" w:cs="Times New Roman"/>
                <w:sz w:val="21"/>
                <w:szCs w:val="21"/>
              </w:rPr>
            </w:pPr>
            <w:r>
              <w:rPr>
                <w:rFonts w:ascii="宋体" w:hAnsi="宋体" w:eastAsia="宋体" w:cs="宋体"/>
                <w:sz w:val="21"/>
                <w:szCs w:val="21"/>
              </w:rPr>
              <w:t>危险货物编号：</w:t>
            </w:r>
            <w:r>
              <w:rPr>
                <w:rFonts w:ascii="Times New Roman" w:hAnsi="Times New Roman" w:eastAsia="Times New Roman" w:cs="Times New Roman"/>
                <w:sz w:val="21"/>
                <w:szCs w:val="21"/>
              </w:rPr>
              <w:t>81013</w:t>
            </w:r>
          </w:p>
        </w:tc>
      </w:tr>
      <w:tr>
        <w:tblPrEx>
          <w:tblCellMar>
            <w:top w:w="0" w:type="dxa"/>
            <w:left w:w="0" w:type="dxa"/>
            <w:bottom w:w="0" w:type="dxa"/>
            <w:right w:w="0" w:type="dxa"/>
          </w:tblCellMar>
        </w:tblPrEx>
        <w:trPr>
          <w:trHeight w:val="350" w:hRule="exact"/>
        </w:trPr>
        <w:tc>
          <w:tcPr>
            <w:tcW w:w="463" w:type="dxa"/>
            <w:vMerge w:val="continue"/>
            <w:tcBorders>
              <w:left w:val="single" w:color="000000" w:sz="6" w:space="0"/>
              <w:right w:val="single" w:color="000000" w:sz="4" w:space="0"/>
            </w:tcBorders>
          </w:tcPr>
          <w:p/>
        </w:tc>
        <w:tc>
          <w:tcPr>
            <w:tcW w:w="5279" w:type="dxa"/>
            <w:gridSpan w:val="7"/>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1005" w:right="0"/>
              <w:jc w:val="left"/>
              <w:rPr>
                <w:rFonts w:ascii="Times New Roman" w:hAnsi="Times New Roman" w:eastAsia="Times New Roman" w:cs="Times New Roman"/>
                <w:sz w:val="21"/>
                <w:szCs w:val="21"/>
              </w:rPr>
            </w:pPr>
            <w:r>
              <w:rPr>
                <w:rFonts w:ascii="宋体" w:hAnsi="宋体" w:eastAsia="宋体" w:cs="宋体"/>
                <w:w w:val="90"/>
                <w:sz w:val="21"/>
                <w:szCs w:val="21"/>
              </w:rPr>
              <w:t>英文名：</w:t>
            </w:r>
            <w:r>
              <w:rPr>
                <w:rFonts w:ascii="Times New Roman" w:hAnsi="Times New Roman" w:eastAsia="Times New Roman" w:cs="Times New Roman"/>
                <w:w w:val="90"/>
                <w:sz w:val="21"/>
                <w:szCs w:val="21"/>
              </w:rPr>
              <w:t xml:space="preserve">Hydrochloric </w:t>
            </w:r>
            <w:r>
              <w:rPr>
                <w:rFonts w:ascii="Times New Roman" w:hAnsi="Times New Roman" w:eastAsia="Times New Roman" w:cs="Times New Roman"/>
                <w:spacing w:val="16"/>
                <w:w w:val="90"/>
                <w:sz w:val="21"/>
                <w:szCs w:val="21"/>
              </w:rPr>
              <w:t xml:space="preserve"> </w:t>
            </w:r>
            <w:r>
              <w:rPr>
                <w:rFonts w:ascii="Times New Roman" w:hAnsi="Times New Roman" w:eastAsia="Times New Roman" w:cs="Times New Roman"/>
                <w:w w:val="90"/>
                <w:sz w:val="21"/>
                <w:szCs w:val="21"/>
              </w:rPr>
              <w:t>acid</w:t>
            </w:r>
            <w:r>
              <w:rPr>
                <w:rFonts w:ascii="宋体" w:hAnsi="宋体" w:eastAsia="宋体" w:cs="宋体"/>
                <w:w w:val="90"/>
                <w:sz w:val="21"/>
                <w:szCs w:val="21"/>
              </w:rPr>
              <w:t>；</w:t>
            </w:r>
            <w:r>
              <w:rPr>
                <w:rFonts w:ascii="Times New Roman" w:hAnsi="Times New Roman" w:eastAsia="Times New Roman" w:cs="Times New Roman"/>
                <w:w w:val="90"/>
                <w:sz w:val="21"/>
                <w:szCs w:val="21"/>
              </w:rPr>
              <w:t xml:space="preserve">Chlorohydric </w:t>
            </w:r>
            <w:r>
              <w:rPr>
                <w:rFonts w:ascii="Times New Roman" w:hAnsi="Times New Roman" w:eastAsia="Times New Roman" w:cs="Times New Roman"/>
                <w:spacing w:val="17"/>
                <w:w w:val="90"/>
                <w:sz w:val="21"/>
                <w:szCs w:val="21"/>
              </w:rPr>
              <w:t xml:space="preserve"> </w:t>
            </w:r>
            <w:r>
              <w:rPr>
                <w:rFonts w:ascii="Times New Roman" w:hAnsi="Times New Roman" w:eastAsia="Times New Roman" w:cs="Times New Roman"/>
                <w:w w:val="90"/>
                <w:sz w:val="21"/>
                <w:szCs w:val="21"/>
              </w:rPr>
              <w:t>acid</w:t>
            </w:r>
          </w:p>
        </w:tc>
        <w:tc>
          <w:tcPr>
            <w:tcW w:w="2781" w:type="dxa"/>
            <w:gridSpan w:val="4"/>
            <w:tcBorders>
              <w:top w:val="single" w:color="000000" w:sz="4" w:space="0"/>
              <w:left w:val="single" w:color="000000" w:sz="4" w:space="0"/>
              <w:bottom w:val="single" w:color="000000" w:sz="4" w:space="0"/>
              <w:right w:val="single" w:color="000000" w:sz="6" w:space="0"/>
            </w:tcBorders>
          </w:tcPr>
          <w:p>
            <w:pPr>
              <w:pStyle w:val="4069"/>
              <w:spacing w:before="13" w:line="240" w:lineRule="auto"/>
              <w:ind w:left="1028"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UN</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编号：</w:t>
            </w:r>
            <w:r>
              <w:rPr>
                <w:rFonts w:ascii="Times New Roman" w:hAnsi="Times New Roman" w:eastAsia="Times New Roman" w:cs="Times New Roman"/>
                <w:sz w:val="21"/>
                <w:szCs w:val="21"/>
              </w:rPr>
              <w:t>1789</w:t>
            </w:r>
          </w:p>
        </w:tc>
      </w:tr>
      <w:tr>
        <w:tblPrEx>
          <w:tblCellMar>
            <w:top w:w="0" w:type="dxa"/>
            <w:left w:w="0" w:type="dxa"/>
            <w:bottom w:w="0" w:type="dxa"/>
            <w:right w:w="0" w:type="dxa"/>
          </w:tblCellMar>
        </w:tblPrEx>
        <w:trPr>
          <w:trHeight w:val="350" w:hRule="exact"/>
        </w:trPr>
        <w:tc>
          <w:tcPr>
            <w:tcW w:w="463" w:type="dxa"/>
            <w:vMerge w:val="continue"/>
            <w:tcBorders>
              <w:left w:val="single" w:color="000000" w:sz="6" w:space="0"/>
              <w:bottom w:val="single" w:color="000000" w:sz="4" w:space="0"/>
              <w:right w:val="single" w:color="000000" w:sz="4" w:space="0"/>
            </w:tcBorders>
          </w:tcPr>
          <w:p/>
        </w:tc>
        <w:tc>
          <w:tcPr>
            <w:tcW w:w="2795" w:type="dxa"/>
            <w:gridSpan w:val="3"/>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1202" w:right="0"/>
              <w:jc w:val="left"/>
              <w:rPr>
                <w:rFonts w:ascii="Times New Roman" w:hAnsi="Times New Roman" w:eastAsia="Times New Roman" w:cs="Times New Roman"/>
                <w:sz w:val="21"/>
                <w:szCs w:val="21"/>
              </w:rPr>
            </w:pPr>
            <w:r>
              <w:rPr>
                <w:rFonts w:ascii="宋体" w:hAnsi="宋体" w:eastAsia="宋体" w:cs="宋体"/>
                <w:sz w:val="21"/>
                <w:szCs w:val="21"/>
              </w:rPr>
              <w:t>分子式：</w:t>
            </w:r>
            <w:r>
              <w:rPr>
                <w:rFonts w:ascii="Times New Roman" w:hAnsi="Times New Roman" w:eastAsia="Times New Roman" w:cs="Times New Roman"/>
                <w:sz w:val="21"/>
                <w:szCs w:val="21"/>
              </w:rPr>
              <w:t>HCl</w:t>
            </w:r>
          </w:p>
        </w:tc>
        <w:tc>
          <w:tcPr>
            <w:tcW w:w="2484" w:type="dxa"/>
            <w:gridSpan w:val="4"/>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879" w:right="0"/>
              <w:jc w:val="left"/>
              <w:rPr>
                <w:rFonts w:ascii="Times New Roman" w:hAnsi="Times New Roman" w:eastAsia="Times New Roman" w:cs="Times New Roman"/>
                <w:sz w:val="21"/>
                <w:szCs w:val="21"/>
              </w:rPr>
            </w:pPr>
            <w:r>
              <w:rPr>
                <w:rFonts w:ascii="宋体" w:hAnsi="宋体" w:eastAsia="宋体" w:cs="宋体"/>
                <w:sz w:val="21"/>
                <w:szCs w:val="21"/>
              </w:rPr>
              <w:t>分子量：</w:t>
            </w:r>
            <w:r>
              <w:rPr>
                <w:rFonts w:ascii="Times New Roman" w:hAnsi="Times New Roman" w:eastAsia="Times New Roman" w:cs="Times New Roman"/>
                <w:sz w:val="21"/>
                <w:szCs w:val="21"/>
              </w:rPr>
              <w:t>36.46</w:t>
            </w:r>
          </w:p>
        </w:tc>
        <w:tc>
          <w:tcPr>
            <w:tcW w:w="2781" w:type="dxa"/>
            <w:gridSpan w:val="4"/>
            <w:tcBorders>
              <w:top w:val="single" w:color="000000" w:sz="4" w:space="0"/>
              <w:left w:val="single" w:color="000000" w:sz="4" w:space="0"/>
              <w:bottom w:val="single" w:color="000000" w:sz="4" w:space="0"/>
              <w:right w:val="single" w:color="000000" w:sz="6" w:space="0"/>
            </w:tcBorders>
          </w:tcPr>
          <w:p>
            <w:pPr>
              <w:pStyle w:val="4069"/>
              <w:spacing w:before="13" w:line="240" w:lineRule="auto"/>
              <w:ind w:left="766"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CAS</w:t>
            </w:r>
            <w:r>
              <w:rPr>
                <w:rFonts w:ascii="Times New Roman" w:hAnsi="Times New Roman" w:eastAsia="Times New Roman" w:cs="Times New Roman"/>
                <w:spacing w:val="-17"/>
                <w:sz w:val="21"/>
                <w:szCs w:val="21"/>
              </w:rPr>
              <w:t xml:space="preserve"> </w:t>
            </w:r>
            <w:r>
              <w:rPr>
                <w:rFonts w:ascii="宋体" w:hAnsi="宋体" w:eastAsia="宋体" w:cs="宋体"/>
                <w:sz w:val="21"/>
                <w:szCs w:val="21"/>
              </w:rPr>
              <w:t>号：</w:t>
            </w:r>
            <w:r>
              <w:rPr>
                <w:rFonts w:ascii="Times New Roman" w:hAnsi="Times New Roman" w:eastAsia="Times New Roman" w:cs="Times New Roman"/>
                <w:sz w:val="21"/>
                <w:szCs w:val="21"/>
              </w:rPr>
              <w:t>7647-01-0</w:t>
            </w:r>
          </w:p>
        </w:tc>
      </w:tr>
      <w:tr>
        <w:tblPrEx>
          <w:tblCellMar>
            <w:top w:w="0" w:type="dxa"/>
            <w:left w:w="0" w:type="dxa"/>
            <w:bottom w:w="0" w:type="dxa"/>
            <w:right w:w="0" w:type="dxa"/>
          </w:tblCellMar>
        </w:tblPrEx>
        <w:trPr>
          <w:trHeight w:val="350" w:hRule="exact"/>
        </w:trPr>
        <w:tc>
          <w:tcPr>
            <w:tcW w:w="463" w:type="dxa"/>
            <w:vMerge w:val="restart"/>
            <w:tcBorders>
              <w:top w:val="single" w:color="000000" w:sz="4" w:space="0"/>
              <w:left w:val="single" w:color="000000" w:sz="6" w:space="0"/>
              <w:right w:val="single" w:color="000000" w:sz="4" w:space="0"/>
            </w:tcBorders>
          </w:tcPr>
          <w:p>
            <w:pPr>
              <w:pStyle w:val="4069"/>
              <w:spacing w:before="155" w:line="275" w:lineRule="auto"/>
              <w:ind w:left="127" w:right="114"/>
              <w:jc w:val="both"/>
              <w:rPr>
                <w:rFonts w:ascii="宋体" w:hAnsi="宋体" w:eastAsia="宋体" w:cs="宋体"/>
                <w:sz w:val="21"/>
                <w:szCs w:val="21"/>
              </w:rPr>
            </w:pPr>
            <w:r>
              <w:rPr>
                <w:rFonts w:ascii="宋体" w:hAnsi="宋体" w:eastAsia="宋体" w:cs="宋体"/>
                <w:sz w:val="21"/>
                <w:szCs w:val="21"/>
              </w:rPr>
              <w:t>理</w:t>
            </w:r>
            <w:r>
              <w:rPr>
                <w:rFonts w:ascii="宋体" w:hAnsi="宋体" w:eastAsia="宋体" w:cs="宋体"/>
                <w:w w:val="99"/>
                <w:sz w:val="21"/>
                <w:szCs w:val="21"/>
              </w:rPr>
              <w:t xml:space="preserve"> </w:t>
            </w:r>
            <w:r>
              <w:rPr>
                <w:rFonts w:ascii="宋体" w:hAnsi="宋体" w:eastAsia="宋体" w:cs="宋体"/>
                <w:sz w:val="21"/>
                <w:szCs w:val="21"/>
              </w:rPr>
              <w:t>化</w:t>
            </w:r>
            <w:r>
              <w:rPr>
                <w:rFonts w:ascii="宋体" w:hAnsi="宋体" w:eastAsia="宋体" w:cs="宋体"/>
                <w:w w:val="99"/>
                <w:sz w:val="21"/>
                <w:szCs w:val="21"/>
              </w:rPr>
              <w:t xml:space="preserve"> </w:t>
            </w:r>
            <w:r>
              <w:rPr>
                <w:rFonts w:ascii="宋体" w:hAnsi="宋体" w:eastAsia="宋体" w:cs="宋体"/>
                <w:sz w:val="21"/>
                <w:szCs w:val="21"/>
              </w:rPr>
              <w:t>性</w:t>
            </w:r>
            <w:r>
              <w:rPr>
                <w:rFonts w:ascii="宋体" w:hAnsi="宋体" w:eastAsia="宋体" w:cs="宋体"/>
                <w:w w:val="99"/>
                <w:sz w:val="21"/>
                <w:szCs w:val="21"/>
              </w:rPr>
              <w:t xml:space="preserve"> </w:t>
            </w:r>
            <w:r>
              <w:rPr>
                <w:rFonts w:ascii="宋体" w:hAnsi="宋体" w:eastAsia="宋体" w:cs="宋体"/>
                <w:sz w:val="21"/>
                <w:szCs w:val="21"/>
              </w:rPr>
              <w:t>质</w:t>
            </w: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269" w:right="0"/>
              <w:jc w:val="left"/>
              <w:rPr>
                <w:rFonts w:ascii="宋体" w:hAnsi="宋体" w:eastAsia="宋体" w:cs="宋体"/>
                <w:sz w:val="21"/>
                <w:szCs w:val="21"/>
              </w:rPr>
            </w:pPr>
            <w:r>
              <w:rPr>
                <w:rFonts w:ascii="宋体" w:hAnsi="宋体" w:eastAsia="宋体" w:cs="宋体"/>
                <w:sz w:val="21"/>
                <w:szCs w:val="21"/>
              </w:rPr>
              <w:t>外观与性状</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2026" w:right="0"/>
              <w:jc w:val="left"/>
              <w:rPr>
                <w:rFonts w:ascii="宋体" w:hAnsi="宋体" w:eastAsia="宋体" w:cs="宋体"/>
                <w:sz w:val="21"/>
                <w:szCs w:val="21"/>
              </w:rPr>
            </w:pPr>
            <w:r>
              <w:rPr>
                <w:rFonts w:ascii="宋体" w:hAnsi="宋体" w:eastAsia="宋体" w:cs="宋体"/>
                <w:sz w:val="21"/>
                <w:szCs w:val="21"/>
              </w:rPr>
              <w:t>无色或微黄色发烟液体，有刺鼻的酸味。</w:t>
            </w:r>
          </w:p>
        </w:tc>
      </w:tr>
      <w:tr>
        <w:tblPrEx>
          <w:tblCellMar>
            <w:top w:w="0" w:type="dxa"/>
            <w:left w:w="0" w:type="dxa"/>
            <w:bottom w:w="0" w:type="dxa"/>
            <w:right w:w="0" w:type="dxa"/>
          </w:tblCellMar>
        </w:tblPrEx>
        <w:trPr>
          <w:trHeight w:val="347"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7" w:line="240" w:lineRule="auto"/>
              <w:ind w:left="309" w:right="0"/>
              <w:jc w:val="left"/>
              <w:rPr>
                <w:rFonts w:ascii="宋体" w:hAnsi="宋体" w:eastAsia="宋体" w:cs="宋体"/>
                <w:sz w:val="21"/>
                <w:szCs w:val="21"/>
              </w:rPr>
            </w:pPr>
            <w:r>
              <w:rPr>
                <w:rFonts w:ascii="宋体" w:hAnsi="宋体" w:eastAsia="宋体" w:cs="宋体"/>
                <w:spacing w:val="-9"/>
                <w:sz w:val="21"/>
                <w:szCs w:val="21"/>
              </w:rPr>
              <w:t>熔点（℃）</w:t>
            </w:r>
          </w:p>
        </w:tc>
        <w:tc>
          <w:tcPr>
            <w:tcW w:w="986" w:type="dxa"/>
            <w:tcBorders>
              <w:top w:val="single" w:color="000000" w:sz="4" w:space="0"/>
              <w:left w:val="single" w:color="000000" w:sz="4" w:space="0"/>
              <w:bottom w:val="single" w:color="000000" w:sz="4" w:space="0"/>
              <w:right w:val="single" w:color="000000" w:sz="4" w:space="0"/>
            </w:tcBorders>
          </w:tcPr>
          <w:p>
            <w:pPr>
              <w:pStyle w:val="4069"/>
              <w:spacing w:before="53" w:line="240" w:lineRule="auto"/>
              <w:ind w:left="266" w:right="0"/>
              <w:jc w:val="left"/>
              <w:rPr>
                <w:rFonts w:ascii="Times New Roman" w:hAnsi="Times New Roman" w:eastAsia="Times New Roman" w:cs="Times New Roman"/>
                <w:sz w:val="21"/>
                <w:szCs w:val="21"/>
              </w:rPr>
            </w:pPr>
            <w:r>
              <w:rPr>
                <w:rFonts w:ascii="Times New Roman"/>
                <w:spacing w:val="-7"/>
                <w:sz w:val="21"/>
              </w:rPr>
              <w:t>-114.8</w:t>
            </w:r>
          </w:p>
        </w:tc>
        <w:tc>
          <w:tcPr>
            <w:tcW w:w="1829" w:type="dxa"/>
            <w:gridSpan w:val="4"/>
            <w:tcBorders>
              <w:top w:val="single" w:color="000000" w:sz="4" w:space="0"/>
              <w:left w:val="single" w:color="000000" w:sz="4" w:space="0"/>
              <w:bottom w:val="single" w:color="000000" w:sz="4" w:space="0"/>
              <w:right w:val="single" w:color="000000" w:sz="4" w:space="0"/>
            </w:tcBorders>
          </w:tcPr>
          <w:p>
            <w:pPr>
              <w:pStyle w:val="4069"/>
              <w:spacing w:before="7" w:line="240" w:lineRule="auto"/>
              <w:ind w:left="272" w:right="0"/>
              <w:jc w:val="left"/>
              <w:rPr>
                <w:rFonts w:ascii="Times New Roman" w:hAnsi="Times New Roman" w:eastAsia="Times New Roman" w:cs="Times New Roman"/>
                <w:sz w:val="21"/>
                <w:szCs w:val="21"/>
              </w:rPr>
            </w:pPr>
            <w:r>
              <w:rPr>
                <w:rFonts w:ascii="宋体" w:hAnsi="宋体" w:eastAsia="宋体" w:cs="宋体"/>
                <w:spacing w:val="-10"/>
                <w:sz w:val="21"/>
                <w:szCs w:val="21"/>
              </w:rPr>
              <w:t>相对密度</w:t>
            </w:r>
            <w:r>
              <w:rPr>
                <w:rFonts w:ascii="Times New Roman" w:hAnsi="Times New Roman" w:eastAsia="Times New Roman" w:cs="Times New Roman"/>
                <w:spacing w:val="-10"/>
                <w:sz w:val="21"/>
                <w:szCs w:val="21"/>
              </w:rPr>
              <w:t>(</w:t>
            </w:r>
            <w:r>
              <w:rPr>
                <w:rFonts w:ascii="宋体" w:hAnsi="宋体" w:eastAsia="宋体" w:cs="宋体"/>
                <w:spacing w:val="-10"/>
                <w:sz w:val="21"/>
                <w:szCs w:val="21"/>
              </w:rPr>
              <w:t>水</w:t>
            </w:r>
            <w:r>
              <w:rPr>
                <w:rFonts w:ascii="Times New Roman" w:hAnsi="Times New Roman" w:eastAsia="Times New Roman" w:cs="Times New Roman"/>
                <w:spacing w:val="-10"/>
                <w:sz w:val="21"/>
                <w:szCs w:val="21"/>
              </w:rPr>
              <w:t>=1)</w:t>
            </w:r>
          </w:p>
        </w:tc>
        <w:tc>
          <w:tcPr>
            <w:tcW w:w="890" w:type="dxa"/>
            <w:tcBorders>
              <w:top w:val="single" w:color="000000" w:sz="4" w:space="0"/>
              <w:left w:val="single" w:color="000000" w:sz="4" w:space="0"/>
              <w:bottom w:val="single" w:color="000000" w:sz="4" w:space="0"/>
              <w:right w:val="single" w:color="000000" w:sz="4" w:space="0"/>
            </w:tcBorders>
          </w:tcPr>
          <w:p>
            <w:pPr>
              <w:pStyle w:val="4069"/>
              <w:spacing w:before="53" w:line="240" w:lineRule="auto"/>
              <w:ind w:left="296" w:right="0"/>
              <w:jc w:val="left"/>
              <w:rPr>
                <w:rFonts w:ascii="Times New Roman" w:hAnsi="Times New Roman" w:eastAsia="Times New Roman" w:cs="Times New Roman"/>
                <w:sz w:val="21"/>
                <w:szCs w:val="21"/>
              </w:rPr>
            </w:pPr>
            <w:r>
              <w:rPr>
                <w:rFonts w:ascii="Times New Roman"/>
                <w:spacing w:val="-5"/>
                <w:sz w:val="21"/>
              </w:rPr>
              <w:t>1.20</w:t>
            </w:r>
          </w:p>
        </w:tc>
        <w:tc>
          <w:tcPr>
            <w:tcW w:w="1947" w:type="dxa"/>
            <w:gridSpan w:val="3"/>
            <w:tcBorders>
              <w:top w:val="single" w:color="000000" w:sz="4" w:space="0"/>
              <w:left w:val="single" w:color="000000" w:sz="4" w:space="0"/>
              <w:bottom w:val="single" w:color="000000" w:sz="4" w:space="0"/>
              <w:right w:val="single" w:color="000000" w:sz="4" w:space="0"/>
            </w:tcBorders>
          </w:tcPr>
          <w:p>
            <w:pPr>
              <w:pStyle w:val="4069"/>
              <w:spacing w:before="7" w:line="240" w:lineRule="auto"/>
              <w:ind w:left="231" w:right="0"/>
              <w:jc w:val="left"/>
              <w:rPr>
                <w:rFonts w:ascii="Times New Roman" w:hAnsi="Times New Roman" w:eastAsia="Times New Roman" w:cs="Times New Roman"/>
                <w:sz w:val="21"/>
                <w:szCs w:val="21"/>
              </w:rPr>
            </w:pPr>
            <w:r>
              <w:rPr>
                <w:rFonts w:ascii="宋体" w:hAnsi="宋体" w:eastAsia="宋体" w:cs="宋体"/>
                <w:spacing w:val="-10"/>
                <w:sz w:val="21"/>
                <w:szCs w:val="21"/>
              </w:rPr>
              <w:t>相对密度</w:t>
            </w:r>
            <w:r>
              <w:rPr>
                <w:rFonts w:ascii="Times New Roman" w:hAnsi="Times New Roman" w:eastAsia="Times New Roman" w:cs="Times New Roman"/>
                <w:spacing w:val="-10"/>
                <w:sz w:val="21"/>
                <w:szCs w:val="21"/>
              </w:rPr>
              <w:t>(</w:t>
            </w:r>
            <w:r>
              <w:rPr>
                <w:rFonts w:ascii="宋体" w:hAnsi="宋体" w:eastAsia="宋体" w:cs="宋体"/>
                <w:spacing w:val="-10"/>
                <w:sz w:val="21"/>
                <w:szCs w:val="21"/>
              </w:rPr>
              <w:t>空气</w:t>
            </w:r>
            <w:r>
              <w:rPr>
                <w:rFonts w:ascii="Times New Roman" w:hAnsi="Times New Roman" w:eastAsia="Times New Roman" w:cs="Times New Roman"/>
                <w:spacing w:val="-10"/>
                <w:sz w:val="21"/>
                <w:szCs w:val="21"/>
              </w:rPr>
              <w:t>=1)</w:t>
            </w:r>
          </w:p>
        </w:tc>
        <w:tc>
          <w:tcPr>
            <w:tcW w:w="834" w:type="dxa"/>
            <w:tcBorders>
              <w:top w:val="single" w:color="000000" w:sz="4" w:space="0"/>
              <w:left w:val="single" w:color="000000" w:sz="4" w:space="0"/>
              <w:bottom w:val="single" w:color="000000" w:sz="4" w:space="0"/>
              <w:right w:val="single" w:color="000000" w:sz="6" w:space="0"/>
            </w:tcBorders>
          </w:tcPr>
          <w:p>
            <w:pPr>
              <w:pStyle w:val="4069"/>
              <w:spacing w:before="53" w:line="240" w:lineRule="auto"/>
              <w:ind w:left="262" w:right="0"/>
              <w:jc w:val="left"/>
              <w:rPr>
                <w:rFonts w:ascii="Times New Roman" w:hAnsi="Times New Roman" w:eastAsia="Times New Roman" w:cs="Times New Roman"/>
                <w:sz w:val="21"/>
                <w:szCs w:val="21"/>
              </w:rPr>
            </w:pPr>
            <w:r>
              <w:rPr>
                <w:rFonts w:ascii="Times New Roman"/>
                <w:spacing w:val="-5"/>
                <w:sz w:val="21"/>
              </w:rPr>
              <w:t>1.26</w:t>
            </w:r>
          </w:p>
        </w:tc>
      </w:tr>
      <w:tr>
        <w:tblPrEx>
          <w:tblCellMar>
            <w:top w:w="0" w:type="dxa"/>
            <w:left w:w="0" w:type="dxa"/>
            <w:bottom w:w="0" w:type="dxa"/>
            <w:right w:w="0" w:type="dxa"/>
          </w:tblCellMar>
        </w:tblPrEx>
        <w:trPr>
          <w:trHeight w:val="527"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269" w:right="0"/>
              <w:jc w:val="left"/>
              <w:rPr>
                <w:rFonts w:ascii="宋体" w:hAnsi="宋体" w:eastAsia="宋体" w:cs="宋体"/>
                <w:sz w:val="21"/>
                <w:szCs w:val="21"/>
              </w:rPr>
            </w:pPr>
            <w:r>
              <w:rPr>
                <w:rFonts w:ascii="宋体" w:hAnsi="宋体" w:eastAsia="宋体" w:cs="宋体"/>
                <w:sz w:val="21"/>
                <w:szCs w:val="21"/>
              </w:rPr>
              <w:t>沸点（℃）</w:t>
            </w:r>
          </w:p>
        </w:tc>
        <w:tc>
          <w:tcPr>
            <w:tcW w:w="986" w:type="dxa"/>
            <w:tcBorders>
              <w:top w:val="single" w:color="000000" w:sz="4" w:space="0"/>
              <w:left w:val="single" w:color="000000" w:sz="4" w:space="0"/>
              <w:bottom w:val="single" w:color="000000" w:sz="4" w:space="0"/>
              <w:right w:val="single" w:color="000000" w:sz="4" w:space="0"/>
            </w:tcBorders>
          </w:tcPr>
          <w:p>
            <w:pPr>
              <w:pStyle w:val="4069"/>
              <w:spacing w:before="162" w:line="240" w:lineRule="auto"/>
              <w:ind w:left="408" w:right="0"/>
              <w:jc w:val="left"/>
              <w:rPr>
                <w:rFonts w:ascii="Times New Roman" w:hAnsi="Times New Roman" w:eastAsia="Times New Roman" w:cs="Times New Roman"/>
                <w:sz w:val="21"/>
                <w:szCs w:val="21"/>
              </w:rPr>
            </w:pPr>
            <w:r>
              <w:rPr>
                <w:rFonts w:ascii="Times New Roman"/>
                <w:w w:val="85"/>
                <w:sz w:val="21"/>
              </w:rPr>
              <w:t>10</w:t>
            </w:r>
            <w:r>
              <w:rPr>
                <w:rFonts w:ascii="Times New Roman"/>
                <w:spacing w:val="3"/>
                <w:w w:val="85"/>
                <w:sz w:val="21"/>
              </w:rPr>
              <w:t>8</w:t>
            </w:r>
            <w:r>
              <w:rPr>
                <w:rFonts w:ascii="Times New Roman"/>
                <w:spacing w:val="-1"/>
                <w:w w:val="85"/>
                <w:sz w:val="21"/>
              </w:rPr>
              <w:t>.</w:t>
            </w:r>
            <w:r>
              <w:rPr>
                <w:rFonts w:ascii="Times New Roman"/>
                <w:w w:val="85"/>
                <w:sz w:val="21"/>
              </w:rPr>
              <w:t>6</w:t>
            </w:r>
          </w:p>
        </w:tc>
        <w:tc>
          <w:tcPr>
            <w:tcW w:w="2719" w:type="dxa"/>
            <w:gridSpan w:val="5"/>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699" w:right="0"/>
              <w:jc w:val="left"/>
              <w:rPr>
                <w:rFonts w:ascii="宋体" w:hAnsi="宋体" w:eastAsia="宋体" w:cs="宋体"/>
                <w:sz w:val="21"/>
                <w:szCs w:val="21"/>
              </w:rPr>
            </w:pPr>
            <w:r>
              <w:rPr>
                <w:rFonts w:ascii="宋体" w:hAnsi="宋体" w:eastAsia="宋体" w:cs="宋体"/>
                <w:sz w:val="21"/>
                <w:szCs w:val="21"/>
              </w:rPr>
              <w:t>饱和蒸气压（</w:t>
            </w:r>
            <w:r>
              <w:rPr>
                <w:rFonts w:ascii="Times New Roman" w:hAnsi="Times New Roman" w:eastAsia="Times New Roman" w:cs="Times New Roman"/>
                <w:sz w:val="21"/>
                <w:szCs w:val="21"/>
              </w:rPr>
              <w:t>kPa</w:t>
            </w:r>
            <w:r>
              <w:rPr>
                <w:rFonts w:ascii="宋体" w:hAnsi="宋体" w:eastAsia="宋体" w:cs="宋体"/>
                <w:sz w:val="21"/>
                <w:szCs w:val="21"/>
              </w:rPr>
              <w:t>）</w:t>
            </w:r>
          </w:p>
        </w:tc>
        <w:tc>
          <w:tcPr>
            <w:tcW w:w="2781" w:type="dxa"/>
            <w:gridSpan w:val="4"/>
            <w:tcBorders>
              <w:top w:val="single" w:color="000000" w:sz="4" w:space="0"/>
              <w:left w:val="single" w:color="000000" w:sz="4" w:space="0"/>
              <w:bottom w:val="single" w:color="000000" w:sz="4" w:space="0"/>
              <w:right w:val="single" w:color="000000" w:sz="6" w:space="0"/>
            </w:tcBorders>
          </w:tcPr>
          <w:p>
            <w:pPr>
              <w:pStyle w:val="4069"/>
              <w:spacing w:before="116" w:line="240" w:lineRule="auto"/>
              <w:ind w:left="1417" w:right="0"/>
              <w:jc w:val="left"/>
              <w:rPr>
                <w:rFonts w:ascii="宋体" w:hAnsi="宋体" w:eastAsia="宋体" w:cs="宋体"/>
                <w:sz w:val="21"/>
                <w:szCs w:val="21"/>
              </w:rPr>
            </w:pPr>
            <w:r>
              <w:rPr>
                <w:rFonts w:ascii="Times New Roman" w:hAnsi="Times New Roman" w:eastAsia="Times New Roman" w:cs="Times New Roman"/>
                <w:w w:val="85"/>
                <w:sz w:val="21"/>
                <w:szCs w:val="21"/>
              </w:rPr>
              <w:t>30.66/21</w:t>
            </w:r>
            <w:r>
              <w:rPr>
                <w:rFonts w:ascii="宋体" w:hAnsi="宋体" w:eastAsia="宋体" w:cs="宋体"/>
                <w:w w:val="85"/>
                <w:sz w:val="21"/>
                <w:szCs w:val="21"/>
              </w:rPr>
              <w:t>℃</w:t>
            </w:r>
          </w:p>
        </w:tc>
      </w:tr>
      <w:tr>
        <w:tblPrEx>
          <w:tblCellMar>
            <w:top w:w="0" w:type="dxa"/>
            <w:left w:w="0" w:type="dxa"/>
            <w:bottom w:w="0" w:type="dxa"/>
            <w:right w:w="0" w:type="dxa"/>
          </w:tblCellMar>
        </w:tblPrEx>
        <w:trPr>
          <w:trHeight w:val="350" w:hRule="exact"/>
        </w:trPr>
        <w:tc>
          <w:tcPr>
            <w:tcW w:w="463" w:type="dxa"/>
            <w:vMerge w:val="continue"/>
            <w:tcBorders>
              <w:left w:val="single" w:color="000000" w:sz="6" w:space="0"/>
              <w:bottom w:val="single" w:color="000000" w:sz="4"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80" w:right="0"/>
              <w:jc w:val="left"/>
              <w:rPr>
                <w:rFonts w:ascii="宋体" w:hAnsi="宋体" w:eastAsia="宋体" w:cs="宋体"/>
                <w:sz w:val="21"/>
                <w:szCs w:val="21"/>
              </w:rPr>
            </w:pPr>
            <w:r>
              <w:rPr>
                <w:rFonts w:ascii="宋体" w:hAnsi="宋体" w:eastAsia="宋体" w:cs="宋体"/>
                <w:sz w:val="21"/>
                <w:szCs w:val="21"/>
              </w:rPr>
              <w:t>溶解性</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36" w:right="0"/>
              <w:jc w:val="center"/>
              <w:rPr>
                <w:rFonts w:ascii="宋体" w:hAnsi="宋体" w:eastAsia="宋体" w:cs="宋体"/>
                <w:sz w:val="21"/>
                <w:szCs w:val="21"/>
              </w:rPr>
            </w:pPr>
            <w:r>
              <w:rPr>
                <w:rFonts w:ascii="宋体" w:hAnsi="宋体" w:eastAsia="宋体" w:cs="宋体"/>
                <w:sz w:val="21"/>
                <w:szCs w:val="21"/>
              </w:rPr>
              <w:t>与水混溶，溶于碱液。</w:t>
            </w:r>
          </w:p>
        </w:tc>
      </w:tr>
      <w:tr>
        <w:tblPrEx>
          <w:tblCellMar>
            <w:top w:w="0" w:type="dxa"/>
            <w:left w:w="0" w:type="dxa"/>
            <w:bottom w:w="0" w:type="dxa"/>
            <w:right w:w="0" w:type="dxa"/>
          </w:tblCellMar>
        </w:tblPrEx>
        <w:trPr>
          <w:trHeight w:val="350" w:hRule="exact"/>
        </w:trPr>
        <w:tc>
          <w:tcPr>
            <w:tcW w:w="463" w:type="dxa"/>
            <w:vMerge w:val="restart"/>
            <w:tcBorders>
              <w:top w:val="single" w:color="000000" w:sz="4" w:space="0"/>
              <w:left w:val="single" w:color="000000" w:sz="6" w:space="0"/>
              <w:right w:val="single" w:color="000000" w:sz="4" w:space="0"/>
            </w:tcBorders>
          </w:tcPr>
          <w:p>
            <w:pPr>
              <w:pStyle w:val="4069"/>
              <w:spacing w:before="7" w:line="120" w:lineRule="exact"/>
              <w:ind w:right="0"/>
              <w:jc w:val="left"/>
              <w:rPr>
                <w:sz w:val="12"/>
                <w:szCs w:val="12"/>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75" w:lineRule="auto"/>
              <w:ind w:left="127" w:right="114"/>
              <w:jc w:val="both"/>
              <w:rPr>
                <w:rFonts w:ascii="宋体" w:hAnsi="宋体" w:eastAsia="宋体" w:cs="宋体"/>
                <w:sz w:val="21"/>
                <w:szCs w:val="21"/>
              </w:rPr>
            </w:pPr>
            <w:r>
              <w:rPr>
                <w:rFonts w:ascii="宋体" w:hAnsi="宋体" w:eastAsia="宋体" w:cs="宋体"/>
                <w:sz w:val="21"/>
                <w:szCs w:val="21"/>
              </w:rPr>
              <w:t>毒</w:t>
            </w:r>
            <w:r>
              <w:rPr>
                <w:rFonts w:ascii="宋体" w:hAnsi="宋体" w:eastAsia="宋体" w:cs="宋体"/>
                <w:w w:val="99"/>
                <w:sz w:val="21"/>
                <w:szCs w:val="21"/>
              </w:rPr>
              <w:t xml:space="preserve"> </w:t>
            </w:r>
            <w:r>
              <w:rPr>
                <w:rFonts w:ascii="宋体" w:hAnsi="宋体" w:eastAsia="宋体" w:cs="宋体"/>
                <w:sz w:val="21"/>
                <w:szCs w:val="21"/>
              </w:rPr>
              <w:t>性</w:t>
            </w:r>
            <w:r>
              <w:rPr>
                <w:rFonts w:ascii="宋体" w:hAnsi="宋体" w:eastAsia="宋体" w:cs="宋体"/>
                <w:w w:val="99"/>
                <w:sz w:val="21"/>
                <w:szCs w:val="21"/>
              </w:rPr>
              <w:t xml:space="preserve"> </w:t>
            </w:r>
            <w:r>
              <w:rPr>
                <w:rFonts w:ascii="宋体" w:hAnsi="宋体" w:eastAsia="宋体" w:cs="宋体"/>
                <w:sz w:val="21"/>
                <w:szCs w:val="21"/>
              </w:rPr>
              <w:t>及</w:t>
            </w:r>
            <w:r>
              <w:rPr>
                <w:rFonts w:ascii="宋体" w:hAnsi="宋体" w:eastAsia="宋体" w:cs="宋体"/>
                <w:w w:val="99"/>
                <w:sz w:val="21"/>
                <w:szCs w:val="21"/>
              </w:rPr>
              <w:t xml:space="preserve"> </w:t>
            </w:r>
            <w:r>
              <w:rPr>
                <w:rFonts w:ascii="宋体" w:hAnsi="宋体" w:eastAsia="宋体" w:cs="宋体"/>
                <w:sz w:val="21"/>
                <w:szCs w:val="21"/>
              </w:rPr>
              <w:t>健</w:t>
            </w:r>
            <w:r>
              <w:rPr>
                <w:rFonts w:ascii="宋体" w:hAnsi="宋体" w:eastAsia="宋体" w:cs="宋体"/>
                <w:w w:val="99"/>
                <w:sz w:val="21"/>
                <w:szCs w:val="21"/>
              </w:rPr>
              <w:t xml:space="preserve"> </w:t>
            </w:r>
            <w:r>
              <w:rPr>
                <w:rFonts w:ascii="宋体" w:hAnsi="宋体" w:eastAsia="宋体" w:cs="宋体"/>
                <w:sz w:val="21"/>
                <w:szCs w:val="21"/>
              </w:rPr>
              <w:t>康</w:t>
            </w:r>
            <w:r>
              <w:rPr>
                <w:rFonts w:ascii="宋体" w:hAnsi="宋体" w:eastAsia="宋体" w:cs="宋体"/>
                <w:w w:val="99"/>
                <w:sz w:val="21"/>
                <w:szCs w:val="21"/>
              </w:rPr>
              <w:t xml:space="preserve"> </w:t>
            </w:r>
            <w:r>
              <w:rPr>
                <w:rFonts w:ascii="宋体" w:hAnsi="宋体" w:eastAsia="宋体" w:cs="宋体"/>
                <w:sz w:val="21"/>
                <w:szCs w:val="21"/>
              </w:rPr>
              <w:t>危</w:t>
            </w:r>
            <w:r>
              <w:rPr>
                <w:rFonts w:ascii="宋体" w:hAnsi="宋体" w:eastAsia="宋体" w:cs="宋体"/>
                <w:w w:val="99"/>
                <w:sz w:val="21"/>
                <w:szCs w:val="21"/>
              </w:rPr>
              <w:t xml:space="preserve"> </w:t>
            </w:r>
            <w:r>
              <w:rPr>
                <w:rFonts w:ascii="宋体" w:hAnsi="宋体" w:eastAsia="宋体" w:cs="宋体"/>
                <w:sz w:val="21"/>
                <w:szCs w:val="21"/>
              </w:rPr>
              <w:t>害</w:t>
            </w: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377" w:right="0"/>
              <w:jc w:val="left"/>
              <w:rPr>
                <w:rFonts w:ascii="宋体" w:hAnsi="宋体" w:eastAsia="宋体" w:cs="宋体"/>
                <w:sz w:val="21"/>
                <w:szCs w:val="21"/>
              </w:rPr>
            </w:pPr>
            <w:r>
              <w:rPr>
                <w:rFonts w:ascii="宋体" w:hAnsi="宋体" w:eastAsia="宋体" w:cs="宋体"/>
                <w:sz w:val="21"/>
                <w:szCs w:val="21"/>
              </w:rPr>
              <w:t>侵入途径</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3127" w:right="0"/>
              <w:jc w:val="left"/>
              <w:rPr>
                <w:rFonts w:ascii="宋体" w:hAnsi="宋体" w:eastAsia="宋体" w:cs="宋体"/>
                <w:sz w:val="21"/>
                <w:szCs w:val="21"/>
              </w:rPr>
            </w:pPr>
            <w:r>
              <w:rPr>
                <w:rFonts w:ascii="宋体" w:hAnsi="宋体" w:eastAsia="宋体" w:cs="宋体"/>
                <w:sz w:val="21"/>
                <w:szCs w:val="21"/>
              </w:rPr>
              <w:t>吸入、食入、经皮吸收。</w:t>
            </w:r>
          </w:p>
        </w:tc>
      </w:tr>
      <w:tr>
        <w:tblPrEx>
          <w:tblCellMar>
            <w:top w:w="0" w:type="dxa"/>
            <w:left w:w="0" w:type="dxa"/>
            <w:bottom w:w="0" w:type="dxa"/>
            <w:right w:w="0" w:type="dxa"/>
          </w:tblCellMar>
        </w:tblPrEx>
        <w:trPr>
          <w:trHeight w:val="554"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99" w:line="240" w:lineRule="auto"/>
              <w:ind w:left="20" w:right="0"/>
              <w:jc w:val="center"/>
              <w:rPr>
                <w:rFonts w:ascii="宋体" w:hAnsi="宋体" w:eastAsia="宋体" w:cs="宋体"/>
                <w:sz w:val="21"/>
                <w:szCs w:val="21"/>
              </w:rPr>
            </w:pPr>
            <w:r>
              <w:rPr>
                <w:rFonts w:ascii="宋体" w:hAnsi="宋体" w:eastAsia="宋体" w:cs="宋体"/>
                <w:spacing w:val="-1"/>
                <w:sz w:val="21"/>
                <w:szCs w:val="21"/>
              </w:rPr>
              <w:t>毒性</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line="228" w:lineRule="exact"/>
              <w:ind w:left="45" w:right="0"/>
              <w:jc w:val="center"/>
              <w:rPr>
                <w:rFonts w:ascii="宋体" w:hAnsi="宋体" w:eastAsia="宋体" w:cs="宋体"/>
                <w:sz w:val="21"/>
                <w:szCs w:val="21"/>
              </w:rPr>
            </w:pPr>
            <w:r>
              <w:rPr>
                <w:rFonts w:ascii="Times New Roman" w:hAnsi="Times New Roman" w:eastAsia="Times New Roman" w:cs="Times New Roman"/>
                <w:sz w:val="21"/>
                <w:szCs w:val="21"/>
              </w:rPr>
              <w:t>LD</w:t>
            </w:r>
            <w:r>
              <w:rPr>
                <w:rFonts w:ascii="Times New Roman" w:hAnsi="Times New Roman" w:eastAsia="Times New Roman" w:cs="Times New Roman"/>
                <w:position w:val="-1"/>
                <w:sz w:val="21"/>
                <w:szCs w:val="21"/>
              </w:rPr>
              <w:t>50</w:t>
            </w:r>
            <w:r>
              <w:rPr>
                <w:rFonts w:ascii="宋体" w:hAnsi="宋体" w:eastAsia="宋体" w:cs="宋体"/>
                <w:sz w:val="21"/>
                <w:szCs w:val="21"/>
              </w:rPr>
              <w:t>：</w:t>
            </w:r>
            <w:r>
              <w:rPr>
                <w:rFonts w:ascii="Times New Roman" w:hAnsi="Times New Roman" w:eastAsia="Times New Roman" w:cs="Times New Roman"/>
                <w:sz w:val="21"/>
                <w:szCs w:val="21"/>
              </w:rPr>
              <w:t>900mg/kg(</w:t>
            </w:r>
            <w:r>
              <w:rPr>
                <w:rFonts w:ascii="宋体" w:hAnsi="宋体" w:eastAsia="宋体" w:cs="宋体"/>
                <w:sz w:val="21"/>
                <w:szCs w:val="21"/>
              </w:rPr>
              <w:t>兔经口</w:t>
            </w:r>
            <w:r>
              <w:rPr>
                <w:rFonts w:ascii="Times New Roman" w:hAnsi="Times New Roman" w:eastAsia="Times New Roman" w:cs="Times New Roman"/>
                <w:sz w:val="21"/>
                <w:szCs w:val="21"/>
              </w:rPr>
              <w:t>)</w:t>
            </w:r>
            <w:r>
              <w:rPr>
                <w:rFonts w:ascii="宋体" w:hAnsi="宋体" w:eastAsia="宋体" w:cs="宋体"/>
                <w:sz w:val="21"/>
                <w:szCs w:val="21"/>
              </w:rPr>
              <w:t>；</w:t>
            </w:r>
          </w:p>
          <w:p>
            <w:pPr>
              <w:pStyle w:val="4069"/>
              <w:spacing w:line="288" w:lineRule="exact"/>
              <w:ind w:left="45" w:right="0"/>
              <w:jc w:val="center"/>
              <w:rPr>
                <w:rFonts w:ascii="Times New Roman" w:hAnsi="Times New Roman" w:eastAsia="Times New Roman" w:cs="Times New Roman"/>
                <w:sz w:val="21"/>
                <w:szCs w:val="21"/>
              </w:rPr>
            </w:pPr>
            <w:r>
              <w:rPr>
                <w:rFonts w:ascii="Times New Roman" w:hAnsi="Times New Roman" w:eastAsia="Times New Roman" w:cs="Times New Roman"/>
                <w:position w:val="2"/>
                <w:sz w:val="21"/>
                <w:szCs w:val="21"/>
              </w:rPr>
              <w:t>LC</w:t>
            </w:r>
            <w:r>
              <w:rPr>
                <w:rFonts w:ascii="Times New Roman" w:hAnsi="Times New Roman" w:eastAsia="Times New Roman" w:cs="Times New Roman"/>
                <w:sz w:val="21"/>
                <w:szCs w:val="21"/>
              </w:rPr>
              <w:t>50</w:t>
            </w:r>
            <w:r>
              <w:rPr>
                <w:rFonts w:ascii="宋体" w:hAnsi="宋体" w:eastAsia="宋体" w:cs="宋体"/>
                <w:position w:val="2"/>
                <w:sz w:val="21"/>
                <w:szCs w:val="21"/>
              </w:rPr>
              <w:t>：</w:t>
            </w:r>
            <w:r>
              <w:rPr>
                <w:rFonts w:ascii="Times New Roman" w:hAnsi="Times New Roman" w:eastAsia="Times New Roman" w:cs="Times New Roman"/>
                <w:position w:val="2"/>
                <w:sz w:val="21"/>
                <w:szCs w:val="21"/>
              </w:rPr>
              <w:t>3124ppm</w:t>
            </w:r>
            <w:r>
              <w:rPr>
                <w:rFonts w:ascii="宋体" w:hAnsi="宋体" w:eastAsia="宋体" w:cs="宋体"/>
                <w:position w:val="2"/>
                <w:sz w:val="21"/>
                <w:szCs w:val="21"/>
              </w:rPr>
              <w:t>，</w:t>
            </w:r>
            <w:r>
              <w:rPr>
                <w:rFonts w:ascii="Times New Roman" w:hAnsi="Times New Roman" w:eastAsia="Times New Roman" w:cs="Times New Roman"/>
                <w:position w:val="2"/>
                <w:sz w:val="21"/>
                <w:szCs w:val="21"/>
              </w:rPr>
              <w:t>1</w:t>
            </w:r>
            <w:r>
              <w:rPr>
                <w:rFonts w:ascii="Times New Roman" w:hAnsi="Times New Roman" w:eastAsia="Times New Roman" w:cs="Times New Roman"/>
                <w:spacing w:val="-31"/>
                <w:position w:val="2"/>
                <w:sz w:val="21"/>
                <w:szCs w:val="21"/>
              </w:rPr>
              <w:t xml:space="preserve"> </w:t>
            </w:r>
            <w:r>
              <w:rPr>
                <w:rFonts w:ascii="宋体" w:hAnsi="宋体" w:eastAsia="宋体" w:cs="宋体"/>
                <w:position w:val="2"/>
                <w:sz w:val="21"/>
                <w:szCs w:val="21"/>
              </w:rPr>
              <w:t>小时</w:t>
            </w:r>
            <w:r>
              <w:rPr>
                <w:rFonts w:ascii="Times New Roman" w:hAnsi="Times New Roman" w:eastAsia="Times New Roman" w:cs="Times New Roman"/>
                <w:position w:val="2"/>
                <w:sz w:val="21"/>
                <w:szCs w:val="21"/>
              </w:rPr>
              <w:t>(</w:t>
            </w:r>
            <w:r>
              <w:rPr>
                <w:rFonts w:ascii="宋体" w:hAnsi="宋体" w:eastAsia="宋体" w:cs="宋体"/>
                <w:position w:val="2"/>
                <w:sz w:val="21"/>
                <w:szCs w:val="21"/>
              </w:rPr>
              <w:t>大鼠吸入</w:t>
            </w:r>
            <w:r>
              <w:rPr>
                <w:rFonts w:ascii="Times New Roman" w:hAnsi="Times New Roman" w:eastAsia="Times New Roman" w:cs="Times New Roman"/>
                <w:position w:val="2"/>
                <w:sz w:val="21"/>
                <w:szCs w:val="21"/>
              </w:rPr>
              <w:t>)</w:t>
            </w:r>
          </w:p>
        </w:tc>
      </w:tr>
      <w:tr>
        <w:tblPrEx>
          <w:tblCellMar>
            <w:top w:w="0" w:type="dxa"/>
            <w:left w:w="0" w:type="dxa"/>
            <w:bottom w:w="0" w:type="dxa"/>
            <w:right w:w="0" w:type="dxa"/>
          </w:tblCellMar>
        </w:tblPrEx>
        <w:trPr>
          <w:trHeight w:val="1370"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3" w:line="150" w:lineRule="exact"/>
              <w:ind w:right="0"/>
              <w:jc w:val="left"/>
              <w:rPr>
                <w:sz w:val="15"/>
                <w:szCs w:val="15"/>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377" w:right="0"/>
              <w:jc w:val="left"/>
              <w:rPr>
                <w:rFonts w:ascii="宋体" w:hAnsi="宋体" w:eastAsia="宋体" w:cs="宋体"/>
                <w:sz w:val="21"/>
                <w:szCs w:val="21"/>
              </w:rPr>
            </w:pPr>
            <w:r>
              <w:rPr>
                <w:rFonts w:ascii="宋体" w:hAnsi="宋体" w:eastAsia="宋体" w:cs="宋体"/>
                <w:sz w:val="21"/>
                <w:szCs w:val="21"/>
              </w:rPr>
              <w:t>健康危害</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8" w:line="275" w:lineRule="auto"/>
              <w:ind w:left="115" w:right="12" w:hanging="46"/>
              <w:jc w:val="center"/>
              <w:rPr>
                <w:rFonts w:ascii="宋体" w:hAnsi="宋体" w:eastAsia="宋体" w:cs="宋体"/>
                <w:sz w:val="21"/>
                <w:szCs w:val="21"/>
              </w:rPr>
            </w:pPr>
            <w:r>
              <w:rPr>
                <w:rFonts w:ascii="宋体" w:hAnsi="宋体" w:eastAsia="宋体" w:cs="宋体"/>
                <w:spacing w:val="-6"/>
                <w:sz w:val="21"/>
                <w:szCs w:val="21"/>
              </w:rPr>
              <w:t>接触其蒸</w:t>
            </w:r>
            <w:r>
              <w:rPr>
                <w:rFonts w:ascii="宋体" w:hAnsi="宋体" w:eastAsia="宋体" w:cs="宋体"/>
                <w:spacing w:val="-14"/>
                <w:sz w:val="21"/>
                <w:szCs w:val="21"/>
              </w:rPr>
              <w:t>气</w:t>
            </w:r>
            <w:r>
              <w:rPr>
                <w:rFonts w:ascii="宋体" w:hAnsi="宋体" w:eastAsia="宋体" w:cs="宋体"/>
                <w:spacing w:val="-11"/>
                <w:sz w:val="21"/>
                <w:szCs w:val="21"/>
              </w:rPr>
              <w:t>或</w:t>
            </w:r>
            <w:r>
              <w:rPr>
                <w:rFonts w:ascii="宋体" w:hAnsi="宋体" w:eastAsia="宋体" w:cs="宋体"/>
                <w:spacing w:val="-14"/>
                <w:sz w:val="21"/>
                <w:szCs w:val="21"/>
              </w:rPr>
              <w:t>烟</w:t>
            </w:r>
            <w:r>
              <w:rPr>
                <w:rFonts w:ascii="宋体" w:hAnsi="宋体" w:eastAsia="宋体" w:cs="宋体"/>
                <w:spacing w:val="-11"/>
                <w:sz w:val="21"/>
                <w:szCs w:val="21"/>
              </w:rPr>
              <w:t>雾</w:t>
            </w:r>
            <w:r>
              <w:rPr>
                <w:rFonts w:ascii="宋体" w:hAnsi="宋体" w:eastAsia="宋体" w:cs="宋体"/>
                <w:spacing w:val="-38"/>
                <w:sz w:val="21"/>
                <w:szCs w:val="21"/>
              </w:rPr>
              <w:t>，</w:t>
            </w:r>
            <w:r>
              <w:rPr>
                <w:rFonts w:ascii="宋体" w:hAnsi="宋体" w:eastAsia="宋体" w:cs="宋体"/>
                <w:spacing w:val="-14"/>
                <w:sz w:val="21"/>
                <w:szCs w:val="21"/>
              </w:rPr>
              <w:t>可</w:t>
            </w:r>
            <w:r>
              <w:rPr>
                <w:rFonts w:ascii="宋体" w:hAnsi="宋体" w:eastAsia="宋体" w:cs="宋体"/>
                <w:spacing w:val="-11"/>
                <w:sz w:val="21"/>
                <w:szCs w:val="21"/>
              </w:rPr>
              <w:t>引</w:t>
            </w:r>
            <w:r>
              <w:rPr>
                <w:rFonts w:ascii="宋体" w:hAnsi="宋体" w:eastAsia="宋体" w:cs="宋体"/>
                <w:spacing w:val="-14"/>
                <w:sz w:val="21"/>
                <w:szCs w:val="21"/>
              </w:rPr>
              <w:t>起</w:t>
            </w:r>
            <w:r>
              <w:rPr>
                <w:rFonts w:ascii="宋体" w:hAnsi="宋体" w:eastAsia="宋体" w:cs="宋体"/>
                <w:spacing w:val="-11"/>
                <w:sz w:val="21"/>
                <w:szCs w:val="21"/>
              </w:rPr>
              <w:t>急</w:t>
            </w:r>
            <w:r>
              <w:rPr>
                <w:rFonts w:ascii="宋体" w:hAnsi="宋体" w:eastAsia="宋体" w:cs="宋体"/>
                <w:spacing w:val="-14"/>
                <w:sz w:val="21"/>
                <w:szCs w:val="21"/>
              </w:rPr>
              <w:t>性</w:t>
            </w:r>
            <w:r>
              <w:rPr>
                <w:rFonts w:ascii="宋体" w:hAnsi="宋体" w:eastAsia="宋体" w:cs="宋体"/>
                <w:spacing w:val="-11"/>
                <w:sz w:val="21"/>
                <w:szCs w:val="21"/>
              </w:rPr>
              <w:t>中</w:t>
            </w:r>
            <w:r>
              <w:rPr>
                <w:rFonts w:ascii="宋体" w:hAnsi="宋体" w:eastAsia="宋体" w:cs="宋体"/>
                <w:spacing w:val="-14"/>
                <w:sz w:val="21"/>
                <w:szCs w:val="21"/>
              </w:rPr>
              <w:t>毒</w:t>
            </w:r>
            <w:r>
              <w:rPr>
                <w:rFonts w:ascii="宋体" w:hAnsi="宋体" w:eastAsia="宋体" w:cs="宋体"/>
                <w:spacing w:val="-38"/>
                <w:sz w:val="21"/>
                <w:szCs w:val="21"/>
              </w:rPr>
              <w:t>，</w:t>
            </w:r>
            <w:r>
              <w:rPr>
                <w:rFonts w:ascii="宋体" w:hAnsi="宋体" w:eastAsia="宋体" w:cs="宋体"/>
                <w:spacing w:val="-14"/>
                <w:sz w:val="21"/>
                <w:szCs w:val="21"/>
              </w:rPr>
              <w:t>出</w:t>
            </w:r>
            <w:r>
              <w:rPr>
                <w:rFonts w:ascii="宋体" w:hAnsi="宋体" w:eastAsia="宋体" w:cs="宋体"/>
                <w:spacing w:val="-11"/>
                <w:sz w:val="21"/>
                <w:szCs w:val="21"/>
              </w:rPr>
              <w:t>现</w:t>
            </w:r>
            <w:r>
              <w:rPr>
                <w:rFonts w:ascii="宋体" w:hAnsi="宋体" w:eastAsia="宋体" w:cs="宋体"/>
                <w:spacing w:val="-14"/>
                <w:sz w:val="21"/>
                <w:szCs w:val="21"/>
              </w:rPr>
              <w:t>眼</w:t>
            </w:r>
            <w:r>
              <w:rPr>
                <w:rFonts w:ascii="宋体" w:hAnsi="宋体" w:eastAsia="宋体" w:cs="宋体"/>
                <w:spacing w:val="-11"/>
                <w:sz w:val="21"/>
                <w:szCs w:val="21"/>
              </w:rPr>
              <w:t>结</w:t>
            </w:r>
            <w:r>
              <w:rPr>
                <w:rFonts w:ascii="宋体" w:hAnsi="宋体" w:eastAsia="宋体" w:cs="宋体"/>
                <w:spacing w:val="-14"/>
                <w:sz w:val="21"/>
                <w:szCs w:val="21"/>
              </w:rPr>
              <w:t>膜</w:t>
            </w:r>
            <w:r>
              <w:rPr>
                <w:rFonts w:ascii="宋体" w:hAnsi="宋体" w:eastAsia="宋体" w:cs="宋体"/>
                <w:spacing w:val="-11"/>
                <w:sz w:val="21"/>
                <w:szCs w:val="21"/>
              </w:rPr>
              <w:t>炎</w:t>
            </w:r>
            <w:r>
              <w:rPr>
                <w:rFonts w:ascii="宋体" w:hAnsi="宋体" w:eastAsia="宋体" w:cs="宋体"/>
                <w:spacing w:val="-35"/>
                <w:sz w:val="21"/>
                <w:szCs w:val="21"/>
              </w:rPr>
              <w:t>，</w:t>
            </w:r>
            <w:r>
              <w:rPr>
                <w:rFonts w:ascii="宋体" w:hAnsi="宋体" w:eastAsia="宋体" w:cs="宋体"/>
                <w:spacing w:val="-14"/>
                <w:sz w:val="21"/>
                <w:szCs w:val="21"/>
              </w:rPr>
              <w:t>鼻</w:t>
            </w:r>
            <w:r>
              <w:rPr>
                <w:rFonts w:ascii="宋体" w:hAnsi="宋体" w:eastAsia="宋体" w:cs="宋体"/>
                <w:spacing w:val="-11"/>
                <w:sz w:val="21"/>
                <w:szCs w:val="21"/>
              </w:rPr>
              <w:t>及</w:t>
            </w:r>
            <w:r>
              <w:rPr>
                <w:rFonts w:ascii="宋体" w:hAnsi="宋体" w:eastAsia="宋体" w:cs="宋体"/>
                <w:spacing w:val="-14"/>
                <w:sz w:val="21"/>
                <w:szCs w:val="21"/>
              </w:rPr>
              <w:t>口</w:t>
            </w:r>
            <w:r>
              <w:rPr>
                <w:rFonts w:ascii="宋体" w:hAnsi="宋体" w:eastAsia="宋体" w:cs="宋体"/>
                <w:spacing w:val="-11"/>
                <w:sz w:val="21"/>
                <w:szCs w:val="21"/>
              </w:rPr>
              <w:t>腔</w:t>
            </w:r>
            <w:r>
              <w:rPr>
                <w:rFonts w:ascii="宋体" w:hAnsi="宋体" w:eastAsia="宋体" w:cs="宋体"/>
                <w:spacing w:val="-14"/>
                <w:sz w:val="21"/>
                <w:szCs w:val="21"/>
              </w:rPr>
              <w:t>粘</w:t>
            </w:r>
            <w:r>
              <w:rPr>
                <w:rFonts w:ascii="宋体" w:hAnsi="宋体" w:eastAsia="宋体" w:cs="宋体"/>
                <w:spacing w:val="-11"/>
                <w:sz w:val="21"/>
                <w:szCs w:val="21"/>
              </w:rPr>
              <w:t>膜</w:t>
            </w:r>
            <w:r>
              <w:rPr>
                <w:rFonts w:ascii="宋体" w:hAnsi="宋体" w:eastAsia="宋体" w:cs="宋体"/>
                <w:spacing w:val="-14"/>
                <w:sz w:val="21"/>
                <w:szCs w:val="21"/>
              </w:rPr>
              <w:t>有</w:t>
            </w:r>
            <w:r>
              <w:rPr>
                <w:rFonts w:ascii="宋体" w:hAnsi="宋体" w:eastAsia="宋体" w:cs="宋体"/>
                <w:sz w:val="21"/>
                <w:szCs w:val="21"/>
              </w:rPr>
              <w:t>烧</w:t>
            </w:r>
            <w:r>
              <w:rPr>
                <w:rFonts w:ascii="宋体" w:hAnsi="宋体" w:eastAsia="宋体" w:cs="宋体"/>
                <w:w w:val="99"/>
                <w:sz w:val="21"/>
                <w:szCs w:val="21"/>
              </w:rPr>
              <w:t xml:space="preserve"> </w:t>
            </w:r>
            <w:r>
              <w:rPr>
                <w:rFonts w:ascii="宋体" w:hAnsi="宋体" w:eastAsia="宋体" w:cs="宋体"/>
                <w:spacing w:val="-12"/>
                <w:w w:val="95"/>
                <w:sz w:val="21"/>
                <w:szCs w:val="21"/>
              </w:rPr>
              <w:t>灼感，鼻衄、齿龈出血，气管炎等。误服可引起消化道灼伤、溃疡形成，</w:t>
            </w:r>
            <w:r>
              <w:rPr>
                <w:rFonts w:ascii="宋体" w:hAnsi="宋体" w:eastAsia="宋体" w:cs="宋体"/>
                <w:spacing w:val="55"/>
                <w:w w:val="99"/>
                <w:sz w:val="21"/>
                <w:szCs w:val="21"/>
              </w:rPr>
              <w:t xml:space="preserve"> </w:t>
            </w:r>
            <w:r>
              <w:rPr>
                <w:rFonts w:ascii="宋体" w:hAnsi="宋体" w:eastAsia="宋体" w:cs="宋体"/>
                <w:spacing w:val="-14"/>
                <w:sz w:val="21"/>
                <w:szCs w:val="21"/>
              </w:rPr>
              <w:t>有可能引起胃穿孔、腹膜炎等。眼和皮肤接触可致灼伤。慢性影响：长期</w:t>
            </w:r>
            <w:r>
              <w:rPr>
                <w:rFonts w:ascii="宋体" w:hAnsi="宋体" w:eastAsia="宋体" w:cs="宋体"/>
                <w:spacing w:val="21"/>
                <w:w w:val="99"/>
                <w:sz w:val="21"/>
                <w:szCs w:val="21"/>
              </w:rPr>
              <w:t xml:space="preserve"> </w:t>
            </w:r>
            <w:r>
              <w:rPr>
                <w:rFonts w:ascii="宋体" w:hAnsi="宋体" w:eastAsia="宋体" w:cs="宋体"/>
                <w:spacing w:val="-11"/>
                <w:sz w:val="21"/>
                <w:szCs w:val="21"/>
              </w:rPr>
              <w:t>接触，引起慢性鼻炎、慢性支气管炎、牙齿酸蚀症及皮肤损害。</w:t>
            </w:r>
          </w:p>
        </w:tc>
      </w:tr>
      <w:tr>
        <w:tblPrEx>
          <w:tblCellMar>
            <w:top w:w="0" w:type="dxa"/>
            <w:left w:w="0" w:type="dxa"/>
            <w:bottom w:w="0" w:type="dxa"/>
            <w:right w:w="0" w:type="dxa"/>
          </w:tblCellMar>
        </w:tblPrEx>
        <w:trPr>
          <w:trHeight w:val="1643" w:hRule="exact"/>
        </w:trPr>
        <w:tc>
          <w:tcPr>
            <w:tcW w:w="463" w:type="dxa"/>
            <w:vMerge w:val="continue"/>
            <w:tcBorders>
              <w:left w:val="single" w:color="000000" w:sz="6" w:space="0"/>
              <w:bottom w:val="single" w:color="000000" w:sz="4"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 w:line="140" w:lineRule="exact"/>
              <w:ind w:right="0"/>
              <w:jc w:val="left"/>
              <w:rPr>
                <w:sz w:val="14"/>
                <w:szCs w:val="14"/>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40" w:lineRule="auto"/>
              <w:ind w:left="377" w:right="0"/>
              <w:jc w:val="left"/>
              <w:rPr>
                <w:rFonts w:ascii="宋体" w:hAnsi="宋体" w:eastAsia="宋体" w:cs="宋体"/>
                <w:sz w:val="21"/>
                <w:szCs w:val="21"/>
              </w:rPr>
            </w:pPr>
            <w:r>
              <w:rPr>
                <w:rFonts w:ascii="宋体" w:hAnsi="宋体" w:eastAsia="宋体" w:cs="宋体"/>
                <w:sz w:val="21"/>
                <w:szCs w:val="21"/>
              </w:rPr>
              <w:t>急救方法</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8" w:line="260" w:lineRule="auto"/>
              <w:ind w:left="115" w:right="60"/>
              <w:jc w:val="center"/>
              <w:rPr>
                <w:rFonts w:ascii="宋体" w:hAnsi="宋体" w:eastAsia="宋体" w:cs="宋体"/>
                <w:sz w:val="21"/>
                <w:szCs w:val="21"/>
              </w:rPr>
            </w:pPr>
            <w:r>
              <w:rPr>
                <w:rFonts w:ascii="宋体" w:hAnsi="宋体" w:eastAsia="宋体" w:cs="宋体"/>
                <w:spacing w:val="-12"/>
                <w:sz w:val="21"/>
                <w:szCs w:val="21"/>
              </w:rPr>
              <w:t>皮肤接触：立即用水冲洗至少</w:t>
            </w:r>
            <w:r>
              <w:rPr>
                <w:rFonts w:ascii="宋体" w:hAnsi="宋体" w:eastAsia="宋体" w:cs="宋体"/>
                <w:spacing w:val="-36"/>
                <w:sz w:val="21"/>
                <w:szCs w:val="21"/>
              </w:rPr>
              <w:t xml:space="preserve"> </w:t>
            </w:r>
            <w:r>
              <w:rPr>
                <w:rFonts w:ascii="Times New Roman" w:hAnsi="Times New Roman" w:eastAsia="Times New Roman" w:cs="Times New Roman"/>
                <w:spacing w:val="-2"/>
                <w:sz w:val="21"/>
                <w:szCs w:val="21"/>
              </w:rPr>
              <w:t>15</w:t>
            </w:r>
            <w:r>
              <w:rPr>
                <w:rFonts w:ascii="Times New Roman" w:hAnsi="Times New Roman" w:eastAsia="Times New Roman" w:cs="Times New Roman"/>
                <w:spacing w:val="-20"/>
                <w:sz w:val="21"/>
                <w:szCs w:val="21"/>
              </w:rPr>
              <w:t xml:space="preserve"> </w:t>
            </w:r>
            <w:r>
              <w:rPr>
                <w:rFonts w:ascii="宋体" w:hAnsi="宋体" w:eastAsia="宋体" w:cs="宋体"/>
                <w:spacing w:val="-11"/>
                <w:sz w:val="21"/>
                <w:szCs w:val="21"/>
              </w:rPr>
              <w:t>分钟。或用</w:t>
            </w:r>
            <w:r>
              <w:rPr>
                <w:rFonts w:ascii="宋体" w:hAnsi="宋体" w:eastAsia="宋体" w:cs="宋体"/>
                <w:spacing w:val="-35"/>
                <w:sz w:val="21"/>
                <w:szCs w:val="21"/>
              </w:rPr>
              <w:t xml:space="preserve"> </w:t>
            </w:r>
            <w:r>
              <w:rPr>
                <w:rFonts w:ascii="Times New Roman" w:hAnsi="Times New Roman" w:eastAsia="Times New Roman" w:cs="Times New Roman"/>
                <w:spacing w:val="-11"/>
                <w:sz w:val="21"/>
                <w:szCs w:val="21"/>
              </w:rPr>
              <w:t>2%</w:t>
            </w:r>
            <w:r>
              <w:rPr>
                <w:rFonts w:ascii="宋体" w:hAnsi="宋体" w:eastAsia="宋体" w:cs="宋体"/>
                <w:spacing w:val="-11"/>
                <w:sz w:val="21"/>
                <w:szCs w:val="21"/>
              </w:rPr>
              <w:t>碳酸氢钠溶液冲洗。若</w:t>
            </w:r>
            <w:r>
              <w:rPr>
                <w:rFonts w:ascii="宋体" w:hAnsi="宋体" w:eastAsia="宋体" w:cs="宋体"/>
                <w:spacing w:val="23"/>
                <w:w w:val="99"/>
                <w:sz w:val="21"/>
                <w:szCs w:val="21"/>
              </w:rPr>
              <w:t xml:space="preserve"> </w:t>
            </w:r>
            <w:r>
              <w:rPr>
                <w:rFonts w:ascii="宋体" w:hAnsi="宋体" w:eastAsia="宋体" w:cs="宋体"/>
                <w:spacing w:val="-14"/>
                <w:sz w:val="21"/>
                <w:szCs w:val="21"/>
              </w:rPr>
              <w:t>有灼伤，就医治疗。眼睛接触：立即提起眼睑，用流动清水冲洗</w:t>
            </w:r>
            <w:r>
              <w:rPr>
                <w:rFonts w:ascii="宋体" w:hAnsi="宋体" w:eastAsia="宋体" w:cs="宋体"/>
                <w:spacing w:val="-42"/>
                <w:sz w:val="21"/>
                <w:szCs w:val="21"/>
              </w:rPr>
              <w:t xml:space="preserve"> </w:t>
            </w:r>
            <w:r>
              <w:rPr>
                <w:rFonts w:ascii="Times New Roman" w:hAnsi="Times New Roman" w:eastAsia="Times New Roman" w:cs="Times New Roman"/>
                <w:spacing w:val="-1"/>
                <w:sz w:val="21"/>
                <w:szCs w:val="21"/>
              </w:rPr>
              <w:t>10</w:t>
            </w:r>
            <w:r>
              <w:rPr>
                <w:rFonts w:ascii="Times New Roman" w:hAnsi="Times New Roman" w:eastAsia="Times New Roman" w:cs="Times New Roman"/>
                <w:spacing w:val="15"/>
                <w:sz w:val="21"/>
                <w:szCs w:val="21"/>
              </w:rPr>
              <w:t xml:space="preserve"> </w:t>
            </w:r>
            <w:r>
              <w:rPr>
                <w:rFonts w:ascii="宋体" w:hAnsi="宋体" w:eastAsia="宋体" w:cs="宋体"/>
                <w:spacing w:val="-8"/>
                <w:sz w:val="21"/>
                <w:szCs w:val="21"/>
              </w:rPr>
              <w:t>分钟</w:t>
            </w:r>
            <w:r>
              <w:rPr>
                <w:rFonts w:ascii="宋体" w:hAnsi="宋体" w:eastAsia="宋体" w:cs="宋体"/>
                <w:spacing w:val="35"/>
                <w:w w:val="99"/>
                <w:sz w:val="21"/>
                <w:szCs w:val="21"/>
              </w:rPr>
              <w:t xml:space="preserve"> </w:t>
            </w:r>
            <w:r>
              <w:rPr>
                <w:rFonts w:ascii="宋体" w:hAnsi="宋体" w:eastAsia="宋体" w:cs="宋体"/>
                <w:spacing w:val="-7"/>
                <w:w w:val="95"/>
                <w:sz w:val="21"/>
                <w:szCs w:val="21"/>
              </w:rPr>
              <w:t>或用</w:t>
            </w:r>
            <w:r>
              <w:rPr>
                <w:rFonts w:ascii="宋体" w:hAnsi="宋体" w:eastAsia="宋体" w:cs="宋体"/>
                <w:w w:val="95"/>
                <w:sz w:val="21"/>
                <w:szCs w:val="21"/>
              </w:rPr>
              <w:t xml:space="preserve">  </w:t>
            </w:r>
            <w:r>
              <w:rPr>
                <w:rFonts w:ascii="宋体" w:hAnsi="宋体" w:eastAsia="宋体" w:cs="宋体"/>
                <w:spacing w:val="3"/>
                <w:w w:val="95"/>
                <w:sz w:val="21"/>
                <w:szCs w:val="21"/>
              </w:rPr>
              <w:t xml:space="preserve"> </w:t>
            </w:r>
            <w:r>
              <w:rPr>
                <w:rFonts w:ascii="Times New Roman" w:hAnsi="Times New Roman" w:eastAsia="Times New Roman" w:cs="Times New Roman"/>
                <w:spacing w:val="-11"/>
                <w:w w:val="95"/>
                <w:sz w:val="21"/>
                <w:szCs w:val="21"/>
              </w:rPr>
              <w:t>2%</w:t>
            </w:r>
            <w:r>
              <w:rPr>
                <w:rFonts w:ascii="宋体" w:hAnsi="宋体" w:eastAsia="宋体" w:cs="宋体"/>
                <w:spacing w:val="-11"/>
                <w:w w:val="95"/>
                <w:sz w:val="21"/>
                <w:szCs w:val="21"/>
              </w:rPr>
              <w:t>碳酸氢钠溶液冲洗。吸入：迅速脱离现场至空气新鲜处。呼吸困</w:t>
            </w:r>
            <w:r>
              <w:rPr>
                <w:rFonts w:ascii="宋体" w:hAnsi="宋体" w:eastAsia="宋体" w:cs="宋体"/>
                <w:spacing w:val="27"/>
                <w:w w:val="99"/>
                <w:sz w:val="21"/>
                <w:szCs w:val="21"/>
              </w:rPr>
              <w:t xml:space="preserve"> </w:t>
            </w:r>
            <w:r>
              <w:rPr>
                <w:rFonts w:ascii="宋体" w:hAnsi="宋体" w:eastAsia="宋体" w:cs="宋体"/>
                <w:spacing w:val="-14"/>
                <w:sz w:val="21"/>
                <w:szCs w:val="21"/>
              </w:rPr>
              <w:t>难时给输氧。给予</w:t>
            </w:r>
            <w:r>
              <w:rPr>
                <w:rFonts w:ascii="宋体" w:hAnsi="宋体" w:eastAsia="宋体" w:cs="宋体"/>
                <w:spacing w:val="-43"/>
                <w:sz w:val="21"/>
                <w:szCs w:val="21"/>
              </w:rPr>
              <w:t xml:space="preserve"> </w:t>
            </w:r>
            <w:r>
              <w:rPr>
                <w:rFonts w:ascii="Times New Roman" w:hAnsi="Times New Roman" w:eastAsia="Times New Roman" w:cs="Times New Roman"/>
                <w:spacing w:val="-13"/>
                <w:sz w:val="21"/>
                <w:szCs w:val="21"/>
              </w:rPr>
              <w:t>2-4%</w:t>
            </w:r>
            <w:r>
              <w:rPr>
                <w:rFonts w:ascii="宋体" w:hAnsi="宋体" w:eastAsia="宋体" w:cs="宋体"/>
                <w:spacing w:val="-13"/>
                <w:sz w:val="21"/>
                <w:szCs w:val="21"/>
              </w:rPr>
              <w:t>碳酸氢钠溶液雾化吸入。就医。食入：</w:t>
            </w:r>
            <w:r>
              <w:rPr>
                <w:rFonts w:ascii="宋体" w:hAnsi="宋体" w:eastAsia="宋体" w:cs="宋体"/>
                <w:spacing w:val="-55"/>
                <w:sz w:val="21"/>
                <w:szCs w:val="21"/>
              </w:rPr>
              <w:t xml:space="preserve"> </w:t>
            </w:r>
            <w:r>
              <w:rPr>
                <w:rFonts w:ascii="宋体" w:hAnsi="宋体" w:eastAsia="宋体" w:cs="宋体"/>
                <w:spacing w:val="-10"/>
                <w:sz w:val="21"/>
                <w:szCs w:val="21"/>
              </w:rPr>
              <w:t>误立即漱</w:t>
            </w:r>
            <w:r>
              <w:rPr>
                <w:rFonts w:ascii="宋体" w:hAnsi="宋体" w:eastAsia="宋体" w:cs="宋体"/>
                <w:spacing w:val="33"/>
                <w:w w:val="99"/>
                <w:sz w:val="21"/>
                <w:szCs w:val="21"/>
              </w:rPr>
              <w:t xml:space="preserve"> </w:t>
            </w:r>
            <w:r>
              <w:rPr>
                <w:rFonts w:ascii="宋体" w:hAnsi="宋体" w:eastAsia="宋体" w:cs="宋体"/>
                <w:spacing w:val="-13"/>
                <w:sz w:val="21"/>
                <w:szCs w:val="21"/>
              </w:rPr>
              <w:t>口，给牛奶、蛋清、植物油等口服，不可催吐。立即就医。</w:t>
            </w:r>
          </w:p>
        </w:tc>
      </w:tr>
      <w:tr>
        <w:tblPrEx>
          <w:tblCellMar>
            <w:top w:w="0" w:type="dxa"/>
            <w:left w:w="0" w:type="dxa"/>
            <w:bottom w:w="0" w:type="dxa"/>
            <w:right w:w="0" w:type="dxa"/>
          </w:tblCellMar>
        </w:tblPrEx>
        <w:trPr>
          <w:trHeight w:val="350" w:hRule="exact"/>
        </w:trPr>
        <w:tc>
          <w:tcPr>
            <w:tcW w:w="463" w:type="dxa"/>
            <w:vMerge w:val="restart"/>
            <w:tcBorders>
              <w:top w:val="single" w:color="000000" w:sz="4" w:space="0"/>
              <w:left w:val="single" w:color="000000" w:sz="6" w:space="0"/>
              <w:right w:val="single" w:color="000000" w:sz="4" w:space="0"/>
            </w:tcBorders>
          </w:tcPr>
          <w:p>
            <w:pPr>
              <w:pStyle w:val="4069"/>
              <w:spacing w:line="200" w:lineRule="exact"/>
              <w:ind w:right="0"/>
              <w:jc w:val="left"/>
              <w:rPr>
                <w:sz w:val="20"/>
                <w:szCs w:val="20"/>
              </w:rPr>
            </w:pPr>
          </w:p>
          <w:p>
            <w:pPr>
              <w:pStyle w:val="4069"/>
              <w:spacing w:before="3" w:line="260" w:lineRule="exact"/>
              <w:ind w:right="0"/>
              <w:jc w:val="left"/>
              <w:rPr>
                <w:sz w:val="26"/>
                <w:szCs w:val="26"/>
              </w:rPr>
            </w:pPr>
          </w:p>
          <w:p>
            <w:pPr>
              <w:pStyle w:val="4069"/>
              <w:spacing w:line="275" w:lineRule="auto"/>
              <w:ind w:left="127" w:right="0"/>
              <w:jc w:val="left"/>
              <w:rPr>
                <w:rFonts w:ascii="宋体" w:hAnsi="宋体" w:eastAsia="宋体" w:cs="宋体"/>
                <w:sz w:val="21"/>
                <w:szCs w:val="21"/>
              </w:rPr>
            </w:pPr>
            <w:r>
              <w:rPr>
                <w:rFonts w:ascii="宋体" w:hAnsi="宋体" w:eastAsia="宋体" w:cs="宋体"/>
                <w:sz w:val="21"/>
                <w:szCs w:val="21"/>
              </w:rPr>
              <w:t>燃</w:t>
            </w:r>
            <w:r>
              <w:rPr>
                <w:rFonts w:ascii="宋体" w:hAnsi="宋体" w:eastAsia="宋体" w:cs="宋体"/>
                <w:w w:val="99"/>
                <w:sz w:val="21"/>
                <w:szCs w:val="21"/>
              </w:rPr>
              <w:t xml:space="preserve"> </w:t>
            </w:r>
            <w:r>
              <w:rPr>
                <w:rFonts w:ascii="宋体" w:hAnsi="宋体" w:eastAsia="宋体" w:cs="宋体"/>
                <w:sz w:val="21"/>
                <w:szCs w:val="21"/>
              </w:rPr>
              <w:t>烧</w:t>
            </w: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80" w:right="0"/>
              <w:jc w:val="left"/>
              <w:rPr>
                <w:rFonts w:ascii="宋体" w:hAnsi="宋体" w:eastAsia="宋体" w:cs="宋体"/>
                <w:sz w:val="21"/>
                <w:szCs w:val="21"/>
              </w:rPr>
            </w:pPr>
            <w:r>
              <w:rPr>
                <w:rFonts w:ascii="宋体" w:hAnsi="宋体" w:eastAsia="宋体" w:cs="宋体"/>
                <w:sz w:val="21"/>
                <w:szCs w:val="21"/>
              </w:rPr>
              <w:t>燃烧性</w:t>
            </w:r>
          </w:p>
        </w:tc>
        <w:tc>
          <w:tcPr>
            <w:tcW w:w="1367" w:type="dxa"/>
            <w:gridSpan w:val="3"/>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21" w:right="0"/>
              <w:jc w:val="center"/>
              <w:rPr>
                <w:rFonts w:ascii="宋体" w:hAnsi="宋体" w:eastAsia="宋体" w:cs="宋体"/>
                <w:sz w:val="21"/>
                <w:szCs w:val="21"/>
              </w:rPr>
            </w:pPr>
            <w:r>
              <w:rPr>
                <w:rFonts w:ascii="宋体" w:hAnsi="宋体" w:eastAsia="宋体" w:cs="宋体"/>
                <w:spacing w:val="-1"/>
                <w:sz w:val="21"/>
                <w:szCs w:val="21"/>
              </w:rPr>
              <w:t>不燃</w:t>
            </w:r>
          </w:p>
        </w:tc>
        <w:tc>
          <w:tcPr>
            <w:tcW w:w="2501" w:type="dxa"/>
            <w:gridSpan w:val="4"/>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735" w:right="0"/>
              <w:jc w:val="left"/>
              <w:rPr>
                <w:rFonts w:ascii="宋体" w:hAnsi="宋体" w:eastAsia="宋体" w:cs="宋体"/>
                <w:sz w:val="21"/>
                <w:szCs w:val="21"/>
              </w:rPr>
            </w:pPr>
            <w:r>
              <w:rPr>
                <w:rFonts w:ascii="宋体" w:hAnsi="宋体" w:eastAsia="宋体" w:cs="宋体"/>
                <w:sz w:val="21"/>
                <w:szCs w:val="21"/>
              </w:rPr>
              <w:t>燃烧分解物</w:t>
            </w:r>
          </w:p>
        </w:tc>
        <w:tc>
          <w:tcPr>
            <w:tcW w:w="2618" w:type="dxa"/>
            <w:gridSpan w:val="3"/>
            <w:tcBorders>
              <w:top w:val="single" w:color="000000" w:sz="4" w:space="0"/>
              <w:left w:val="single" w:color="000000" w:sz="4" w:space="0"/>
              <w:bottom w:val="single" w:color="000000" w:sz="4" w:space="0"/>
              <w:right w:val="single" w:color="000000" w:sz="6" w:space="0"/>
            </w:tcBorders>
          </w:tcPr>
          <w:p>
            <w:pPr>
              <w:pStyle w:val="4069"/>
              <w:spacing w:before="14" w:line="240" w:lineRule="auto"/>
              <w:ind w:right="179"/>
              <w:jc w:val="center"/>
              <w:rPr>
                <w:rFonts w:ascii="宋体" w:hAnsi="宋体" w:eastAsia="宋体" w:cs="宋体"/>
                <w:sz w:val="21"/>
                <w:szCs w:val="21"/>
              </w:rPr>
            </w:pPr>
            <w:r>
              <w:rPr>
                <w:rFonts w:ascii="宋体" w:hAnsi="宋体" w:eastAsia="宋体" w:cs="宋体"/>
                <w:sz w:val="21"/>
                <w:szCs w:val="21"/>
              </w:rPr>
              <w:t>氯化氢</w:t>
            </w:r>
          </w:p>
        </w:tc>
      </w:tr>
      <w:tr>
        <w:tblPrEx>
          <w:tblCellMar>
            <w:top w:w="0" w:type="dxa"/>
            <w:left w:w="0" w:type="dxa"/>
            <w:bottom w:w="0" w:type="dxa"/>
            <w:right w:w="0" w:type="dxa"/>
          </w:tblCellMar>
        </w:tblPrEx>
        <w:trPr>
          <w:trHeight w:val="527"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10" w:right="0"/>
              <w:jc w:val="left"/>
              <w:rPr>
                <w:rFonts w:ascii="Times New Roman" w:hAnsi="Times New Roman" w:eastAsia="Times New Roman" w:cs="Times New Roman"/>
                <w:sz w:val="21"/>
                <w:szCs w:val="21"/>
              </w:rPr>
            </w:pPr>
            <w:r>
              <w:rPr>
                <w:rFonts w:ascii="宋体" w:hAnsi="宋体" w:eastAsia="宋体" w:cs="宋体"/>
                <w:sz w:val="21"/>
                <w:szCs w:val="21"/>
              </w:rPr>
              <w:t>闪点</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p>
        </w:tc>
        <w:tc>
          <w:tcPr>
            <w:tcW w:w="1367" w:type="dxa"/>
            <w:gridSpan w:val="3"/>
            <w:tcBorders>
              <w:top w:val="single" w:color="000000" w:sz="4" w:space="0"/>
              <w:left w:val="single" w:color="000000" w:sz="4" w:space="0"/>
              <w:bottom w:val="single" w:color="000000" w:sz="4" w:space="0"/>
              <w:right w:val="single" w:color="000000" w:sz="4" w:space="0"/>
            </w:tcBorders>
          </w:tcPr>
          <w:p>
            <w:pPr>
              <w:pStyle w:val="4069"/>
              <w:spacing w:before="161" w:line="240" w:lineRule="auto"/>
              <w:ind w:left="648" w:right="623"/>
              <w:jc w:val="center"/>
              <w:rPr>
                <w:rFonts w:ascii="Times New Roman" w:hAnsi="Times New Roman" w:eastAsia="Times New Roman" w:cs="Times New Roman"/>
                <w:sz w:val="21"/>
                <w:szCs w:val="21"/>
              </w:rPr>
            </w:pPr>
            <w:r>
              <w:rPr>
                <w:rFonts w:ascii="Times New Roman"/>
                <w:w w:val="80"/>
                <w:sz w:val="21"/>
              </w:rPr>
              <w:t>/</w:t>
            </w:r>
          </w:p>
        </w:tc>
        <w:tc>
          <w:tcPr>
            <w:tcW w:w="2501" w:type="dxa"/>
            <w:gridSpan w:val="4"/>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721" w:right="0"/>
              <w:jc w:val="left"/>
              <w:rPr>
                <w:rFonts w:ascii="宋体" w:hAnsi="宋体" w:eastAsia="宋体" w:cs="宋体"/>
                <w:sz w:val="21"/>
                <w:szCs w:val="21"/>
              </w:rPr>
            </w:pPr>
            <w:r>
              <w:rPr>
                <w:rFonts w:ascii="宋体" w:hAnsi="宋体" w:eastAsia="宋体" w:cs="宋体"/>
                <w:sz w:val="21"/>
                <w:szCs w:val="21"/>
              </w:rPr>
              <w:t>爆炸上限（</w:t>
            </w:r>
            <w:r>
              <w:rPr>
                <w:rFonts w:ascii="Times New Roman" w:hAnsi="Times New Roman" w:eastAsia="Times New Roman" w:cs="Times New Roman"/>
                <w:sz w:val="21"/>
                <w:szCs w:val="21"/>
              </w:rPr>
              <w:t>v%</w:t>
            </w:r>
            <w:r>
              <w:rPr>
                <w:rFonts w:ascii="宋体" w:hAnsi="宋体" w:eastAsia="宋体" w:cs="宋体"/>
                <w:sz w:val="21"/>
                <w:szCs w:val="21"/>
              </w:rPr>
              <w:t>）</w:t>
            </w:r>
          </w:p>
        </w:tc>
        <w:tc>
          <w:tcPr>
            <w:tcW w:w="2618" w:type="dxa"/>
            <w:gridSpan w:val="3"/>
            <w:tcBorders>
              <w:top w:val="single" w:color="000000" w:sz="4" w:space="0"/>
              <w:left w:val="single" w:color="000000" w:sz="4" w:space="0"/>
              <w:bottom w:val="single" w:color="000000" w:sz="4" w:space="0"/>
              <w:right w:val="single" w:color="000000" w:sz="6" w:space="0"/>
            </w:tcBorders>
          </w:tcPr>
          <w:p>
            <w:pPr>
              <w:pStyle w:val="4069"/>
              <w:spacing w:before="161" w:line="240" w:lineRule="auto"/>
              <w:ind w:left="1282" w:right="1237"/>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523" w:hRule="exact"/>
        </w:trPr>
        <w:tc>
          <w:tcPr>
            <w:tcW w:w="463" w:type="dxa"/>
            <w:vMerge w:val="continue"/>
            <w:tcBorders>
              <w:left w:val="single" w:color="000000" w:sz="6" w:space="0"/>
              <w:bottom w:val="single" w:color="000000" w:sz="4"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201" w:right="0"/>
              <w:jc w:val="left"/>
              <w:rPr>
                <w:rFonts w:ascii="Times New Roman" w:hAnsi="Times New Roman" w:eastAsia="Times New Roman" w:cs="Times New Roman"/>
                <w:sz w:val="21"/>
                <w:szCs w:val="21"/>
              </w:rPr>
            </w:pPr>
            <w:r>
              <w:rPr>
                <w:rFonts w:ascii="宋体" w:hAnsi="宋体" w:eastAsia="宋体" w:cs="宋体"/>
                <w:sz w:val="21"/>
                <w:szCs w:val="21"/>
              </w:rPr>
              <w:t>引燃温度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p>
        </w:tc>
        <w:tc>
          <w:tcPr>
            <w:tcW w:w="1367" w:type="dxa"/>
            <w:gridSpan w:val="3"/>
            <w:tcBorders>
              <w:top w:val="single" w:color="000000" w:sz="4" w:space="0"/>
              <w:left w:val="single" w:color="000000" w:sz="4" w:space="0"/>
              <w:bottom w:val="single" w:color="000000" w:sz="4" w:space="0"/>
              <w:right w:val="single" w:color="000000" w:sz="4" w:space="0"/>
            </w:tcBorders>
          </w:tcPr>
          <w:p>
            <w:pPr>
              <w:pStyle w:val="4069"/>
              <w:spacing w:before="160" w:line="240" w:lineRule="auto"/>
              <w:ind w:left="648" w:right="623"/>
              <w:jc w:val="center"/>
              <w:rPr>
                <w:rFonts w:ascii="Times New Roman" w:hAnsi="Times New Roman" w:eastAsia="Times New Roman" w:cs="Times New Roman"/>
                <w:sz w:val="21"/>
                <w:szCs w:val="21"/>
              </w:rPr>
            </w:pPr>
            <w:r>
              <w:rPr>
                <w:rFonts w:ascii="Times New Roman"/>
                <w:w w:val="80"/>
                <w:sz w:val="21"/>
              </w:rPr>
              <w:t>/</w:t>
            </w:r>
          </w:p>
        </w:tc>
        <w:tc>
          <w:tcPr>
            <w:tcW w:w="2501" w:type="dxa"/>
            <w:gridSpan w:val="4"/>
            <w:tcBorders>
              <w:top w:val="single" w:color="000000" w:sz="4" w:space="0"/>
              <w:left w:val="single" w:color="000000" w:sz="4" w:space="0"/>
              <w:bottom w:val="single" w:color="000000" w:sz="4" w:space="0"/>
              <w:right w:val="single" w:color="000000" w:sz="4" w:space="0"/>
            </w:tcBorders>
          </w:tcPr>
          <w:p>
            <w:pPr>
              <w:pStyle w:val="4069"/>
              <w:spacing w:before="13" w:line="240" w:lineRule="auto"/>
              <w:ind w:left="721" w:right="0"/>
              <w:jc w:val="left"/>
              <w:rPr>
                <w:rFonts w:ascii="宋体" w:hAnsi="宋体" w:eastAsia="宋体" w:cs="宋体"/>
                <w:sz w:val="21"/>
                <w:szCs w:val="21"/>
              </w:rPr>
            </w:pPr>
            <w:r>
              <w:rPr>
                <w:rFonts w:ascii="宋体" w:hAnsi="宋体" w:eastAsia="宋体" w:cs="宋体"/>
                <w:sz w:val="21"/>
                <w:szCs w:val="21"/>
              </w:rPr>
              <w:t>爆炸下限（</w:t>
            </w:r>
            <w:r>
              <w:rPr>
                <w:rFonts w:ascii="Times New Roman" w:hAnsi="Times New Roman" w:eastAsia="Times New Roman" w:cs="Times New Roman"/>
                <w:sz w:val="21"/>
                <w:szCs w:val="21"/>
              </w:rPr>
              <w:t>v%</w:t>
            </w:r>
            <w:r>
              <w:rPr>
                <w:rFonts w:ascii="宋体" w:hAnsi="宋体" w:eastAsia="宋体" w:cs="宋体"/>
                <w:sz w:val="21"/>
                <w:szCs w:val="21"/>
              </w:rPr>
              <w:t>）</w:t>
            </w:r>
          </w:p>
        </w:tc>
        <w:tc>
          <w:tcPr>
            <w:tcW w:w="2618" w:type="dxa"/>
            <w:gridSpan w:val="3"/>
            <w:tcBorders>
              <w:top w:val="single" w:color="000000" w:sz="4" w:space="0"/>
              <w:left w:val="single" w:color="000000" w:sz="4" w:space="0"/>
              <w:bottom w:val="single" w:color="000000" w:sz="4" w:space="0"/>
              <w:right w:val="single" w:color="000000" w:sz="6" w:space="0"/>
            </w:tcBorders>
          </w:tcPr>
          <w:p>
            <w:pPr>
              <w:pStyle w:val="4069"/>
              <w:spacing w:before="160" w:line="240" w:lineRule="auto"/>
              <w:ind w:left="1282" w:right="1237"/>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672" w:hRule="exact"/>
        </w:trPr>
        <w:tc>
          <w:tcPr>
            <w:tcW w:w="463" w:type="dxa"/>
            <w:vMerge w:val="restart"/>
            <w:tcBorders>
              <w:top w:val="nil"/>
              <w:left w:val="single" w:color="000000" w:sz="6" w:space="0"/>
              <w:right w:val="single" w:color="000000" w:sz="4" w:space="0"/>
            </w:tcBorders>
          </w:tcPr>
          <w:p>
            <w:pPr>
              <w:pStyle w:val="4069"/>
              <w:spacing w:line="266" w:lineRule="exact"/>
              <w:ind w:left="127" w:right="114"/>
              <w:jc w:val="both"/>
              <w:rPr>
                <w:rFonts w:ascii="宋体" w:hAnsi="宋体" w:eastAsia="宋体" w:cs="宋体"/>
                <w:sz w:val="21"/>
                <w:szCs w:val="21"/>
              </w:rPr>
            </w:pPr>
            <w:r>
              <w:rPr>
                <w:rFonts w:ascii="宋体" w:hAnsi="宋体" w:eastAsia="宋体" w:cs="宋体"/>
                <w:sz w:val="21"/>
                <w:szCs w:val="21"/>
              </w:rPr>
              <w:t>爆</w:t>
            </w:r>
          </w:p>
          <w:p>
            <w:pPr>
              <w:pStyle w:val="4069"/>
              <w:spacing w:before="40" w:line="275" w:lineRule="auto"/>
              <w:ind w:left="127" w:right="114"/>
              <w:jc w:val="both"/>
              <w:rPr>
                <w:rFonts w:ascii="宋体" w:hAnsi="宋体" w:eastAsia="宋体" w:cs="宋体"/>
                <w:sz w:val="21"/>
                <w:szCs w:val="21"/>
              </w:rPr>
            </w:pPr>
            <w:r>
              <w:rPr>
                <w:rFonts w:ascii="宋体" w:hAnsi="宋体" w:eastAsia="宋体" w:cs="宋体"/>
                <w:sz w:val="21"/>
                <w:szCs w:val="21"/>
              </w:rPr>
              <w:t>炸</w:t>
            </w:r>
            <w:r>
              <w:rPr>
                <w:rFonts w:ascii="宋体" w:hAnsi="宋体" w:eastAsia="宋体" w:cs="宋体"/>
                <w:w w:val="99"/>
                <w:sz w:val="21"/>
                <w:szCs w:val="21"/>
              </w:rPr>
              <w:t xml:space="preserve"> </w:t>
            </w:r>
            <w:r>
              <w:rPr>
                <w:rFonts w:ascii="宋体" w:hAnsi="宋体" w:eastAsia="宋体" w:cs="宋体"/>
                <w:sz w:val="21"/>
                <w:szCs w:val="21"/>
              </w:rPr>
              <w:t>危</w:t>
            </w:r>
            <w:r>
              <w:rPr>
                <w:rFonts w:ascii="宋体" w:hAnsi="宋体" w:eastAsia="宋体" w:cs="宋体"/>
                <w:w w:val="99"/>
                <w:sz w:val="21"/>
                <w:szCs w:val="21"/>
              </w:rPr>
              <w:t xml:space="preserve"> </w:t>
            </w:r>
            <w:r>
              <w:rPr>
                <w:rFonts w:ascii="宋体" w:hAnsi="宋体" w:eastAsia="宋体" w:cs="宋体"/>
                <w:sz w:val="21"/>
                <w:szCs w:val="21"/>
              </w:rPr>
              <w:t>险</w:t>
            </w:r>
            <w:r>
              <w:rPr>
                <w:rFonts w:ascii="宋体" w:hAnsi="宋体" w:eastAsia="宋体" w:cs="宋体"/>
                <w:w w:val="99"/>
                <w:sz w:val="21"/>
                <w:szCs w:val="21"/>
              </w:rPr>
              <w:t xml:space="preserve"> </w:t>
            </w:r>
            <w:r>
              <w:rPr>
                <w:rFonts w:ascii="宋体" w:hAnsi="宋体" w:eastAsia="宋体" w:cs="宋体"/>
                <w:sz w:val="21"/>
                <w:szCs w:val="21"/>
              </w:rPr>
              <w:t>性</w:t>
            </w: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00" w:line="240" w:lineRule="auto"/>
              <w:ind w:left="377" w:right="0"/>
              <w:jc w:val="left"/>
              <w:rPr>
                <w:rFonts w:ascii="宋体" w:hAnsi="宋体" w:eastAsia="宋体" w:cs="宋体"/>
                <w:sz w:val="21"/>
                <w:szCs w:val="21"/>
              </w:rPr>
            </w:pPr>
            <w:r>
              <w:rPr>
                <w:rFonts w:ascii="宋体" w:hAnsi="宋体" w:eastAsia="宋体" w:cs="宋体"/>
                <w:sz w:val="21"/>
                <w:szCs w:val="21"/>
              </w:rPr>
              <w:t>危险特性</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9" w:line="292" w:lineRule="auto"/>
              <w:ind w:left="291" w:right="233"/>
              <w:jc w:val="left"/>
              <w:rPr>
                <w:rFonts w:ascii="宋体" w:hAnsi="宋体" w:eastAsia="宋体" w:cs="宋体"/>
                <w:sz w:val="21"/>
                <w:szCs w:val="21"/>
              </w:rPr>
            </w:pPr>
            <w:r>
              <w:rPr>
                <w:rFonts w:ascii="宋体" w:hAnsi="宋体" w:eastAsia="宋体" w:cs="宋体"/>
                <w:spacing w:val="-13"/>
                <w:sz w:val="21"/>
                <w:szCs w:val="21"/>
              </w:rPr>
              <w:t>能与一些活性金属粉末发生反应，放出氢气。遇氰化物能产生剧毒的</w:t>
            </w:r>
            <w:r>
              <w:rPr>
                <w:rFonts w:ascii="宋体" w:hAnsi="宋体" w:eastAsia="宋体" w:cs="宋体"/>
                <w:spacing w:val="51"/>
                <w:w w:val="99"/>
                <w:sz w:val="21"/>
                <w:szCs w:val="21"/>
              </w:rPr>
              <w:t xml:space="preserve"> </w:t>
            </w:r>
            <w:r>
              <w:rPr>
                <w:rFonts w:ascii="宋体" w:hAnsi="宋体" w:eastAsia="宋体" w:cs="宋体"/>
                <w:spacing w:val="-13"/>
                <w:sz w:val="21"/>
                <w:szCs w:val="21"/>
              </w:rPr>
              <w:t>氰化氢气体。与碱发生中合反应，并放出大量的热。具有强腐蚀性。</w:t>
            </w:r>
          </w:p>
        </w:tc>
      </w:tr>
      <w:tr>
        <w:tblPrEx>
          <w:tblCellMar>
            <w:top w:w="0" w:type="dxa"/>
            <w:left w:w="0" w:type="dxa"/>
            <w:bottom w:w="0" w:type="dxa"/>
            <w:right w:w="0" w:type="dxa"/>
          </w:tblCellMar>
        </w:tblPrEx>
        <w:trPr>
          <w:trHeight w:val="350"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163" w:right="0"/>
              <w:jc w:val="left"/>
              <w:rPr>
                <w:rFonts w:ascii="宋体" w:hAnsi="宋体" w:eastAsia="宋体" w:cs="宋体"/>
                <w:sz w:val="21"/>
                <w:szCs w:val="21"/>
              </w:rPr>
            </w:pPr>
            <w:r>
              <w:rPr>
                <w:rFonts w:ascii="宋体" w:hAnsi="宋体" w:eastAsia="宋体" w:cs="宋体"/>
                <w:sz w:val="21"/>
                <w:szCs w:val="21"/>
              </w:rPr>
              <w:t>建规火险分级</w:t>
            </w:r>
          </w:p>
        </w:tc>
        <w:tc>
          <w:tcPr>
            <w:tcW w:w="1367" w:type="dxa"/>
            <w:gridSpan w:val="3"/>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172" w:right="0"/>
              <w:jc w:val="center"/>
              <w:rPr>
                <w:rFonts w:ascii="宋体" w:hAnsi="宋体" w:eastAsia="宋体" w:cs="宋体"/>
                <w:sz w:val="21"/>
                <w:szCs w:val="21"/>
              </w:rPr>
            </w:pPr>
            <w:r>
              <w:rPr>
                <w:rFonts w:ascii="宋体" w:hAnsi="宋体" w:eastAsia="宋体" w:cs="宋体"/>
                <w:sz w:val="21"/>
                <w:szCs w:val="21"/>
              </w:rPr>
              <w:t>戊</w:t>
            </w:r>
          </w:p>
        </w:tc>
        <w:tc>
          <w:tcPr>
            <w:tcW w:w="1312"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33" w:right="0"/>
              <w:jc w:val="left"/>
              <w:rPr>
                <w:rFonts w:ascii="宋体" w:hAnsi="宋体" w:eastAsia="宋体" w:cs="宋体"/>
                <w:sz w:val="21"/>
                <w:szCs w:val="21"/>
              </w:rPr>
            </w:pPr>
            <w:r>
              <w:rPr>
                <w:rFonts w:ascii="宋体" w:hAnsi="宋体" w:eastAsia="宋体" w:cs="宋体"/>
                <w:spacing w:val="-9"/>
                <w:sz w:val="21"/>
                <w:szCs w:val="21"/>
              </w:rPr>
              <w:t>稳定性</w:t>
            </w:r>
          </w:p>
        </w:tc>
        <w:tc>
          <w:tcPr>
            <w:tcW w:w="1189" w:type="dxa"/>
            <w:gridSpan w:val="3"/>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72" w:right="0"/>
              <w:jc w:val="left"/>
              <w:rPr>
                <w:rFonts w:ascii="宋体" w:hAnsi="宋体" w:eastAsia="宋体" w:cs="宋体"/>
                <w:sz w:val="21"/>
                <w:szCs w:val="21"/>
              </w:rPr>
            </w:pPr>
            <w:r>
              <w:rPr>
                <w:rFonts w:ascii="宋体" w:hAnsi="宋体" w:eastAsia="宋体" w:cs="宋体"/>
                <w:spacing w:val="-8"/>
                <w:sz w:val="21"/>
                <w:szCs w:val="21"/>
              </w:rPr>
              <w:t>稳定</w:t>
            </w:r>
          </w:p>
        </w:tc>
        <w:tc>
          <w:tcPr>
            <w:tcW w:w="1353"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356" w:right="0"/>
              <w:jc w:val="left"/>
              <w:rPr>
                <w:rFonts w:ascii="宋体" w:hAnsi="宋体" w:eastAsia="宋体" w:cs="宋体"/>
                <w:sz w:val="21"/>
                <w:szCs w:val="21"/>
              </w:rPr>
            </w:pPr>
            <w:r>
              <w:rPr>
                <w:rFonts w:ascii="宋体" w:hAnsi="宋体" w:eastAsia="宋体" w:cs="宋体"/>
                <w:spacing w:val="-10"/>
                <w:sz w:val="21"/>
                <w:szCs w:val="21"/>
              </w:rPr>
              <w:t>聚合危害</w:t>
            </w:r>
          </w:p>
        </w:tc>
        <w:tc>
          <w:tcPr>
            <w:tcW w:w="1265" w:type="dxa"/>
            <w:gridSpan w:val="2"/>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405" w:right="0"/>
              <w:jc w:val="left"/>
              <w:rPr>
                <w:rFonts w:ascii="宋体" w:hAnsi="宋体" w:eastAsia="宋体" w:cs="宋体"/>
                <w:sz w:val="21"/>
                <w:szCs w:val="21"/>
              </w:rPr>
            </w:pPr>
            <w:r>
              <w:rPr>
                <w:rFonts w:ascii="宋体" w:hAnsi="宋体" w:eastAsia="宋体" w:cs="宋体"/>
                <w:spacing w:val="-9"/>
                <w:sz w:val="21"/>
                <w:szCs w:val="21"/>
              </w:rPr>
              <w:t>不聚合</w:t>
            </w:r>
          </w:p>
        </w:tc>
      </w:tr>
      <w:tr>
        <w:tblPrEx>
          <w:tblCellMar>
            <w:top w:w="0" w:type="dxa"/>
            <w:left w:w="0" w:type="dxa"/>
            <w:bottom w:w="0" w:type="dxa"/>
            <w:right w:w="0" w:type="dxa"/>
          </w:tblCellMar>
        </w:tblPrEx>
        <w:trPr>
          <w:trHeight w:val="350" w:hRule="exact"/>
        </w:trPr>
        <w:tc>
          <w:tcPr>
            <w:tcW w:w="463" w:type="dxa"/>
            <w:vMerge w:val="continue"/>
            <w:tcBorders>
              <w:left w:val="single" w:color="000000" w:sz="6"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480" w:right="0"/>
              <w:jc w:val="left"/>
              <w:rPr>
                <w:rFonts w:ascii="宋体" w:hAnsi="宋体" w:eastAsia="宋体" w:cs="宋体"/>
                <w:sz w:val="21"/>
                <w:szCs w:val="21"/>
              </w:rPr>
            </w:pPr>
            <w:r>
              <w:rPr>
                <w:rFonts w:ascii="宋体" w:hAnsi="宋体" w:eastAsia="宋体" w:cs="宋体"/>
                <w:sz w:val="21"/>
                <w:szCs w:val="21"/>
              </w:rPr>
              <w:t>禁忌物</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2182" w:right="0"/>
              <w:jc w:val="left"/>
              <w:rPr>
                <w:rFonts w:ascii="宋体" w:hAnsi="宋体" w:eastAsia="宋体" w:cs="宋体"/>
                <w:sz w:val="21"/>
                <w:szCs w:val="21"/>
              </w:rPr>
            </w:pPr>
            <w:r>
              <w:rPr>
                <w:rFonts w:ascii="宋体" w:hAnsi="宋体" w:eastAsia="宋体" w:cs="宋体"/>
                <w:sz w:val="21"/>
                <w:szCs w:val="21"/>
              </w:rPr>
              <w:t>碱类、胺类、碱金属、易燃或可燃物。</w:t>
            </w:r>
          </w:p>
        </w:tc>
      </w:tr>
      <w:tr>
        <w:tblPrEx>
          <w:tblCellMar>
            <w:top w:w="0" w:type="dxa"/>
            <w:left w:w="0" w:type="dxa"/>
            <w:bottom w:w="0" w:type="dxa"/>
            <w:right w:w="0" w:type="dxa"/>
          </w:tblCellMar>
        </w:tblPrEx>
        <w:trPr>
          <w:trHeight w:val="350" w:hRule="exact"/>
        </w:trPr>
        <w:tc>
          <w:tcPr>
            <w:tcW w:w="463" w:type="dxa"/>
            <w:vMerge w:val="continue"/>
            <w:tcBorders>
              <w:left w:val="single" w:color="000000" w:sz="6" w:space="0"/>
              <w:bottom w:val="single" w:color="000000" w:sz="4" w:space="0"/>
              <w:right w:val="single" w:color="000000" w:sz="4" w:space="0"/>
            </w:tcBorders>
          </w:tcPr>
          <w:p/>
        </w:tc>
        <w:tc>
          <w:tcPr>
            <w:tcW w:w="157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377" w:right="0"/>
              <w:jc w:val="left"/>
              <w:rPr>
                <w:rFonts w:ascii="宋体" w:hAnsi="宋体" w:eastAsia="宋体" w:cs="宋体"/>
                <w:sz w:val="21"/>
                <w:szCs w:val="21"/>
              </w:rPr>
            </w:pPr>
            <w:r>
              <w:rPr>
                <w:rFonts w:ascii="宋体" w:hAnsi="宋体" w:eastAsia="宋体" w:cs="宋体"/>
                <w:sz w:val="21"/>
                <w:szCs w:val="21"/>
              </w:rPr>
              <w:t>灭火方法</w:t>
            </w:r>
          </w:p>
        </w:tc>
        <w:tc>
          <w:tcPr>
            <w:tcW w:w="6486" w:type="dxa"/>
            <w:gridSpan w:val="10"/>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245" w:right="0"/>
              <w:jc w:val="left"/>
              <w:rPr>
                <w:rFonts w:ascii="宋体" w:hAnsi="宋体" w:eastAsia="宋体" w:cs="宋体"/>
                <w:sz w:val="21"/>
                <w:szCs w:val="21"/>
              </w:rPr>
            </w:pPr>
            <w:r>
              <w:rPr>
                <w:rFonts w:ascii="宋体" w:hAnsi="宋体" w:eastAsia="宋体" w:cs="宋体"/>
                <w:spacing w:val="-13"/>
                <w:sz w:val="21"/>
                <w:szCs w:val="21"/>
              </w:rPr>
              <w:t>用碱性物质如碳酸氢钠、碳酸钠、消石灰等中和。也可用大量水扑救。</w:t>
            </w:r>
          </w:p>
        </w:tc>
      </w:tr>
      <w:tr>
        <w:tblPrEx>
          <w:tblCellMar>
            <w:top w:w="0" w:type="dxa"/>
            <w:left w:w="0" w:type="dxa"/>
            <w:bottom w:w="0" w:type="dxa"/>
            <w:right w:w="0" w:type="dxa"/>
          </w:tblCellMar>
        </w:tblPrEx>
        <w:trPr>
          <w:trHeight w:val="1927" w:hRule="exact"/>
        </w:trPr>
        <w:tc>
          <w:tcPr>
            <w:tcW w:w="463" w:type="dxa"/>
            <w:tcBorders>
              <w:top w:val="single" w:color="000000" w:sz="4" w:space="0"/>
              <w:left w:val="single" w:color="000000" w:sz="6" w:space="0"/>
              <w:bottom w:val="single" w:color="000000" w:sz="6" w:space="0"/>
              <w:right w:val="single" w:color="000000" w:sz="4" w:space="0"/>
            </w:tcBorders>
          </w:tcPr>
          <w:p>
            <w:pPr>
              <w:pStyle w:val="4069"/>
              <w:spacing w:before="8" w:line="279" w:lineRule="auto"/>
              <w:ind w:left="153" w:right="86" w:firstLine="2"/>
              <w:jc w:val="both"/>
              <w:rPr>
                <w:rFonts w:ascii="宋体" w:hAnsi="宋体" w:eastAsia="宋体" w:cs="宋体"/>
                <w:sz w:val="21"/>
                <w:szCs w:val="21"/>
              </w:rPr>
            </w:pPr>
            <w:r>
              <w:rPr>
                <w:rFonts w:ascii="宋体" w:hAnsi="宋体" w:eastAsia="宋体" w:cs="宋体"/>
                <w:w w:val="95"/>
                <w:sz w:val="21"/>
                <w:szCs w:val="21"/>
              </w:rPr>
              <w:t>储</w:t>
            </w:r>
            <w:r>
              <w:rPr>
                <w:rFonts w:ascii="宋体" w:hAnsi="宋体" w:eastAsia="宋体" w:cs="宋体"/>
                <w:w w:val="99"/>
                <w:sz w:val="21"/>
                <w:szCs w:val="21"/>
              </w:rPr>
              <w:t xml:space="preserve"> </w:t>
            </w:r>
            <w:r>
              <w:rPr>
                <w:rFonts w:ascii="宋体" w:hAnsi="宋体" w:eastAsia="宋体" w:cs="宋体"/>
                <w:sz w:val="21"/>
                <w:szCs w:val="21"/>
              </w:rPr>
              <w:t>运</w:t>
            </w:r>
            <w:r>
              <w:rPr>
                <w:rFonts w:ascii="宋体" w:hAnsi="宋体" w:eastAsia="宋体" w:cs="宋体"/>
                <w:w w:val="99"/>
                <w:sz w:val="21"/>
                <w:szCs w:val="21"/>
              </w:rPr>
              <w:t xml:space="preserve"> </w:t>
            </w:r>
            <w:r>
              <w:rPr>
                <w:rFonts w:ascii="宋体" w:hAnsi="宋体" w:eastAsia="宋体" w:cs="宋体"/>
                <w:sz w:val="21"/>
                <w:szCs w:val="21"/>
              </w:rPr>
              <w:t>注</w:t>
            </w:r>
            <w:r>
              <w:rPr>
                <w:rFonts w:ascii="宋体" w:hAnsi="宋体" w:eastAsia="宋体" w:cs="宋体"/>
                <w:w w:val="99"/>
                <w:sz w:val="21"/>
                <w:szCs w:val="21"/>
              </w:rPr>
              <w:t xml:space="preserve"> </w:t>
            </w:r>
            <w:r>
              <w:rPr>
                <w:rFonts w:ascii="宋体" w:hAnsi="宋体" w:eastAsia="宋体" w:cs="宋体"/>
                <w:sz w:val="21"/>
                <w:szCs w:val="21"/>
              </w:rPr>
              <w:t>意</w:t>
            </w:r>
            <w:r>
              <w:rPr>
                <w:rFonts w:ascii="宋体" w:hAnsi="宋体" w:eastAsia="宋体" w:cs="宋体"/>
                <w:w w:val="99"/>
                <w:sz w:val="21"/>
                <w:szCs w:val="21"/>
              </w:rPr>
              <w:t xml:space="preserve"> </w:t>
            </w:r>
            <w:r>
              <w:rPr>
                <w:rFonts w:ascii="宋体" w:hAnsi="宋体" w:eastAsia="宋体" w:cs="宋体"/>
                <w:sz w:val="21"/>
                <w:szCs w:val="21"/>
              </w:rPr>
              <w:t>事</w:t>
            </w:r>
            <w:r>
              <w:rPr>
                <w:rFonts w:ascii="宋体" w:hAnsi="宋体" w:eastAsia="宋体" w:cs="宋体"/>
                <w:w w:val="99"/>
                <w:sz w:val="21"/>
                <w:szCs w:val="21"/>
              </w:rPr>
              <w:t xml:space="preserve"> </w:t>
            </w:r>
            <w:r>
              <w:rPr>
                <w:rFonts w:ascii="宋体" w:hAnsi="宋体" w:eastAsia="宋体" w:cs="宋体"/>
                <w:sz w:val="21"/>
                <w:szCs w:val="21"/>
              </w:rPr>
              <w:t>项</w:t>
            </w:r>
          </w:p>
        </w:tc>
        <w:tc>
          <w:tcPr>
            <w:tcW w:w="8060" w:type="dxa"/>
            <w:gridSpan w:val="11"/>
            <w:tcBorders>
              <w:top w:val="single" w:color="000000" w:sz="4" w:space="0"/>
              <w:left w:val="single" w:color="000000" w:sz="4" w:space="0"/>
              <w:bottom w:val="single" w:color="000000" w:sz="6" w:space="0"/>
              <w:right w:val="single" w:color="000000" w:sz="6" w:space="0"/>
            </w:tcBorders>
          </w:tcPr>
          <w:p>
            <w:pPr>
              <w:pStyle w:val="4069"/>
              <w:spacing w:before="9" w:line="130" w:lineRule="exact"/>
              <w:ind w:right="0"/>
              <w:jc w:val="left"/>
              <w:rPr>
                <w:sz w:val="13"/>
                <w:szCs w:val="13"/>
              </w:rPr>
            </w:pPr>
          </w:p>
          <w:p>
            <w:pPr>
              <w:pStyle w:val="4069"/>
              <w:spacing w:line="200" w:lineRule="exact"/>
              <w:ind w:right="0"/>
              <w:jc w:val="left"/>
              <w:rPr>
                <w:sz w:val="20"/>
                <w:szCs w:val="20"/>
              </w:rPr>
            </w:pPr>
          </w:p>
          <w:p>
            <w:pPr>
              <w:pStyle w:val="4069"/>
              <w:spacing w:line="275" w:lineRule="auto"/>
              <w:ind w:left="115" w:right="58" w:firstLine="2"/>
              <w:jc w:val="center"/>
              <w:rPr>
                <w:rFonts w:ascii="宋体" w:hAnsi="宋体" w:eastAsia="宋体" w:cs="宋体"/>
                <w:sz w:val="21"/>
                <w:szCs w:val="21"/>
              </w:rPr>
            </w:pPr>
            <w:r>
              <w:rPr>
                <w:rFonts w:ascii="宋体" w:hAnsi="宋体" w:eastAsia="宋体" w:cs="宋体"/>
                <w:spacing w:val="-13"/>
                <w:w w:val="95"/>
                <w:sz w:val="21"/>
                <w:szCs w:val="21"/>
              </w:rPr>
              <w:t>储存于阴凉、干燥、通风处。应与易燃、可燃物，碱类、金属粉末等分开存放。不可混储混</w:t>
            </w:r>
            <w:r>
              <w:rPr>
                <w:rFonts w:ascii="宋体" w:hAnsi="宋体" w:eastAsia="宋体" w:cs="宋体"/>
                <w:spacing w:val="27"/>
                <w:w w:val="99"/>
                <w:sz w:val="21"/>
                <w:szCs w:val="21"/>
              </w:rPr>
              <w:t xml:space="preserve"> </w:t>
            </w:r>
            <w:r>
              <w:rPr>
                <w:rFonts w:ascii="宋体" w:hAnsi="宋体" w:eastAsia="宋体" w:cs="宋体"/>
                <w:spacing w:val="-13"/>
                <w:w w:val="95"/>
                <w:sz w:val="21"/>
                <w:szCs w:val="21"/>
              </w:rPr>
              <w:t>运。搬运时要轻装轻卸，防止包装及容器损坏。分装和搬运作业要注意个人防护。运输按规</w:t>
            </w:r>
            <w:r>
              <w:rPr>
                <w:rFonts w:ascii="宋体" w:hAnsi="宋体" w:eastAsia="宋体" w:cs="宋体"/>
                <w:spacing w:val="25"/>
                <w:w w:val="99"/>
                <w:sz w:val="21"/>
                <w:szCs w:val="21"/>
              </w:rPr>
              <w:t xml:space="preserve"> </w:t>
            </w:r>
            <w:r>
              <w:rPr>
                <w:rFonts w:ascii="宋体" w:hAnsi="宋体" w:eastAsia="宋体" w:cs="宋体"/>
                <w:spacing w:val="-11"/>
                <w:sz w:val="21"/>
                <w:szCs w:val="21"/>
              </w:rPr>
              <w:t>定路线行驶。</w:t>
            </w:r>
          </w:p>
        </w:tc>
      </w:tr>
    </w:tbl>
    <w:p>
      <w:pPr>
        <w:pStyle w:val="1659"/>
      </w:pPr>
    </w:p>
    <w:p>
      <w:pPr>
        <w:pStyle w:val="1659"/>
      </w:pPr>
    </w:p>
    <w:p>
      <w:pPr>
        <w:pStyle w:val="1659"/>
      </w:pPr>
    </w:p>
    <w:p>
      <w:pPr>
        <w:pStyle w:val="1659"/>
      </w:pPr>
    </w:p>
    <w:p>
      <w:pPr>
        <w:pStyle w:val="1659"/>
        <w:ind w:firstLine="0" w:firstLineChars="0"/>
        <w:jc w:val="center"/>
        <w:rPr>
          <w:rFonts w:ascii="Times New Roman" w:hAnsi="Times New Roman" w:eastAsia="宋体" w:cs="Times New Roman"/>
          <w:b/>
        </w:rPr>
      </w:pPr>
      <w:r>
        <w:rPr>
          <w:rFonts w:ascii="Times New Roman" w:hAnsi="Times New Roman" w:eastAsia="宋体" w:cs="Times New Roman"/>
          <w:b/>
        </w:rPr>
        <w:t>表 7.4-</w:t>
      </w:r>
      <w:r>
        <w:rPr>
          <w:rFonts w:hint="eastAsia" w:ascii="Times New Roman" w:hAnsi="Times New Roman" w:eastAsia="宋体" w:cs="Times New Roman"/>
          <w:b/>
          <w:lang w:val="en-US" w:eastAsia="zh-CN"/>
        </w:rPr>
        <w:t>4</w:t>
      </w:r>
      <w:r>
        <w:rPr>
          <w:rFonts w:ascii="Times New Roman" w:hAnsi="Times New Roman" w:eastAsia="宋体" w:cs="Times New Roman"/>
          <w:b/>
        </w:rPr>
        <w:tab/>
      </w:r>
      <w:r>
        <w:rPr>
          <w:rFonts w:hint="eastAsia" w:ascii="Times New Roman" w:hAnsi="Times New Roman" w:eastAsia="宋体" w:cs="Times New Roman"/>
          <w:b/>
          <w:lang w:eastAsia="zh-CN"/>
        </w:rPr>
        <w:t>二氧化氯</w:t>
      </w:r>
      <w:r>
        <w:rPr>
          <w:rFonts w:ascii="Times New Roman" w:hAnsi="Times New Roman" w:eastAsia="宋体" w:cs="Times New Roman"/>
          <w:b/>
        </w:rPr>
        <w:t>的理化性质和危险特性</w:t>
      </w:r>
    </w:p>
    <w:tbl>
      <w:tblPr>
        <w:tblStyle w:val="88"/>
        <w:tblW w:w="0" w:type="auto"/>
        <w:tblInd w:w="340" w:type="dxa"/>
        <w:tblLayout w:type="fixed"/>
        <w:tblCellMar>
          <w:top w:w="0" w:type="dxa"/>
          <w:left w:w="0" w:type="dxa"/>
          <w:bottom w:w="0" w:type="dxa"/>
          <w:right w:w="0" w:type="dxa"/>
        </w:tblCellMar>
      </w:tblPr>
      <w:tblGrid>
        <w:gridCol w:w="468"/>
        <w:gridCol w:w="1714"/>
        <w:gridCol w:w="1325"/>
        <w:gridCol w:w="1097"/>
        <w:gridCol w:w="1162"/>
        <w:gridCol w:w="209"/>
        <w:gridCol w:w="1157"/>
        <w:gridCol w:w="1399"/>
      </w:tblGrid>
      <w:tr>
        <w:tblPrEx>
          <w:tblCellMar>
            <w:top w:w="0" w:type="dxa"/>
            <w:left w:w="0" w:type="dxa"/>
            <w:bottom w:w="0" w:type="dxa"/>
            <w:right w:w="0" w:type="dxa"/>
          </w:tblCellMar>
        </w:tblPrEx>
        <w:trPr>
          <w:trHeight w:val="371" w:hRule="exact"/>
        </w:trPr>
        <w:tc>
          <w:tcPr>
            <w:tcW w:w="468" w:type="dxa"/>
            <w:vMerge w:val="restart"/>
            <w:tcBorders>
              <w:top w:val="single" w:color="000000" w:sz="10" w:space="0"/>
              <w:left w:val="single" w:color="000000" w:sz="6" w:space="0"/>
              <w:right w:val="single" w:color="000000" w:sz="4" w:space="0"/>
            </w:tcBorders>
          </w:tcPr>
          <w:p>
            <w:pPr>
              <w:pStyle w:val="4069"/>
              <w:spacing w:before="3" w:line="140" w:lineRule="exact"/>
              <w:ind w:right="0"/>
              <w:jc w:val="left"/>
              <w:rPr>
                <w:sz w:val="14"/>
                <w:szCs w:val="14"/>
              </w:rPr>
            </w:pPr>
          </w:p>
          <w:p>
            <w:pPr>
              <w:pStyle w:val="4069"/>
              <w:spacing w:line="200" w:lineRule="exact"/>
              <w:ind w:right="0"/>
              <w:jc w:val="left"/>
              <w:rPr>
                <w:sz w:val="20"/>
                <w:szCs w:val="20"/>
              </w:rPr>
            </w:pPr>
          </w:p>
          <w:p>
            <w:pPr>
              <w:pStyle w:val="4069"/>
              <w:spacing w:line="275" w:lineRule="auto"/>
              <w:ind w:left="128" w:right="118"/>
              <w:jc w:val="left"/>
              <w:rPr>
                <w:rFonts w:ascii="宋体" w:hAnsi="宋体" w:eastAsia="宋体" w:cs="宋体"/>
                <w:sz w:val="21"/>
                <w:szCs w:val="21"/>
              </w:rPr>
            </w:pPr>
            <w:r>
              <w:rPr>
                <w:rFonts w:ascii="宋体" w:hAnsi="宋体" w:eastAsia="宋体" w:cs="宋体"/>
                <w:w w:val="95"/>
                <w:sz w:val="21"/>
                <w:szCs w:val="21"/>
              </w:rPr>
              <w:t>标</w:t>
            </w:r>
            <w:r>
              <w:rPr>
                <w:rFonts w:ascii="宋体" w:hAnsi="宋体" w:eastAsia="宋体" w:cs="宋体"/>
                <w:w w:val="99"/>
                <w:sz w:val="21"/>
                <w:szCs w:val="21"/>
              </w:rPr>
              <w:t xml:space="preserve"> </w:t>
            </w:r>
            <w:r>
              <w:rPr>
                <w:rFonts w:ascii="宋体" w:hAnsi="宋体" w:eastAsia="宋体" w:cs="宋体"/>
                <w:w w:val="95"/>
                <w:sz w:val="21"/>
                <w:szCs w:val="21"/>
              </w:rPr>
              <w:t>识</w:t>
            </w:r>
          </w:p>
        </w:tc>
        <w:tc>
          <w:tcPr>
            <w:tcW w:w="5507" w:type="dxa"/>
            <w:gridSpan w:val="5"/>
            <w:tcBorders>
              <w:top w:val="single" w:color="000000" w:sz="10" w:space="0"/>
              <w:left w:val="single" w:color="000000" w:sz="4" w:space="0"/>
              <w:bottom w:val="single" w:color="000000" w:sz="4" w:space="0"/>
              <w:right w:val="single" w:color="000000" w:sz="4" w:space="0"/>
            </w:tcBorders>
          </w:tcPr>
          <w:p>
            <w:pPr>
              <w:pStyle w:val="4069"/>
              <w:spacing w:before="36" w:line="240" w:lineRule="auto"/>
              <w:ind w:left="18" w:right="0"/>
              <w:jc w:val="center"/>
              <w:rPr>
                <w:rFonts w:ascii="宋体" w:hAnsi="宋体" w:eastAsia="宋体" w:cs="宋体"/>
                <w:sz w:val="21"/>
                <w:szCs w:val="21"/>
              </w:rPr>
            </w:pPr>
            <w:r>
              <w:rPr>
                <w:rFonts w:ascii="宋体" w:hAnsi="宋体" w:eastAsia="宋体" w:cs="宋体"/>
                <w:sz w:val="21"/>
                <w:szCs w:val="21"/>
              </w:rPr>
              <w:t>中文名：二氧化氯</w:t>
            </w:r>
          </w:p>
        </w:tc>
        <w:tc>
          <w:tcPr>
            <w:tcW w:w="2556" w:type="dxa"/>
            <w:gridSpan w:val="2"/>
            <w:tcBorders>
              <w:top w:val="single" w:color="000000" w:sz="10" w:space="0"/>
              <w:left w:val="single" w:color="000000" w:sz="4" w:space="0"/>
              <w:bottom w:val="single" w:color="000000" w:sz="4" w:space="0"/>
              <w:right w:val="single" w:color="000000" w:sz="6" w:space="0"/>
            </w:tcBorders>
          </w:tcPr>
          <w:p>
            <w:pPr>
              <w:pStyle w:val="4069"/>
              <w:spacing w:before="36" w:line="240" w:lineRule="auto"/>
              <w:ind w:left="763" w:right="0"/>
              <w:jc w:val="left"/>
              <w:rPr>
                <w:rFonts w:ascii="Times New Roman" w:hAnsi="Times New Roman" w:eastAsia="Times New Roman" w:cs="Times New Roman"/>
                <w:sz w:val="21"/>
                <w:szCs w:val="21"/>
              </w:rPr>
            </w:pPr>
            <w:r>
              <w:rPr>
                <w:rFonts w:ascii="宋体" w:hAnsi="宋体" w:eastAsia="宋体" w:cs="宋体"/>
                <w:sz w:val="21"/>
                <w:szCs w:val="21"/>
              </w:rPr>
              <w:t>危险货物编号：</w:t>
            </w:r>
            <w:r>
              <w:rPr>
                <w:rFonts w:ascii="Times New Roman" w:hAnsi="Times New Roman" w:eastAsia="Times New Roman" w:cs="Times New Roman"/>
                <w:sz w:val="21"/>
                <w:szCs w:val="21"/>
              </w:rPr>
              <w:t>/</w:t>
            </w:r>
          </w:p>
        </w:tc>
      </w:tr>
      <w:tr>
        <w:tblPrEx>
          <w:tblCellMar>
            <w:top w:w="0" w:type="dxa"/>
            <w:left w:w="0" w:type="dxa"/>
            <w:bottom w:w="0" w:type="dxa"/>
            <w:right w:w="0" w:type="dxa"/>
          </w:tblCellMar>
        </w:tblPrEx>
        <w:trPr>
          <w:trHeight w:val="350" w:hRule="exact"/>
        </w:trPr>
        <w:tc>
          <w:tcPr>
            <w:tcW w:w="468" w:type="dxa"/>
            <w:vMerge w:val="continue"/>
            <w:tcBorders>
              <w:left w:val="single" w:color="000000" w:sz="6" w:space="0"/>
              <w:right w:val="single" w:color="000000" w:sz="4" w:space="0"/>
            </w:tcBorders>
          </w:tcPr>
          <w:p/>
        </w:tc>
        <w:tc>
          <w:tcPr>
            <w:tcW w:w="5507" w:type="dxa"/>
            <w:gridSpan w:val="5"/>
            <w:tcBorders>
              <w:top w:val="single" w:color="000000" w:sz="4" w:space="0"/>
              <w:left w:val="single" w:color="000000" w:sz="4" w:space="0"/>
              <w:bottom w:val="single" w:color="000000" w:sz="4" w:space="0"/>
              <w:right w:val="single" w:color="000000" w:sz="4" w:space="0"/>
            </w:tcBorders>
          </w:tcPr>
          <w:p>
            <w:pPr>
              <w:pStyle w:val="4069"/>
              <w:spacing w:before="25" w:line="240" w:lineRule="auto"/>
              <w:ind w:left="2437" w:right="0"/>
              <w:jc w:val="left"/>
              <w:rPr>
                <w:rFonts w:ascii="Times New Roman" w:hAnsi="Times New Roman" w:eastAsia="Times New Roman" w:cs="Times New Roman"/>
                <w:sz w:val="21"/>
                <w:szCs w:val="21"/>
              </w:rPr>
            </w:pPr>
            <w:r>
              <w:rPr>
                <w:rFonts w:ascii="宋体" w:hAnsi="宋体" w:eastAsia="宋体" w:cs="宋体"/>
                <w:sz w:val="21"/>
                <w:szCs w:val="21"/>
              </w:rPr>
              <w:t>英文名：</w:t>
            </w:r>
            <w:r>
              <w:rPr>
                <w:rFonts w:ascii="Times New Roman" w:hAnsi="Times New Roman" w:eastAsia="Times New Roman" w:cs="Times New Roman"/>
                <w:sz w:val="21"/>
                <w:szCs w:val="21"/>
              </w:rPr>
              <w:t>Chlorine</w:t>
            </w:r>
            <w:r>
              <w:rPr>
                <w:rFonts w:ascii="Times New Roman" w:hAnsi="Times New Roman" w:eastAsia="Times New Roman" w:cs="Times New Roman"/>
                <w:spacing w:val="-22"/>
                <w:sz w:val="21"/>
                <w:szCs w:val="21"/>
              </w:rPr>
              <w:t xml:space="preserve"> </w:t>
            </w:r>
            <w:r>
              <w:rPr>
                <w:rFonts w:ascii="Times New Roman" w:hAnsi="Times New Roman" w:eastAsia="Times New Roman" w:cs="Times New Roman"/>
                <w:spacing w:val="-1"/>
                <w:sz w:val="21"/>
                <w:szCs w:val="21"/>
              </w:rPr>
              <w:t>dioxide</w:t>
            </w:r>
          </w:p>
        </w:tc>
        <w:tc>
          <w:tcPr>
            <w:tcW w:w="2556" w:type="dxa"/>
            <w:gridSpan w:val="2"/>
            <w:tcBorders>
              <w:top w:val="single" w:color="000000" w:sz="4" w:space="0"/>
              <w:left w:val="single" w:color="000000" w:sz="4" w:space="0"/>
              <w:bottom w:val="single" w:color="000000" w:sz="4" w:space="0"/>
              <w:right w:val="single" w:color="000000" w:sz="6" w:space="0"/>
            </w:tcBorders>
          </w:tcPr>
          <w:p>
            <w:pPr>
              <w:pStyle w:val="4069"/>
              <w:spacing w:before="25" w:line="240" w:lineRule="auto"/>
              <w:ind w:left="857" w:right="0"/>
              <w:jc w:val="left"/>
              <w:rPr>
                <w:rFonts w:ascii="Times New Roman" w:hAnsi="Times New Roman" w:eastAsia="Times New Roman" w:cs="Times New Roman"/>
                <w:sz w:val="21"/>
                <w:szCs w:val="21"/>
              </w:rPr>
            </w:pPr>
            <w:r>
              <w:rPr>
                <w:rFonts w:ascii="Times New Roman" w:hAnsi="Times New Roman" w:eastAsia="Times New Roman" w:cs="Times New Roman"/>
                <w:sz w:val="21"/>
                <w:szCs w:val="21"/>
              </w:rPr>
              <w:t>UN</w:t>
            </w:r>
            <w:r>
              <w:rPr>
                <w:rFonts w:ascii="Times New Roman" w:hAnsi="Times New Roman" w:eastAsia="Times New Roman" w:cs="Times New Roman"/>
                <w:spacing w:val="-14"/>
                <w:sz w:val="21"/>
                <w:szCs w:val="21"/>
              </w:rPr>
              <w:t xml:space="preserve"> </w:t>
            </w:r>
            <w:r>
              <w:rPr>
                <w:rFonts w:ascii="宋体" w:hAnsi="宋体" w:eastAsia="宋体" w:cs="宋体"/>
                <w:sz w:val="21"/>
                <w:szCs w:val="21"/>
              </w:rPr>
              <w:t>编号：</w:t>
            </w:r>
            <w:r>
              <w:rPr>
                <w:rFonts w:ascii="Times New Roman" w:hAnsi="Times New Roman" w:eastAsia="Times New Roman" w:cs="Times New Roman"/>
                <w:sz w:val="21"/>
                <w:szCs w:val="21"/>
              </w:rPr>
              <w:t>1574</w:t>
            </w:r>
          </w:p>
        </w:tc>
      </w:tr>
      <w:tr>
        <w:tblPrEx>
          <w:tblCellMar>
            <w:top w:w="0" w:type="dxa"/>
            <w:left w:w="0" w:type="dxa"/>
            <w:bottom w:w="0" w:type="dxa"/>
            <w:right w:w="0" w:type="dxa"/>
          </w:tblCellMar>
        </w:tblPrEx>
        <w:trPr>
          <w:trHeight w:val="350" w:hRule="exact"/>
        </w:trPr>
        <w:tc>
          <w:tcPr>
            <w:tcW w:w="468" w:type="dxa"/>
            <w:vMerge w:val="continue"/>
            <w:tcBorders>
              <w:left w:val="single" w:color="000000" w:sz="6" w:space="0"/>
              <w:bottom w:val="single" w:color="000000" w:sz="4" w:space="0"/>
              <w:right w:val="single" w:color="000000" w:sz="4" w:space="0"/>
            </w:tcBorders>
          </w:tcPr>
          <w:p/>
        </w:tc>
        <w:tc>
          <w:tcPr>
            <w:tcW w:w="3039" w:type="dxa"/>
            <w:gridSpan w:val="2"/>
            <w:tcBorders>
              <w:top w:val="single" w:color="000000" w:sz="4" w:space="0"/>
              <w:left w:val="single" w:color="000000" w:sz="4" w:space="0"/>
              <w:bottom w:val="single" w:color="000000" w:sz="4" w:space="0"/>
              <w:right w:val="single" w:color="000000" w:sz="4" w:space="0"/>
            </w:tcBorders>
          </w:tcPr>
          <w:p>
            <w:pPr>
              <w:pStyle w:val="4069"/>
              <w:spacing w:before="3" w:line="240" w:lineRule="auto"/>
              <w:ind w:left="1316" w:right="0"/>
              <w:jc w:val="left"/>
              <w:rPr>
                <w:rFonts w:ascii="Times New Roman" w:hAnsi="Times New Roman" w:eastAsia="Times New Roman" w:cs="Times New Roman"/>
                <w:sz w:val="21"/>
                <w:szCs w:val="21"/>
              </w:rPr>
            </w:pPr>
            <w:r>
              <w:rPr>
                <w:rFonts w:ascii="宋体" w:hAnsi="宋体" w:eastAsia="宋体" w:cs="宋体"/>
                <w:position w:val="2"/>
                <w:sz w:val="21"/>
                <w:szCs w:val="21"/>
              </w:rPr>
              <w:t>分子式：</w:t>
            </w:r>
            <w:r>
              <w:rPr>
                <w:rFonts w:ascii="Times New Roman" w:hAnsi="Times New Roman" w:eastAsia="Times New Roman" w:cs="Times New Roman"/>
                <w:position w:val="2"/>
                <w:sz w:val="21"/>
                <w:szCs w:val="21"/>
              </w:rPr>
              <w:t>ClO</w:t>
            </w:r>
            <w:r>
              <w:rPr>
                <w:rFonts w:ascii="Times New Roman" w:hAnsi="Times New Roman" w:eastAsia="Times New Roman" w:cs="Times New Roman"/>
                <w:sz w:val="21"/>
                <w:szCs w:val="21"/>
              </w:rPr>
              <w:t>2</w:t>
            </w:r>
          </w:p>
        </w:tc>
        <w:tc>
          <w:tcPr>
            <w:tcW w:w="2468" w:type="dxa"/>
            <w:gridSpan w:val="3"/>
            <w:tcBorders>
              <w:top w:val="single" w:color="000000" w:sz="4" w:space="0"/>
              <w:left w:val="single" w:color="000000" w:sz="4" w:space="0"/>
              <w:bottom w:val="single" w:color="000000" w:sz="4" w:space="0"/>
              <w:right w:val="single" w:color="000000" w:sz="4" w:space="0"/>
            </w:tcBorders>
          </w:tcPr>
          <w:p>
            <w:pPr>
              <w:pStyle w:val="4069"/>
              <w:spacing w:before="23" w:line="240" w:lineRule="auto"/>
              <w:ind w:left="865" w:right="0"/>
              <w:jc w:val="left"/>
              <w:rPr>
                <w:rFonts w:ascii="Times New Roman" w:hAnsi="Times New Roman" w:eastAsia="Times New Roman" w:cs="Times New Roman"/>
                <w:sz w:val="21"/>
                <w:szCs w:val="21"/>
              </w:rPr>
            </w:pPr>
            <w:r>
              <w:rPr>
                <w:rFonts w:ascii="宋体" w:hAnsi="宋体" w:eastAsia="宋体" w:cs="宋体"/>
                <w:sz w:val="21"/>
                <w:szCs w:val="21"/>
              </w:rPr>
              <w:t>分子量：</w:t>
            </w:r>
            <w:r>
              <w:rPr>
                <w:rFonts w:ascii="Times New Roman" w:hAnsi="Times New Roman" w:eastAsia="Times New Roman" w:cs="Times New Roman"/>
                <w:sz w:val="21"/>
                <w:szCs w:val="21"/>
              </w:rPr>
              <w:t>67.45</w:t>
            </w:r>
          </w:p>
        </w:tc>
        <w:tc>
          <w:tcPr>
            <w:tcW w:w="2556" w:type="dxa"/>
            <w:gridSpan w:val="2"/>
            <w:tcBorders>
              <w:top w:val="single" w:color="000000" w:sz="4" w:space="0"/>
              <w:left w:val="single" w:color="000000" w:sz="4" w:space="0"/>
              <w:bottom w:val="single" w:color="000000" w:sz="4" w:space="0"/>
              <w:right w:val="single" w:color="000000" w:sz="6" w:space="0"/>
            </w:tcBorders>
          </w:tcPr>
          <w:p>
            <w:pPr>
              <w:pStyle w:val="4069"/>
              <w:spacing w:before="23" w:line="240" w:lineRule="auto"/>
              <w:ind w:left="564" w:right="0"/>
              <w:jc w:val="left"/>
              <w:rPr>
                <w:rFonts w:ascii="Times New Roman" w:hAnsi="Times New Roman" w:eastAsia="Times New Roman" w:cs="Times New Roman"/>
                <w:sz w:val="21"/>
                <w:szCs w:val="21"/>
              </w:rPr>
            </w:pPr>
            <w:r>
              <w:rPr>
                <w:rFonts w:ascii="Times New Roman" w:hAnsi="Times New Roman" w:eastAsia="Times New Roman" w:cs="Times New Roman"/>
                <w:w w:val="90"/>
                <w:sz w:val="21"/>
                <w:szCs w:val="21"/>
              </w:rPr>
              <w:t>C</w:t>
            </w:r>
            <w:r>
              <w:rPr>
                <w:rFonts w:ascii="Times New Roman" w:hAnsi="Times New Roman" w:eastAsia="Times New Roman" w:cs="Times New Roman"/>
                <w:spacing w:val="1"/>
                <w:w w:val="90"/>
                <w:sz w:val="21"/>
                <w:szCs w:val="21"/>
              </w:rPr>
              <w:t>A</w:t>
            </w:r>
            <w:r>
              <w:rPr>
                <w:rFonts w:ascii="Times New Roman" w:hAnsi="Times New Roman" w:eastAsia="Times New Roman" w:cs="Times New Roman"/>
                <w:w w:val="90"/>
                <w:sz w:val="21"/>
                <w:szCs w:val="21"/>
              </w:rPr>
              <w:t xml:space="preserve">S </w:t>
            </w:r>
            <w:r>
              <w:rPr>
                <w:rFonts w:ascii="Times New Roman" w:hAnsi="Times New Roman" w:eastAsia="Times New Roman" w:cs="Times New Roman"/>
                <w:spacing w:val="20"/>
                <w:w w:val="90"/>
                <w:sz w:val="21"/>
                <w:szCs w:val="21"/>
              </w:rPr>
              <w:t xml:space="preserve"> </w:t>
            </w:r>
            <w:r>
              <w:rPr>
                <w:rFonts w:ascii="宋体" w:hAnsi="宋体" w:eastAsia="宋体" w:cs="宋体"/>
                <w:spacing w:val="1"/>
                <w:w w:val="90"/>
                <w:sz w:val="21"/>
                <w:szCs w:val="21"/>
              </w:rPr>
              <w:t>号：</w:t>
            </w:r>
            <w:r>
              <w:rPr>
                <w:rFonts w:ascii="Times New Roman" w:hAnsi="Times New Roman" w:eastAsia="Times New Roman" w:cs="Times New Roman"/>
                <w:w w:val="90"/>
                <w:sz w:val="21"/>
                <w:szCs w:val="21"/>
              </w:rPr>
              <w:t>1</w:t>
            </w:r>
            <w:r>
              <w:rPr>
                <w:rFonts w:ascii="Times New Roman" w:hAnsi="Times New Roman" w:eastAsia="Times New Roman" w:cs="Times New Roman"/>
                <w:spacing w:val="1"/>
                <w:w w:val="90"/>
                <w:sz w:val="21"/>
                <w:szCs w:val="21"/>
              </w:rPr>
              <w:t>0</w:t>
            </w:r>
            <w:r>
              <w:rPr>
                <w:rFonts w:ascii="Times New Roman" w:hAnsi="Times New Roman" w:eastAsia="Times New Roman" w:cs="Times New Roman"/>
                <w:w w:val="90"/>
                <w:sz w:val="21"/>
                <w:szCs w:val="21"/>
              </w:rPr>
              <w:t>0</w:t>
            </w:r>
            <w:r>
              <w:rPr>
                <w:rFonts w:ascii="Times New Roman" w:hAnsi="Times New Roman" w:eastAsia="Times New Roman" w:cs="Times New Roman"/>
                <w:spacing w:val="1"/>
                <w:w w:val="90"/>
                <w:sz w:val="21"/>
                <w:szCs w:val="21"/>
              </w:rPr>
              <w:t>4</w:t>
            </w:r>
            <w:r>
              <w:rPr>
                <w:rFonts w:ascii="Times New Roman" w:hAnsi="Times New Roman" w:eastAsia="Times New Roman" w:cs="Times New Roman"/>
                <w:w w:val="90"/>
                <w:sz w:val="21"/>
                <w:szCs w:val="21"/>
              </w:rPr>
              <w:t>9-</w:t>
            </w:r>
            <w:r>
              <w:rPr>
                <w:rFonts w:ascii="Times New Roman" w:hAnsi="Times New Roman" w:eastAsia="Times New Roman" w:cs="Times New Roman"/>
                <w:spacing w:val="1"/>
                <w:w w:val="90"/>
                <w:sz w:val="21"/>
                <w:szCs w:val="21"/>
              </w:rPr>
              <w:t>0</w:t>
            </w:r>
            <w:r>
              <w:rPr>
                <w:rFonts w:ascii="Times New Roman" w:hAnsi="Times New Roman" w:eastAsia="Times New Roman" w:cs="Times New Roman"/>
                <w:w w:val="90"/>
                <w:sz w:val="21"/>
                <w:szCs w:val="21"/>
              </w:rPr>
              <w:t>4-4</w:t>
            </w:r>
          </w:p>
        </w:tc>
      </w:tr>
      <w:tr>
        <w:tblPrEx>
          <w:tblCellMar>
            <w:top w:w="0" w:type="dxa"/>
            <w:left w:w="0" w:type="dxa"/>
            <w:bottom w:w="0" w:type="dxa"/>
            <w:right w:w="0" w:type="dxa"/>
          </w:tblCellMar>
        </w:tblPrEx>
        <w:trPr>
          <w:trHeight w:val="350" w:hRule="exact"/>
        </w:trPr>
        <w:tc>
          <w:tcPr>
            <w:tcW w:w="468" w:type="dxa"/>
            <w:vMerge w:val="restart"/>
            <w:tcBorders>
              <w:top w:val="single" w:color="000000" w:sz="4" w:space="0"/>
              <w:left w:val="single" w:color="000000" w:sz="6" w:space="0"/>
              <w:right w:val="single" w:color="000000" w:sz="4" w:space="0"/>
            </w:tcBorders>
          </w:tcPr>
          <w:p>
            <w:pPr>
              <w:pStyle w:val="4069"/>
              <w:spacing w:before="9" w:line="110" w:lineRule="exact"/>
              <w:ind w:right="0"/>
              <w:jc w:val="left"/>
              <w:rPr>
                <w:sz w:val="11"/>
                <w:szCs w:val="11"/>
              </w:rPr>
            </w:pPr>
          </w:p>
          <w:p>
            <w:pPr>
              <w:pStyle w:val="4069"/>
              <w:spacing w:line="200" w:lineRule="exact"/>
              <w:ind w:right="0"/>
              <w:jc w:val="left"/>
              <w:rPr>
                <w:sz w:val="20"/>
                <w:szCs w:val="20"/>
              </w:rPr>
            </w:pPr>
          </w:p>
          <w:p>
            <w:pPr>
              <w:pStyle w:val="4069"/>
              <w:spacing w:line="275" w:lineRule="auto"/>
              <w:ind w:left="128" w:right="118"/>
              <w:jc w:val="both"/>
              <w:rPr>
                <w:rFonts w:ascii="宋体" w:hAnsi="宋体" w:eastAsia="宋体" w:cs="宋体"/>
                <w:sz w:val="21"/>
                <w:szCs w:val="21"/>
              </w:rPr>
            </w:pPr>
            <w:r>
              <w:rPr>
                <w:rFonts w:ascii="宋体" w:hAnsi="宋体" w:eastAsia="宋体" w:cs="宋体"/>
                <w:w w:val="95"/>
                <w:sz w:val="21"/>
                <w:szCs w:val="21"/>
              </w:rPr>
              <w:t>理</w:t>
            </w:r>
            <w:r>
              <w:rPr>
                <w:rFonts w:ascii="宋体" w:hAnsi="宋体" w:eastAsia="宋体" w:cs="宋体"/>
                <w:w w:val="99"/>
                <w:sz w:val="21"/>
                <w:szCs w:val="21"/>
              </w:rPr>
              <w:t xml:space="preserve"> </w:t>
            </w:r>
            <w:r>
              <w:rPr>
                <w:rFonts w:ascii="宋体" w:hAnsi="宋体" w:eastAsia="宋体" w:cs="宋体"/>
                <w:w w:val="95"/>
                <w:sz w:val="21"/>
                <w:szCs w:val="21"/>
              </w:rPr>
              <w:t>化</w:t>
            </w:r>
            <w:r>
              <w:rPr>
                <w:rFonts w:ascii="宋体" w:hAnsi="宋体" w:eastAsia="宋体" w:cs="宋体"/>
                <w:w w:val="99"/>
                <w:sz w:val="21"/>
                <w:szCs w:val="21"/>
              </w:rPr>
              <w:t xml:space="preserve"> </w:t>
            </w:r>
            <w:r>
              <w:rPr>
                <w:rFonts w:ascii="宋体" w:hAnsi="宋体" w:eastAsia="宋体" w:cs="宋体"/>
                <w:w w:val="95"/>
                <w:sz w:val="21"/>
                <w:szCs w:val="21"/>
              </w:rPr>
              <w:t>性</w:t>
            </w:r>
            <w:r>
              <w:rPr>
                <w:rFonts w:ascii="宋体" w:hAnsi="宋体" w:eastAsia="宋体" w:cs="宋体"/>
                <w:w w:val="99"/>
                <w:sz w:val="21"/>
                <w:szCs w:val="21"/>
              </w:rPr>
              <w:t xml:space="preserve"> </w:t>
            </w:r>
            <w:r>
              <w:rPr>
                <w:rFonts w:ascii="宋体" w:hAnsi="宋体" w:eastAsia="宋体" w:cs="宋体"/>
                <w:w w:val="95"/>
                <w:sz w:val="21"/>
                <w:szCs w:val="21"/>
              </w:rPr>
              <w:t>质</w:t>
            </w: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23" w:line="240" w:lineRule="auto"/>
              <w:ind w:left="340" w:right="0"/>
              <w:jc w:val="left"/>
              <w:rPr>
                <w:rFonts w:ascii="宋体" w:hAnsi="宋体" w:eastAsia="宋体" w:cs="宋体"/>
                <w:sz w:val="21"/>
                <w:szCs w:val="21"/>
              </w:rPr>
            </w:pPr>
            <w:r>
              <w:rPr>
                <w:rFonts w:ascii="宋体" w:hAnsi="宋体" w:eastAsia="宋体" w:cs="宋体"/>
                <w:sz w:val="21"/>
                <w:szCs w:val="21"/>
              </w:rPr>
              <w:t>外观与性状</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before="23" w:line="240" w:lineRule="auto"/>
              <w:ind w:left="2706" w:right="0"/>
              <w:jc w:val="left"/>
              <w:rPr>
                <w:rFonts w:ascii="宋体" w:hAnsi="宋体" w:eastAsia="宋体" w:cs="宋体"/>
                <w:sz w:val="21"/>
                <w:szCs w:val="21"/>
              </w:rPr>
            </w:pPr>
            <w:r>
              <w:rPr>
                <w:rFonts w:ascii="宋体" w:hAnsi="宋体" w:eastAsia="宋体" w:cs="宋体"/>
                <w:sz w:val="21"/>
                <w:szCs w:val="21"/>
              </w:rPr>
              <w:t>黄红色气体，有刺激性气味。</w:t>
            </w:r>
          </w:p>
        </w:tc>
      </w:tr>
      <w:tr>
        <w:tblPrEx>
          <w:tblCellMar>
            <w:top w:w="0" w:type="dxa"/>
            <w:left w:w="0" w:type="dxa"/>
            <w:bottom w:w="0" w:type="dxa"/>
            <w:right w:w="0" w:type="dxa"/>
          </w:tblCellMar>
        </w:tblPrEx>
        <w:trPr>
          <w:trHeight w:val="525"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10" w:line="240" w:lineRule="auto"/>
              <w:ind w:left="340" w:right="0"/>
              <w:jc w:val="left"/>
              <w:rPr>
                <w:rFonts w:ascii="宋体" w:hAnsi="宋体" w:eastAsia="宋体" w:cs="宋体"/>
                <w:sz w:val="21"/>
                <w:szCs w:val="21"/>
              </w:rPr>
            </w:pPr>
            <w:r>
              <w:rPr>
                <w:rFonts w:ascii="宋体" w:hAnsi="宋体" w:eastAsia="宋体" w:cs="宋体"/>
                <w:sz w:val="21"/>
                <w:szCs w:val="21"/>
              </w:rPr>
              <w:t>熔点（℃）</w:t>
            </w:r>
          </w:p>
        </w:tc>
        <w:tc>
          <w:tcPr>
            <w:tcW w:w="1325" w:type="dxa"/>
            <w:tcBorders>
              <w:top w:val="single" w:color="000000" w:sz="4" w:space="0"/>
              <w:left w:val="single" w:color="000000" w:sz="4" w:space="0"/>
              <w:bottom w:val="single" w:color="000000" w:sz="4" w:space="0"/>
              <w:right w:val="single" w:color="000000" w:sz="4" w:space="0"/>
            </w:tcBorders>
          </w:tcPr>
          <w:p>
            <w:pPr>
              <w:pStyle w:val="4069"/>
              <w:spacing w:before="115" w:line="240" w:lineRule="auto"/>
              <w:ind w:left="437" w:right="0"/>
              <w:jc w:val="left"/>
              <w:rPr>
                <w:rFonts w:ascii="宋体" w:hAnsi="宋体" w:eastAsia="宋体" w:cs="宋体"/>
                <w:sz w:val="21"/>
                <w:szCs w:val="21"/>
              </w:rPr>
            </w:pPr>
            <w:r>
              <w:rPr>
                <w:rFonts w:ascii="Times New Roman" w:hAnsi="Times New Roman" w:eastAsia="Times New Roman" w:cs="Times New Roman"/>
                <w:w w:val="95"/>
                <w:sz w:val="21"/>
                <w:szCs w:val="21"/>
              </w:rPr>
              <w:t>-59</w:t>
            </w:r>
            <w:r>
              <w:rPr>
                <w:rFonts w:ascii="宋体" w:hAnsi="宋体" w:eastAsia="宋体" w:cs="宋体"/>
                <w:w w:val="95"/>
                <w:sz w:val="21"/>
                <w:szCs w:val="21"/>
              </w:rPr>
              <w:t>℃</w:t>
            </w:r>
          </w:p>
        </w:tc>
        <w:tc>
          <w:tcPr>
            <w:tcW w:w="2468" w:type="dxa"/>
            <w:gridSpan w:val="3"/>
            <w:tcBorders>
              <w:top w:val="single" w:color="000000" w:sz="4" w:space="0"/>
              <w:left w:val="single" w:color="000000" w:sz="4" w:space="0"/>
              <w:bottom w:val="single" w:color="000000" w:sz="4" w:space="0"/>
              <w:right w:val="single" w:color="000000" w:sz="4" w:space="0"/>
            </w:tcBorders>
          </w:tcPr>
          <w:p>
            <w:pPr>
              <w:pStyle w:val="4069"/>
              <w:spacing w:before="110" w:line="240" w:lineRule="auto"/>
              <w:ind w:left="20" w:right="0"/>
              <w:jc w:val="center"/>
              <w:rPr>
                <w:rFonts w:ascii="宋体" w:hAnsi="宋体" w:eastAsia="宋体" w:cs="宋体"/>
                <w:sz w:val="21"/>
                <w:szCs w:val="21"/>
              </w:rPr>
            </w:pPr>
            <w:r>
              <w:rPr>
                <w:rFonts w:ascii="宋体" w:hAnsi="宋体" w:eastAsia="宋体" w:cs="宋体"/>
                <w:spacing w:val="-1"/>
                <w:sz w:val="21"/>
                <w:szCs w:val="21"/>
              </w:rPr>
              <w:t>密度</w:t>
            </w:r>
          </w:p>
        </w:tc>
        <w:tc>
          <w:tcPr>
            <w:tcW w:w="2556" w:type="dxa"/>
            <w:gridSpan w:val="2"/>
            <w:tcBorders>
              <w:top w:val="single" w:color="000000" w:sz="4" w:space="0"/>
              <w:left w:val="single" w:color="000000" w:sz="4" w:space="0"/>
              <w:bottom w:val="single" w:color="000000" w:sz="4" w:space="0"/>
              <w:right w:val="single" w:color="000000" w:sz="6" w:space="0"/>
            </w:tcBorders>
          </w:tcPr>
          <w:p>
            <w:pPr>
              <w:pStyle w:val="4069"/>
              <w:spacing w:before="161" w:line="240" w:lineRule="auto"/>
              <w:ind w:left="33" w:right="0"/>
              <w:jc w:val="center"/>
              <w:rPr>
                <w:rFonts w:ascii="Times New Roman" w:hAnsi="Times New Roman" w:eastAsia="Times New Roman" w:cs="Times New Roman"/>
                <w:sz w:val="21"/>
                <w:szCs w:val="21"/>
              </w:rPr>
            </w:pPr>
            <w:r>
              <w:rPr>
                <w:rFonts w:ascii="Times New Roman"/>
                <w:w w:val="95"/>
                <w:sz w:val="21"/>
              </w:rPr>
              <w:t>3.09g/L</w:t>
            </w:r>
          </w:p>
        </w:tc>
      </w:tr>
      <w:tr>
        <w:tblPrEx>
          <w:tblCellMar>
            <w:top w:w="0" w:type="dxa"/>
            <w:left w:w="0" w:type="dxa"/>
            <w:bottom w:w="0" w:type="dxa"/>
            <w:right w:w="0" w:type="dxa"/>
          </w:tblCellMar>
        </w:tblPrEx>
        <w:trPr>
          <w:trHeight w:val="527"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13" w:line="240" w:lineRule="auto"/>
              <w:ind w:left="340" w:right="0"/>
              <w:jc w:val="left"/>
              <w:rPr>
                <w:rFonts w:ascii="宋体" w:hAnsi="宋体" w:eastAsia="宋体" w:cs="宋体"/>
                <w:sz w:val="21"/>
                <w:szCs w:val="21"/>
              </w:rPr>
            </w:pPr>
            <w:r>
              <w:rPr>
                <w:rFonts w:ascii="宋体" w:hAnsi="宋体" w:eastAsia="宋体" w:cs="宋体"/>
                <w:sz w:val="21"/>
                <w:szCs w:val="21"/>
              </w:rPr>
              <w:t>沸点（℃）</w:t>
            </w:r>
          </w:p>
        </w:tc>
        <w:tc>
          <w:tcPr>
            <w:tcW w:w="1325" w:type="dxa"/>
            <w:tcBorders>
              <w:top w:val="single" w:color="000000" w:sz="4" w:space="0"/>
              <w:left w:val="single" w:color="000000" w:sz="4" w:space="0"/>
              <w:bottom w:val="single" w:color="000000" w:sz="4" w:space="0"/>
              <w:right w:val="single" w:color="000000" w:sz="4" w:space="0"/>
            </w:tcBorders>
          </w:tcPr>
          <w:p>
            <w:pPr>
              <w:pStyle w:val="4069"/>
              <w:spacing w:before="116" w:line="240" w:lineRule="auto"/>
              <w:ind w:left="18" w:right="0"/>
              <w:jc w:val="center"/>
              <w:rPr>
                <w:rFonts w:ascii="宋体" w:hAnsi="宋体" w:eastAsia="宋体" w:cs="宋体"/>
                <w:sz w:val="21"/>
                <w:szCs w:val="21"/>
              </w:rPr>
            </w:pPr>
            <w:r>
              <w:rPr>
                <w:rFonts w:ascii="Times New Roman" w:hAnsi="Times New Roman" w:eastAsia="Times New Roman" w:cs="Times New Roman"/>
                <w:spacing w:val="-1"/>
                <w:w w:val="85"/>
                <w:sz w:val="21"/>
                <w:szCs w:val="21"/>
              </w:rPr>
              <w:t>11</w:t>
            </w:r>
            <w:r>
              <w:rPr>
                <w:rFonts w:ascii="宋体" w:hAnsi="宋体" w:eastAsia="宋体" w:cs="宋体"/>
                <w:spacing w:val="-1"/>
                <w:w w:val="85"/>
                <w:sz w:val="21"/>
                <w:szCs w:val="21"/>
              </w:rPr>
              <w:t>℃</w:t>
            </w:r>
          </w:p>
        </w:tc>
        <w:tc>
          <w:tcPr>
            <w:tcW w:w="2468" w:type="dxa"/>
            <w:gridSpan w:val="3"/>
            <w:tcBorders>
              <w:top w:val="single" w:color="000000" w:sz="4" w:space="0"/>
              <w:left w:val="single" w:color="000000" w:sz="4" w:space="0"/>
              <w:bottom w:val="single" w:color="000000" w:sz="4" w:space="0"/>
              <w:right w:val="single" w:color="000000" w:sz="4" w:space="0"/>
            </w:tcBorders>
          </w:tcPr>
          <w:p>
            <w:pPr>
              <w:pStyle w:val="4069"/>
              <w:spacing w:before="113" w:line="240" w:lineRule="auto"/>
              <w:ind w:left="723" w:right="0"/>
              <w:jc w:val="left"/>
              <w:rPr>
                <w:rFonts w:ascii="Times New Roman" w:hAnsi="Times New Roman" w:eastAsia="Times New Roman" w:cs="Times New Roman"/>
                <w:sz w:val="21"/>
                <w:szCs w:val="21"/>
              </w:rPr>
            </w:pPr>
            <w:r>
              <w:rPr>
                <w:rFonts w:ascii="宋体" w:hAnsi="宋体" w:eastAsia="宋体" w:cs="宋体"/>
                <w:sz w:val="21"/>
                <w:szCs w:val="21"/>
              </w:rPr>
              <w:t>饱和蒸气压</w:t>
            </w:r>
            <w:r>
              <w:rPr>
                <w:rFonts w:ascii="Times New Roman" w:hAnsi="Times New Roman" w:eastAsia="Times New Roman" w:cs="Times New Roman"/>
                <w:sz w:val="21"/>
                <w:szCs w:val="21"/>
              </w:rPr>
              <w:t>(kPa)</w:t>
            </w:r>
          </w:p>
        </w:tc>
        <w:tc>
          <w:tcPr>
            <w:tcW w:w="2556" w:type="dxa"/>
            <w:gridSpan w:val="2"/>
            <w:tcBorders>
              <w:top w:val="single" w:color="000000" w:sz="4" w:space="0"/>
              <w:left w:val="single" w:color="000000" w:sz="4" w:space="0"/>
              <w:bottom w:val="single" w:color="000000" w:sz="4" w:space="0"/>
              <w:right w:val="single" w:color="000000" w:sz="6" w:space="0"/>
            </w:tcBorders>
          </w:tcPr>
          <w:p>
            <w:pPr>
              <w:pStyle w:val="4069"/>
              <w:spacing w:before="161" w:line="240" w:lineRule="auto"/>
              <w:ind w:left="27" w:right="0"/>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350" w:hRule="exact"/>
        </w:trPr>
        <w:tc>
          <w:tcPr>
            <w:tcW w:w="468" w:type="dxa"/>
            <w:vMerge w:val="continue"/>
            <w:tcBorders>
              <w:left w:val="single" w:color="000000" w:sz="6" w:space="0"/>
              <w:bottom w:val="single" w:color="000000" w:sz="4"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23" w:line="240" w:lineRule="auto"/>
              <w:ind w:left="551" w:right="0"/>
              <w:jc w:val="left"/>
              <w:rPr>
                <w:rFonts w:ascii="宋体" w:hAnsi="宋体" w:eastAsia="宋体" w:cs="宋体"/>
                <w:sz w:val="21"/>
                <w:szCs w:val="21"/>
              </w:rPr>
            </w:pPr>
            <w:r>
              <w:rPr>
                <w:rFonts w:ascii="宋体" w:hAnsi="宋体" w:eastAsia="宋体" w:cs="宋体"/>
                <w:sz w:val="21"/>
                <w:szCs w:val="21"/>
              </w:rPr>
              <w:t>溶解性</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before="23" w:line="240" w:lineRule="auto"/>
              <w:ind w:left="1921" w:right="0"/>
              <w:jc w:val="left"/>
              <w:rPr>
                <w:rFonts w:ascii="宋体" w:hAnsi="宋体" w:eastAsia="宋体" w:cs="宋体"/>
                <w:sz w:val="21"/>
                <w:szCs w:val="21"/>
              </w:rPr>
            </w:pPr>
            <w:r>
              <w:rPr>
                <w:rFonts w:ascii="宋体" w:hAnsi="宋体" w:eastAsia="宋体" w:cs="宋体"/>
                <w:sz w:val="21"/>
                <w:szCs w:val="21"/>
              </w:rPr>
              <w:t>易溶于水，在水中的溶解度是氯的</w:t>
            </w:r>
            <w:r>
              <w:rPr>
                <w:rFonts w:ascii="宋体" w:hAnsi="宋体" w:eastAsia="宋体" w:cs="宋体"/>
                <w:spacing w:val="-23"/>
                <w:sz w:val="21"/>
                <w:szCs w:val="21"/>
              </w:rPr>
              <w:t xml:space="preserve"> </w:t>
            </w:r>
            <w:r>
              <w:rPr>
                <w:rFonts w:ascii="Times New Roman" w:hAnsi="Times New Roman" w:eastAsia="Times New Roman" w:cs="Times New Roman"/>
                <w:spacing w:val="-1"/>
                <w:sz w:val="21"/>
                <w:szCs w:val="21"/>
              </w:rPr>
              <w:t>5-8</w:t>
            </w:r>
            <w:r>
              <w:rPr>
                <w:rFonts w:ascii="Times New Roman" w:hAnsi="Times New Roman" w:eastAsia="Times New Roman" w:cs="Times New Roman"/>
                <w:spacing w:val="-11"/>
                <w:sz w:val="21"/>
                <w:szCs w:val="21"/>
              </w:rPr>
              <w:t xml:space="preserve"> </w:t>
            </w:r>
            <w:r>
              <w:rPr>
                <w:rFonts w:ascii="宋体" w:hAnsi="宋体" w:eastAsia="宋体" w:cs="宋体"/>
                <w:sz w:val="21"/>
                <w:szCs w:val="21"/>
              </w:rPr>
              <w:t>倍</w:t>
            </w:r>
          </w:p>
        </w:tc>
      </w:tr>
      <w:tr>
        <w:tblPrEx>
          <w:tblCellMar>
            <w:top w:w="0" w:type="dxa"/>
            <w:left w:w="0" w:type="dxa"/>
            <w:bottom w:w="0" w:type="dxa"/>
            <w:right w:w="0" w:type="dxa"/>
          </w:tblCellMar>
        </w:tblPrEx>
        <w:trPr>
          <w:trHeight w:val="350" w:hRule="exact"/>
        </w:trPr>
        <w:tc>
          <w:tcPr>
            <w:tcW w:w="468" w:type="dxa"/>
            <w:vMerge w:val="restart"/>
            <w:tcBorders>
              <w:top w:val="single" w:color="000000" w:sz="4" w:space="0"/>
              <w:left w:val="single" w:color="000000" w:sz="6" w:space="0"/>
              <w:right w:val="single" w:color="000000" w:sz="4" w:space="0"/>
            </w:tcBorders>
          </w:tcPr>
          <w:p>
            <w:pPr>
              <w:pStyle w:val="4069"/>
              <w:spacing w:before="7" w:line="170" w:lineRule="exact"/>
              <w:ind w:right="0"/>
              <w:jc w:val="left"/>
              <w:rPr>
                <w:sz w:val="17"/>
                <w:szCs w:val="17"/>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75" w:lineRule="auto"/>
              <w:ind w:left="128" w:right="118"/>
              <w:jc w:val="both"/>
              <w:rPr>
                <w:rFonts w:ascii="宋体" w:hAnsi="宋体" w:eastAsia="宋体" w:cs="宋体"/>
                <w:sz w:val="21"/>
                <w:szCs w:val="21"/>
              </w:rPr>
            </w:pPr>
            <w:r>
              <w:rPr>
                <w:rFonts w:ascii="宋体" w:hAnsi="宋体" w:eastAsia="宋体" w:cs="宋体"/>
                <w:w w:val="95"/>
                <w:sz w:val="21"/>
                <w:szCs w:val="21"/>
              </w:rPr>
              <w:t>毒</w:t>
            </w:r>
            <w:r>
              <w:rPr>
                <w:rFonts w:ascii="宋体" w:hAnsi="宋体" w:eastAsia="宋体" w:cs="宋体"/>
                <w:w w:val="99"/>
                <w:sz w:val="21"/>
                <w:szCs w:val="21"/>
              </w:rPr>
              <w:t xml:space="preserve"> </w:t>
            </w:r>
            <w:r>
              <w:rPr>
                <w:rFonts w:ascii="宋体" w:hAnsi="宋体" w:eastAsia="宋体" w:cs="宋体"/>
                <w:w w:val="95"/>
                <w:sz w:val="21"/>
                <w:szCs w:val="21"/>
              </w:rPr>
              <w:t>性</w:t>
            </w:r>
            <w:r>
              <w:rPr>
                <w:rFonts w:ascii="宋体" w:hAnsi="宋体" w:eastAsia="宋体" w:cs="宋体"/>
                <w:w w:val="99"/>
                <w:sz w:val="21"/>
                <w:szCs w:val="21"/>
              </w:rPr>
              <w:t xml:space="preserve"> </w:t>
            </w:r>
            <w:r>
              <w:rPr>
                <w:rFonts w:ascii="宋体" w:hAnsi="宋体" w:eastAsia="宋体" w:cs="宋体"/>
                <w:w w:val="95"/>
                <w:sz w:val="21"/>
                <w:szCs w:val="21"/>
              </w:rPr>
              <w:t>及</w:t>
            </w:r>
            <w:r>
              <w:rPr>
                <w:rFonts w:ascii="宋体" w:hAnsi="宋体" w:eastAsia="宋体" w:cs="宋体"/>
                <w:w w:val="99"/>
                <w:sz w:val="21"/>
                <w:szCs w:val="21"/>
              </w:rPr>
              <w:t xml:space="preserve"> </w:t>
            </w:r>
            <w:r>
              <w:rPr>
                <w:rFonts w:ascii="宋体" w:hAnsi="宋体" w:eastAsia="宋体" w:cs="宋体"/>
                <w:w w:val="95"/>
                <w:sz w:val="21"/>
                <w:szCs w:val="21"/>
              </w:rPr>
              <w:t>健</w:t>
            </w:r>
            <w:r>
              <w:rPr>
                <w:rFonts w:ascii="宋体" w:hAnsi="宋体" w:eastAsia="宋体" w:cs="宋体"/>
                <w:w w:val="99"/>
                <w:sz w:val="21"/>
                <w:szCs w:val="21"/>
              </w:rPr>
              <w:t xml:space="preserve"> </w:t>
            </w:r>
            <w:r>
              <w:rPr>
                <w:rFonts w:ascii="宋体" w:hAnsi="宋体" w:eastAsia="宋体" w:cs="宋体"/>
                <w:w w:val="95"/>
                <w:sz w:val="21"/>
                <w:szCs w:val="21"/>
              </w:rPr>
              <w:t>康</w:t>
            </w:r>
            <w:r>
              <w:rPr>
                <w:rFonts w:ascii="宋体" w:hAnsi="宋体" w:eastAsia="宋体" w:cs="宋体"/>
                <w:w w:val="99"/>
                <w:sz w:val="21"/>
                <w:szCs w:val="21"/>
              </w:rPr>
              <w:t xml:space="preserve"> </w:t>
            </w:r>
            <w:r>
              <w:rPr>
                <w:rFonts w:ascii="宋体" w:hAnsi="宋体" w:eastAsia="宋体" w:cs="宋体"/>
                <w:w w:val="95"/>
                <w:sz w:val="21"/>
                <w:szCs w:val="21"/>
              </w:rPr>
              <w:t>危</w:t>
            </w:r>
            <w:r>
              <w:rPr>
                <w:rFonts w:ascii="宋体" w:hAnsi="宋体" w:eastAsia="宋体" w:cs="宋体"/>
                <w:w w:val="99"/>
                <w:sz w:val="21"/>
                <w:szCs w:val="21"/>
              </w:rPr>
              <w:t xml:space="preserve"> </w:t>
            </w:r>
            <w:r>
              <w:rPr>
                <w:rFonts w:ascii="宋体" w:hAnsi="宋体" w:eastAsia="宋体" w:cs="宋体"/>
                <w:w w:val="95"/>
                <w:sz w:val="21"/>
                <w:szCs w:val="21"/>
              </w:rPr>
              <w:t>害</w:t>
            </w: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23" w:line="240" w:lineRule="auto"/>
              <w:ind w:left="445" w:right="0"/>
              <w:jc w:val="left"/>
              <w:rPr>
                <w:rFonts w:ascii="宋体" w:hAnsi="宋体" w:eastAsia="宋体" w:cs="宋体"/>
                <w:sz w:val="21"/>
                <w:szCs w:val="21"/>
              </w:rPr>
            </w:pPr>
            <w:r>
              <w:rPr>
                <w:rFonts w:ascii="宋体" w:hAnsi="宋体" w:eastAsia="宋体" w:cs="宋体"/>
                <w:sz w:val="21"/>
                <w:szCs w:val="21"/>
              </w:rPr>
              <w:t>侵入途径</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before="23" w:line="240" w:lineRule="auto"/>
              <w:ind w:left="2706" w:right="0"/>
              <w:jc w:val="left"/>
              <w:rPr>
                <w:rFonts w:ascii="宋体" w:hAnsi="宋体" w:eastAsia="宋体" w:cs="宋体"/>
                <w:sz w:val="21"/>
                <w:szCs w:val="21"/>
              </w:rPr>
            </w:pPr>
            <w:r>
              <w:rPr>
                <w:rFonts w:ascii="宋体" w:hAnsi="宋体" w:eastAsia="宋体" w:cs="宋体"/>
                <w:sz w:val="21"/>
                <w:szCs w:val="21"/>
              </w:rPr>
              <w:t>皮肤、眼睛接触；吸入、食入</w:t>
            </w:r>
          </w:p>
        </w:tc>
      </w:tr>
      <w:tr>
        <w:tblPrEx>
          <w:tblCellMar>
            <w:top w:w="0" w:type="dxa"/>
            <w:left w:w="0" w:type="dxa"/>
            <w:bottom w:w="0" w:type="dxa"/>
            <w:right w:w="0" w:type="dxa"/>
          </w:tblCellMar>
        </w:tblPrEx>
        <w:trPr>
          <w:trHeight w:val="350"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24" w:line="240" w:lineRule="auto"/>
              <w:ind w:left="22" w:right="0"/>
              <w:jc w:val="center"/>
              <w:rPr>
                <w:rFonts w:ascii="宋体" w:hAnsi="宋体" w:eastAsia="宋体" w:cs="宋体"/>
                <w:sz w:val="21"/>
                <w:szCs w:val="21"/>
              </w:rPr>
            </w:pPr>
            <w:r>
              <w:rPr>
                <w:rFonts w:ascii="宋体" w:hAnsi="宋体" w:eastAsia="宋体" w:cs="宋体"/>
                <w:spacing w:val="-1"/>
                <w:sz w:val="21"/>
                <w:szCs w:val="21"/>
              </w:rPr>
              <w:t>毒性</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before="4" w:line="240" w:lineRule="auto"/>
              <w:ind w:left="365" w:right="0"/>
              <w:jc w:val="left"/>
              <w:rPr>
                <w:rFonts w:ascii="宋体" w:hAnsi="宋体" w:eastAsia="宋体" w:cs="宋体"/>
                <w:sz w:val="21"/>
                <w:szCs w:val="21"/>
              </w:rPr>
            </w:pPr>
            <w:r>
              <w:rPr>
                <w:rFonts w:ascii="宋体" w:hAnsi="宋体" w:eastAsia="宋体" w:cs="宋体"/>
                <w:position w:val="2"/>
                <w:sz w:val="21"/>
                <w:szCs w:val="21"/>
              </w:rPr>
              <w:t>口服</w:t>
            </w:r>
            <w:r>
              <w:rPr>
                <w:rFonts w:ascii="Times New Roman" w:hAnsi="Times New Roman" w:eastAsia="Times New Roman" w:cs="Times New Roman"/>
                <w:position w:val="2"/>
                <w:sz w:val="21"/>
                <w:szCs w:val="21"/>
              </w:rPr>
              <w:t>-</w:t>
            </w:r>
            <w:r>
              <w:rPr>
                <w:rFonts w:ascii="宋体" w:hAnsi="宋体" w:eastAsia="宋体" w:cs="宋体"/>
                <w:position w:val="2"/>
                <w:sz w:val="21"/>
                <w:szCs w:val="21"/>
              </w:rPr>
              <w:t>大鼠</w:t>
            </w:r>
            <w:r>
              <w:rPr>
                <w:rFonts w:ascii="宋体" w:hAnsi="宋体" w:eastAsia="宋体" w:cs="宋体"/>
                <w:spacing w:val="-14"/>
                <w:position w:val="2"/>
                <w:sz w:val="21"/>
                <w:szCs w:val="21"/>
              </w:rPr>
              <w:t xml:space="preserve"> </w:t>
            </w:r>
            <w:r>
              <w:rPr>
                <w:rFonts w:ascii="Times New Roman" w:hAnsi="Times New Roman" w:eastAsia="Times New Roman" w:cs="Times New Roman"/>
                <w:position w:val="2"/>
                <w:sz w:val="21"/>
                <w:szCs w:val="21"/>
              </w:rPr>
              <w:t>LD</w:t>
            </w:r>
            <w:r>
              <w:rPr>
                <w:rFonts w:ascii="Times New Roman" w:hAnsi="Times New Roman" w:eastAsia="Times New Roman" w:cs="Times New Roman"/>
                <w:sz w:val="21"/>
                <w:szCs w:val="21"/>
              </w:rPr>
              <w:t>50</w:t>
            </w:r>
            <w:r>
              <w:rPr>
                <w:rFonts w:ascii="Times New Roman" w:hAnsi="Times New Roman" w:eastAsia="Times New Roman" w:cs="Times New Roman"/>
                <w:position w:val="2"/>
                <w:sz w:val="21"/>
                <w:szCs w:val="21"/>
              </w:rPr>
              <w:t>:292</w:t>
            </w:r>
            <w:r>
              <w:rPr>
                <w:rFonts w:ascii="Times New Roman" w:hAnsi="Times New Roman" w:eastAsia="Times New Roman" w:cs="Times New Roman"/>
                <w:spacing w:val="-7"/>
                <w:position w:val="2"/>
                <w:sz w:val="21"/>
                <w:szCs w:val="21"/>
              </w:rPr>
              <w:t xml:space="preserve"> </w:t>
            </w:r>
            <w:r>
              <w:rPr>
                <w:rFonts w:ascii="宋体" w:hAnsi="宋体" w:eastAsia="宋体" w:cs="宋体"/>
                <w:position w:val="2"/>
                <w:sz w:val="21"/>
                <w:szCs w:val="21"/>
              </w:rPr>
              <w:t>毫克</w:t>
            </w:r>
            <w:r>
              <w:rPr>
                <w:rFonts w:ascii="Times New Roman" w:hAnsi="Times New Roman" w:eastAsia="Times New Roman" w:cs="Times New Roman"/>
                <w:position w:val="2"/>
                <w:sz w:val="21"/>
                <w:szCs w:val="21"/>
              </w:rPr>
              <w:t>/</w:t>
            </w:r>
            <w:r>
              <w:rPr>
                <w:rFonts w:ascii="宋体" w:hAnsi="宋体" w:eastAsia="宋体" w:cs="宋体"/>
                <w:position w:val="2"/>
                <w:sz w:val="21"/>
                <w:szCs w:val="21"/>
              </w:rPr>
              <w:t>公斤；吸入</w:t>
            </w:r>
            <w:r>
              <w:rPr>
                <w:rFonts w:ascii="Times New Roman" w:hAnsi="Times New Roman" w:eastAsia="Times New Roman" w:cs="Times New Roman"/>
                <w:position w:val="2"/>
                <w:sz w:val="21"/>
                <w:szCs w:val="21"/>
              </w:rPr>
              <w:t>-</w:t>
            </w:r>
            <w:r>
              <w:rPr>
                <w:rFonts w:ascii="宋体" w:hAnsi="宋体" w:eastAsia="宋体" w:cs="宋体"/>
                <w:position w:val="2"/>
                <w:sz w:val="21"/>
                <w:szCs w:val="21"/>
              </w:rPr>
              <w:t>大鼠</w:t>
            </w:r>
            <w:r>
              <w:rPr>
                <w:rFonts w:ascii="宋体" w:hAnsi="宋体" w:eastAsia="宋体" w:cs="宋体"/>
                <w:spacing w:val="-14"/>
                <w:position w:val="2"/>
                <w:sz w:val="21"/>
                <w:szCs w:val="21"/>
              </w:rPr>
              <w:t xml:space="preserve"> </w:t>
            </w:r>
            <w:r>
              <w:rPr>
                <w:rFonts w:ascii="Times New Roman" w:hAnsi="Times New Roman" w:eastAsia="Times New Roman" w:cs="Times New Roman"/>
                <w:position w:val="2"/>
                <w:sz w:val="21"/>
                <w:szCs w:val="21"/>
              </w:rPr>
              <w:t>LCL</w:t>
            </w:r>
            <w:r>
              <w:rPr>
                <w:rFonts w:ascii="Times New Roman" w:hAnsi="Times New Roman" w:eastAsia="Times New Roman" w:cs="Times New Roman"/>
                <w:sz w:val="21"/>
                <w:szCs w:val="21"/>
              </w:rPr>
              <w:t>0</w:t>
            </w:r>
            <w:r>
              <w:rPr>
                <w:rFonts w:ascii="Times New Roman" w:hAnsi="Times New Roman" w:eastAsia="Times New Roman" w:cs="Times New Roman"/>
                <w:position w:val="2"/>
                <w:sz w:val="21"/>
                <w:szCs w:val="21"/>
              </w:rPr>
              <w:t>:500</w:t>
            </w:r>
            <w:r>
              <w:rPr>
                <w:rFonts w:ascii="Times New Roman" w:hAnsi="Times New Roman" w:eastAsia="Times New Roman" w:cs="Times New Roman"/>
                <w:spacing w:val="-7"/>
                <w:position w:val="2"/>
                <w:sz w:val="21"/>
                <w:szCs w:val="21"/>
              </w:rPr>
              <w:t xml:space="preserve"> </w:t>
            </w:r>
            <w:r>
              <w:rPr>
                <w:rFonts w:ascii="Times New Roman" w:hAnsi="Times New Roman" w:eastAsia="Times New Roman" w:cs="Times New Roman"/>
                <w:position w:val="2"/>
                <w:sz w:val="21"/>
                <w:szCs w:val="21"/>
              </w:rPr>
              <w:t>PPM/15</w:t>
            </w:r>
            <w:r>
              <w:rPr>
                <w:rFonts w:ascii="Times New Roman" w:hAnsi="Times New Roman" w:eastAsia="Times New Roman" w:cs="Times New Roman"/>
                <w:spacing w:val="-7"/>
                <w:position w:val="2"/>
                <w:sz w:val="21"/>
                <w:szCs w:val="21"/>
              </w:rPr>
              <w:t xml:space="preserve"> </w:t>
            </w:r>
            <w:r>
              <w:rPr>
                <w:rFonts w:ascii="宋体" w:hAnsi="宋体" w:eastAsia="宋体" w:cs="宋体"/>
                <w:position w:val="2"/>
                <w:sz w:val="21"/>
                <w:szCs w:val="21"/>
              </w:rPr>
              <w:t>分</w:t>
            </w:r>
          </w:p>
        </w:tc>
      </w:tr>
      <w:tr>
        <w:tblPrEx>
          <w:tblCellMar>
            <w:top w:w="0" w:type="dxa"/>
            <w:left w:w="0" w:type="dxa"/>
            <w:bottom w:w="0" w:type="dxa"/>
            <w:right w:w="0" w:type="dxa"/>
          </w:tblCellMar>
        </w:tblPrEx>
        <w:trPr>
          <w:trHeight w:val="970"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6" w:line="190" w:lineRule="exact"/>
              <w:ind w:right="0"/>
              <w:jc w:val="left"/>
              <w:rPr>
                <w:sz w:val="19"/>
                <w:szCs w:val="19"/>
              </w:rPr>
            </w:pPr>
          </w:p>
          <w:p>
            <w:pPr>
              <w:pStyle w:val="4069"/>
              <w:spacing w:line="200" w:lineRule="exact"/>
              <w:ind w:right="0"/>
              <w:jc w:val="left"/>
              <w:rPr>
                <w:sz w:val="20"/>
                <w:szCs w:val="20"/>
              </w:rPr>
            </w:pPr>
          </w:p>
          <w:p>
            <w:pPr>
              <w:pStyle w:val="4069"/>
              <w:spacing w:line="240" w:lineRule="auto"/>
              <w:ind w:left="445" w:right="0"/>
              <w:jc w:val="left"/>
              <w:rPr>
                <w:rFonts w:ascii="宋体" w:hAnsi="宋体" w:eastAsia="宋体" w:cs="宋体"/>
                <w:sz w:val="21"/>
                <w:szCs w:val="21"/>
              </w:rPr>
            </w:pPr>
            <w:r>
              <w:rPr>
                <w:rFonts w:ascii="宋体" w:hAnsi="宋体" w:eastAsia="宋体" w:cs="宋体"/>
                <w:sz w:val="21"/>
                <w:szCs w:val="21"/>
              </w:rPr>
              <w:t>健康危害</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line="265" w:lineRule="exact"/>
              <w:ind w:left="121" w:right="0"/>
              <w:jc w:val="left"/>
              <w:rPr>
                <w:rFonts w:ascii="宋体" w:hAnsi="宋体" w:eastAsia="宋体" w:cs="宋体"/>
                <w:sz w:val="21"/>
                <w:szCs w:val="21"/>
              </w:rPr>
            </w:pPr>
            <w:r>
              <w:rPr>
                <w:rFonts w:ascii="宋体" w:hAnsi="宋体" w:eastAsia="宋体" w:cs="宋体"/>
                <w:sz w:val="21"/>
                <w:szCs w:val="21"/>
              </w:rPr>
              <w:t>本品具有强烈刺激性。接触后主要引起眼和呼吸道刺激。吸入高浓</w:t>
            </w:r>
          </w:p>
          <w:p>
            <w:pPr>
              <w:pStyle w:val="4069"/>
              <w:spacing w:before="50" w:line="282" w:lineRule="auto"/>
              <w:ind w:left="541" w:right="0" w:hanging="420"/>
              <w:jc w:val="left"/>
              <w:rPr>
                <w:rFonts w:ascii="宋体" w:hAnsi="宋体" w:eastAsia="宋体" w:cs="宋体"/>
                <w:sz w:val="21"/>
                <w:szCs w:val="21"/>
              </w:rPr>
            </w:pPr>
            <w:r>
              <w:rPr>
                <w:rFonts w:ascii="宋体" w:hAnsi="宋体" w:eastAsia="宋体" w:cs="宋体"/>
                <w:w w:val="95"/>
                <w:sz w:val="21"/>
                <w:szCs w:val="21"/>
              </w:rPr>
              <w:t>度可发生肺水肿，能致死。皮肤接触或摄入本品的高浓度溶液，可</w:t>
            </w:r>
            <w:r>
              <w:rPr>
                <w:rFonts w:ascii="宋体" w:hAnsi="宋体" w:eastAsia="宋体" w:cs="宋体"/>
                <w:spacing w:val="28"/>
                <w:w w:val="99"/>
                <w:sz w:val="21"/>
                <w:szCs w:val="21"/>
              </w:rPr>
              <w:t xml:space="preserve"> </w:t>
            </w:r>
            <w:r>
              <w:rPr>
                <w:rFonts w:ascii="宋体" w:hAnsi="宋体" w:eastAsia="宋体" w:cs="宋体"/>
                <w:sz w:val="21"/>
                <w:szCs w:val="21"/>
              </w:rPr>
              <w:t>能引起强烈刺激和腐蚀。长期接触可导致慢性支气管炎。</w:t>
            </w:r>
          </w:p>
        </w:tc>
      </w:tr>
      <w:tr>
        <w:tblPrEx>
          <w:tblCellMar>
            <w:top w:w="0" w:type="dxa"/>
            <w:left w:w="0" w:type="dxa"/>
            <w:bottom w:w="0" w:type="dxa"/>
            <w:right w:w="0" w:type="dxa"/>
          </w:tblCellMar>
        </w:tblPrEx>
        <w:trPr>
          <w:trHeight w:val="1610" w:hRule="exact"/>
        </w:trPr>
        <w:tc>
          <w:tcPr>
            <w:tcW w:w="468" w:type="dxa"/>
            <w:vMerge w:val="continue"/>
            <w:tcBorders>
              <w:left w:val="single" w:color="000000" w:sz="6" w:space="0"/>
              <w:bottom w:val="single" w:color="000000" w:sz="4"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before="16" w:line="260" w:lineRule="exact"/>
              <w:ind w:right="0"/>
              <w:jc w:val="left"/>
              <w:rPr>
                <w:sz w:val="26"/>
                <w:szCs w:val="26"/>
              </w:rPr>
            </w:pPr>
          </w:p>
          <w:p>
            <w:pPr>
              <w:pStyle w:val="4069"/>
              <w:spacing w:line="240" w:lineRule="auto"/>
              <w:ind w:left="445" w:right="0"/>
              <w:jc w:val="left"/>
              <w:rPr>
                <w:rFonts w:ascii="宋体" w:hAnsi="宋体" w:eastAsia="宋体" w:cs="宋体"/>
                <w:sz w:val="21"/>
                <w:szCs w:val="21"/>
              </w:rPr>
            </w:pPr>
            <w:r>
              <w:rPr>
                <w:rFonts w:ascii="宋体" w:hAnsi="宋体" w:eastAsia="宋体" w:cs="宋体"/>
                <w:sz w:val="21"/>
                <w:szCs w:val="21"/>
              </w:rPr>
              <w:t>急救措施</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line="283" w:lineRule="exact"/>
              <w:ind w:right="4"/>
              <w:jc w:val="center"/>
              <w:rPr>
                <w:rFonts w:ascii="Times New Roman" w:hAnsi="Times New Roman" w:eastAsia="Times New Roman" w:cs="Times New Roman"/>
                <w:sz w:val="21"/>
                <w:szCs w:val="21"/>
              </w:rPr>
            </w:pPr>
            <w:r>
              <w:rPr>
                <w:rFonts w:ascii="宋体" w:hAnsi="宋体" w:eastAsia="宋体" w:cs="宋体"/>
                <w:spacing w:val="-1"/>
                <w:w w:val="95"/>
                <w:sz w:val="21"/>
                <w:szCs w:val="21"/>
              </w:rPr>
              <w:t>①皮肤接触：脱去污染的衣着，立即用大量流动清水彻底冲洗至少</w:t>
            </w:r>
            <w:r>
              <w:rPr>
                <w:rFonts w:ascii="宋体" w:hAnsi="宋体" w:eastAsia="宋体" w:cs="宋体"/>
                <w:w w:val="95"/>
                <w:sz w:val="21"/>
                <w:szCs w:val="21"/>
              </w:rPr>
              <w:t xml:space="preserve">  </w:t>
            </w:r>
            <w:r>
              <w:rPr>
                <w:rFonts w:ascii="宋体" w:hAnsi="宋体" w:eastAsia="宋体" w:cs="宋体"/>
                <w:spacing w:val="7"/>
                <w:w w:val="95"/>
                <w:sz w:val="21"/>
                <w:szCs w:val="21"/>
              </w:rPr>
              <w:t xml:space="preserve"> </w:t>
            </w:r>
            <w:r>
              <w:rPr>
                <w:rFonts w:ascii="Times New Roman" w:hAnsi="Times New Roman" w:eastAsia="Times New Roman" w:cs="Times New Roman"/>
                <w:w w:val="95"/>
                <w:sz w:val="21"/>
                <w:szCs w:val="21"/>
              </w:rPr>
              <w:t>15</w:t>
            </w:r>
          </w:p>
          <w:p>
            <w:pPr>
              <w:pStyle w:val="4069"/>
              <w:spacing w:before="31" w:line="277" w:lineRule="auto"/>
              <w:ind w:left="15" w:right="23"/>
              <w:jc w:val="center"/>
              <w:rPr>
                <w:rFonts w:ascii="宋体" w:hAnsi="宋体" w:eastAsia="宋体" w:cs="宋体"/>
                <w:sz w:val="21"/>
                <w:szCs w:val="21"/>
              </w:rPr>
            </w:pPr>
            <w:r>
              <w:rPr>
                <w:rFonts w:ascii="宋体" w:hAnsi="宋体" w:eastAsia="宋体" w:cs="宋体"/>
                <w:w w:val="95"/>
                <w:sz w:val="21"/>
                <w:szCs w:val="21"/>
              </w:rPr>
              <w:t>分钟，就医。②眼睛接触：立即翻开上下眼睑，用流动清水或生理盐</w:t>
            </w:r>
            <w:r>
              <w:rPr>
                <w:rFonts w:ascii="宋体" w:hAnsi="宋体" w:eastAsia="宋体" w:cs="宋体"/>
                <w:spacing w:val="26"/>
                <w:w w:val="99"/>
                <w:sz w:val="21"/>
                <w:szCs w:val="21"/>
              </w:rPr>
              <w:t xml:space="preserve"> </w:t>
            </w:r>
            <w:r>
              <w:rPr>
                <w:rFonts w:ascii="宋体" w:hAnsi="宋体" w:eastAsia="宋体" w:cs="宋体"/>
                <w:sz w:val="21"/>
                <w:szCs w:val="21"/>
              </w:rPr>
              <w:t>水冲洗至少</w:t>
            </w:r>
            <w:r>
              <w:rPr>
                <w:rFonts w:ascii="宋体" w:hAnsi="宋体" w:eastAsia="宋体" w:cs="宋体"/>
                <w:spacing w:val="-41"/>
                <w:sz w:val="21"/>
                <w:szCs w:val="21"/>
              </w:rPr>
              <w:t xml:space="preserve"> </w:t>
            </w:r>
            <w:r>
              <w:rPr>
                <w:rFonts w:ascii="Times New Roman" w:hAnsi="Times New Roman" w:eastAsia="Times New Roman" w:cs="Times New Roman"/>
                <w:sz w:val="21"/>
                <w:szCs w:val="21"/>
              </w:rPr>
              <w:t>15</w:t>
            </w:r>
            <w:r>
              <w:rPr>
                <w:rFonts w:ascii="Times New Roman" w:hAnsi="Times New Roman" w:eastAsia="Times New Roman" w:cs="Times New Roman"/>
                <w:spacing w:val="-21"/>
                <w:sz w:val="21"/>
                <w:szCs w:val="21"/>
              </w:rPr>
              <w:t xml:space="preserve"> </w:t>
            </w:r>
            <w:r>
              <w:rPr>
                <w:rFonts w:ascii="宋体" w:hAnsi="宋体" w:eastAsia="宋体" w:cs="宋体"/>
                <w:sz w:val="21"/>
                <w:szCs w:val="21"/>
              </w:rPr>
              <w:t>分钟，就医。③吸入：迅速脱离现场至空气新鲜处，</w:t>
            </w:r>
            <w:r>
              <w:rPr>
                <w:rFonts w:ascii="宋体" w:hAnsi="宋体" w:eastAsia="宋体" w:cs="宋体"/>
                <w:spacing w:val="28"/>
                <w:w w:val="99"/>
                <w:sz w:val="21"/>
                <w:szCs w:val="21"/>
              </w:rPr>
              <w:t xml:space="preserve"> </w:t>
            </w:r>
            <w:r>
              <w:rPr>
                <w:rFonts w:ascii="宋体" w:hAnsi="宋体" w:eastAsia="宋体" w:cs="宋体"/>
                <w:w w:val="95"/>
                <w:sz w:val="21"/>
                <w:szCs w:val="21"/>
              </w:rPr>
              <w:t>保持呼吸道通畅，呼吸困难时给输氧。呼吸停止时，立即进行人工呼</w:t>
            </w:r>
            <w:r>
              <w:rPr>
                <w:rFonts w:ascii="宋体" w:hAnsi="宋体" w:eastAsia="宋体" w:cs="宋体"/>
                <w:spacing w:val="26"/>
                <w:w w:val="99"/>
                <w:sz w:val="21"/>
                <w:szCs w:val="21"/>
              </w:rPr>
              <w:t xml:space="preserve"> </w:t>
            </w:r>
            <w:r>
              <w:rPr>
                <w:rFonts w:ascii="宋体" w:hAnsi="宋体" w:eastAsia="宋体" w:cs="宋体"/>
                <w:sz w:val="21"/>
                <w:szCs w:val="21"/>
              </w:rPr>
              <w:t>吸，就医。④食入：误服者漱口，饮牛奶或蛋清，就医。</w:t>
            </w:r>
          </w:p>
        </w:tc>
      </w:tr>
      <w:tr>
        <w:tblPrEx>
          <w:tblCellMar>
            <w:top w:w="0" w:type="dxa"/>
            <w:left w:w="0" w:type="dxa"/>
            <w:bottom w:w="0" w:type="dxa"/>
            <w:right w:w="0" w:type="dxa"/>
          </w:tblCellMar>
        </w:tblPrEx>
        <w:trPr>
          <w:trHeight w:val="332" w:hRule="exact"/>
        </w:trPr>
        <w:tc>
          <w:tcPr>
            <w:tcW w:w="468" w:type="dxa"/>
            <w:vMerge w:val="restart"/>
            <w:tcBorders>
              <w:top w:val="single" w:color="000000" w:sz="4" w:space="0"/>
              <w:left w:val="single" w:color="000000" w:sz="6" w:space="0"/>
              <w:right w:val="single" w:color="000000" w:sz="4" w:space="0"/>
            </w:tcBorders>
          </w:tcPr>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before="4" w:line="280" w:lineRule="exact"/>
              <w:ind w:right="0"/>
              <w:jc w:val="left"/>
              <w:rPr>
                <w:sz w:val="28"/>
                <w:szCs w:val="28"/>
              </w:rPr>
            </w:pPr>
          </w:p>
          <w:p>
            <w:pPr>
              <w:pStyle w:val="4069"/>
              <w:spacing w:line="275" w:lineRule="auto"/>
              <w:ind w:left="128" w:right="118"/>
              <w:jc w:val="both"/>
              <w:rPr>
                <w:rFonts w:ascii="宋体" w:hAnsi="宋体" w:eastAsia="宋体" w:cs="宋体"/>
                <w:sz w:val="21"/>
                <w:szCs w:val="21"/>
              </w:rPr>
            </w:pPr>
            <w:r>
              <w:rPr>
                <w:rFonts w:ascii="宋体" w:hAnsi="宋体" w:eastAsia="宋体" w:cs="宋体"/>
                <w:w w:val="95"/>
                <w:sz w:val="21"/>
                <w:szCs w:val="21"/>
              </w:rPr>
              <w:t>燃</w:t>
            </w:r>
            <w:r>
              <w:rPr>
                <w:rFonts w:ascii="宋体" w:hAnsi="宋体" w:eastAsia="宋体" w:cs="宋体"/>
                <w:w w:val="99"/>
                <w:sz w:val="21"/>
                <w:szCs w:val="21"/>
              </w:rPr>
              <w:t xml:space="preserve"> </w:t>
            </w:r>
            <w:r>
              <w:rPr>
                <w:rFonts w:ascii="宋体" w:hAnsi="宋体" w:eastAsia="宋体" w:cs="宋体"/>
                <w:w w:val="95"/>
                <w:sz w:val="21"/>
                <w:szCs w:val="21"/>
              </w:rPr>
              <w:t>烧</w:t>
            </w:r>
            <w:r>
              <w:rPr>
                <w:rFonts w:ascii="宋体" w:hAnsi="宋体" w:eastAsia="宋体" w:cs="宋体"/>
                <w:w w:val="99"/>
                <w:sz w:val="21"/>
                <w:szCs w:val="21"/>
              </w:rPr>
              <w:t xml:space="preserve"> </w:t>
            </w:r>
            <w:r>
              <w:rPr>
                <w:rFonts w:ascii="宋体" w:hAnsi="宋体" w:eastAsia="宋体" w:cs="宋体"/>
                <w:w w:val="95"/>
                <w:sz w:val="21"/>
                <w:szCs w:val="21"/>
              </w:rPr>
              <w:t>爆</w:t>
            </w:r>
            <w:r>
              <w:rPr>
                <w:rFonts w:ascii="宋体" w:hAnsi="宋体" w:eastAsia="宋体" w:cs="宋体"/>
                <w:w w:val="99"/>
                <w:sz w:val="21"/>
                <w:szCs w:val="21"/>
              </w:rPr>
              <w:t xml:space="preserve"> </w:t>
            </w:r>
            <w:r>
              <w:rPr>
                <w:rFonts w:ascii="宋体" w:hAnsi="宋体" w:eastAsia="宋体" w:cs="宋体"/>
                <w:w w:val="95"/>
                <w:sz w:val="21"/>
                <w:szCs w:val="21"/>
              </w:rPr>
              <w:t>炸</w:t>
            </w:r>
            <w:r>
              <w:rPr>
                <w:rFonts w:ascii="宋体" w:hAnsi="宋体" w:eastAsia="宋体" w:cs="宋体"/>
                <w:w w:val="99"/>
                <w:sz w:val="21"/>
                <w:szCs w:val="21"/>
              </w:rPr>
              <w:t xml:space="preserve"> </w:t>
            </w:r>
            <w:r>
              <w:rPr>
                <w:rFonts w:ascii="宋体" w:hAnsi="宋体" w:eastAsia="宋体" w:cs="宋体"/>
                <w:w w:val="95"/>
                <w:sz w:val="21"/>
                <w:szCs w:val="21"/>
              </w:rPr>
              <w:t>危</w:t>
            </w:r>
            <w:r>
              <w:rPr>
                <w:rFonts w:ascii="宋体" w:hAnsi="宋体" w:eastAsia="宋体" w:cs="宋体"/>
                <w:w w:val="99"/>
                <w:sz w:val="21"/>
                <w:szCs w:val="21"/>
              </w:rPr>
              <w:t xml:space="preserve"> </w:t>
            </w:r>
            <w:r>
              <w:rPr>
                <w:rFonts w:ascii="宋体" w:hAnsi="宋体" w:eastAsia="宋体" w:cs="宋体"/>
                <w:w w:val="95"/>
                <w:sz w:val="21"/>
                <w:szCs w:val="21"/>
              </w:rPr>
              <w:t>险</w:t>
            </w:r>
            <w:r>
              <w:rPr>
                <w:rFonts w:ascii="宋体" w:hAnsi="宋体" w:eastAsia="宋体" w:cs="宋体"/>
                <w:w w:val="99"/>
                <w:sz w:val="21"/>
                <w:szCs w:val="21"/>
              </w:rPr>
              <w:t xml:space="preserve"> </w:t>
            </w:r>
            <w:r>
              <w:rPr>
                <w:rFonts w:ascii="宋体" w:hAnsi="宋体" w:eastAsia="宋体" w:cs="宋体"/>
                <w:w w:val="95"/>
                <w:sz w:val="21"/>
                <w:szCs w:val="21"/>
              </w:rPr>
              <w:t>性</w:t>
            </w: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0" w:line="240" w:lineRule="auto"/>
              <w:ind w:left="551" w:right="0"/>
              <w:jc w:val="left"/>
              <w:rPr>
                <w:rFonts w:ascii="宋体" w:hAnsi="宋体" w:eastAsia="宋体" w:cs="宋体"/>
                <w:sz w:val="21"/>
                <w:szCs w:val="21"/>
              </w:rPr>
            </w:pPr>
            <w:r>
              <w:rPr>
                <w:rFonts w:ascii="宋体" w:hAnsi="宋体" w:eastAsia="宋体" w:cs="宋体"/>
                <w:sz w:val="21"/>
                <w:szCs w:val="21"/>
              </w:rPr>
              <w:t>燃烧性</w:t>
            </w:r>
          </w:p>
        </w:tc>
        <w:tc>
          <w:tcPr>
            <w:tcW w:w="1325" w:type="dxa"/>
            <w:tcBorders>
              <w:top w:val="single" w:color="000000" w:sz="4" w:space="0"/>
              <w:left w:val="single" w:color="000000" w:sz="4" w:space="0"/>
              <w:bottom w:val="single" w:color="000000" w:sz="4" w:space="0"/>
              <w:right w:val="single" w:color="000000" w:sz="4" w:space="0"/>
            </w:tcBorders>
          </w:tcPr>
          <w:p>
            <w:pPr>
              <w:pStyle w:val="4069"/>
              <w:spacing w:before="10" w:line="240" w:lineRule="auto"/>
              <w:ind w:left="16" w:right="0"/>
              <w:jc w:val="center"/>
              <w:rPr>
                <w:rFonts w:ascii="宋体" w:hAnsi="宋体" w:eastAsia="宋体" w:cs="宋体"/>
                <w:sz w:val="21"/>
                <w:szCs w:val="21"/>
              </w:rPr>
            </w:pPr>
            <w:r>
              <w:rPr>
                <w:rFonts w:ascii="宋体" w:hAnsi="宋体" w:eastAsia="宋体" w:cs="宋体"/>
                <w:spacing w:val="-1"/>
                <w:sz w:val="21"/>
                <w:szCs w:val="21"/>
              </w:rPr>
              <w:t>助燃</w:t>
            </w:r>
          </w:p>
        </w:tc>
        <w:tc>
          <w:tcPr>
            <w:tcW w:w="2259" w:type="dxa"/>
            <w:gridSpan w:val="2"/>
            <w:tcBorders>
              <w:top w:val="single" w:color="000000" w:sz="4" w:space="0"/>
              <w:left w:val="single" w:color="000000" w:sz="4" w:space="0"/>
              <w:bottom w:val="single" w:color="000000" w:sz="4" w:space="0"/>
              <w:right w:val="single" w:color="000000" w:sz="4" w:space="0"/>
            </w:tcBorders>
          </w:tcPr>
          <w:p>
            <w:pPr>
              <w:pStyle w:val="4069"/>
              <w:spacing w:before="10" w:line="240" w:lineRule="auto"/>
              <w:ind w:left="905" w:right="0"/>
              <w:jc w:val="left"/>
              <w:rPr>
                <w:rFonts w:ascii="宋体" w:hAnsi="宋体" w:eastAsia="宋体" w:cs="宋体"/>
                <w:sz w:val="21"/>
                <w:szCs w:val="21"/>
              </w:rPr>
            </w:pPr>
            <w:r>
              <w:rPr>
                <w:rFonts w:ascii="宋体" w:hAnsi="宋体" w:eastAsia="宋体" w:cs="宋体"/>
                <w:sz w:val="21"/>
                <w:szCs w:val="21"/>
              </w:rPr>
              <w:t>燃烧分解物</w:t>
            </w:r>
          </w:p>
        </w:tc>
        <w:tc>
          <w:tcPr>
            <w:tcW w:w="2765" w:type="dxa"/>
            <w:gridSpan w:val="3"/>
            <w:tcBorders>
              <w:top w:val="single" w:color="000000" w:sz="4" w:space="0"/>
              <w:left w:val="single" w:color="000000" w:sz="4" w:space="0"/>
              <w:bottom w:val="single" w:color="000000" w:sz="4" w:space="0"/>
              <w:right w:val="single" w:color="000000" w:sz="6" w:space="0"/>
            </w:tcBorders>
          </w:tcPr>
          <w:p>
            <w:pPr>
              <w:pStyle w:val="4069"/>
              <w:spacing w:before="10" w:line="240" w:lineRule="auto"/>
              <w:ind w:left="31" w:right="0"/>
              <w:jc w:val="center"/>
              <w:rPr>
                <w:rFonts w:ascii="宋体" w:hAnsi="宋体" w:eastAsia="宋体" w:cs="宋体"/>
                <w:sz w:val="21"/>
                <w:szCs w:val="21"/>
              </w:rPr>
            </w:pPr>
            <w:r>
              <w:rPr>
                <w:rFonts w:ascii="宋体" w:hAnsi="宋体" w:eastAsia="宋体" w:cs="宋体"/>
                <w:sz w:val="21"/>
                <w:szCs w:val="21"/>
              </w:rPr>
              <w:t>氯化氢</w:t>
            </w:r>
          </w:p>
        </w:tc>
      </w:tr>
      <w:tr>
        <w:tblPrEx>
          <w:tblCellMar>
            <w:top w:w="0" w:type="dxa"/>
            <w:left w:w="0" w:type="dxa"/>
            <w:bottom w:w="0" w:type="dxa"/>
            <w:right w:w="0" w:type="dxa"/>
          </w:tblCellMar>
        </w:tblPrEx>
        <w:trPr>
          <w:trHeight w:val="526"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12" w:line="240" w:lineRule="auto"/>
              <w:ind w:left="481" w:right="0"/>
              <w:jc w:val="left"/>
              <w:rPr>
                <w:rFonts w:ascii="Times New Roman" w:hAnsi="Times New Roman" w:eastAsia="Times New Roman" w:cs="Times New Roman"/>
                <w:sz w:val="21"/>
                <w:szCs w:val="21"/>
              </w:rPr>
            </w:pPr>
            <w:r>
              <w:rPr>
                <w:rFonts w:ascii="宋体" w:hAnsi="宋体" w:eastAsia="宋体" w:cs="宋体"/>
                <w:sz w:val="21"/>
                <w:szCs w:val="21"/>
              </w:rPr>
              <w:t>闪点</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p>
        </w:tc>
        <w:tc>
          <w:tcPr>
            <w:tcW w:w="1325" w:type="dxa"/>
            <w:tcBorders>
              <w:top w:val="single" w:color="000000" w:sz="4" w:space="0"/>
              <w:left w:val="single" w:color="000000" w:sz="4" w:space="0"/>
              <w:bottom w:val="single" w:color="000000" w:sz="4" w:space="0"/>
              <w:right w:val="single" w:color="000000" w:sz="4" w:space="0"/>
            </w:tcBorders>
          </w:tcPr>
          <w:p>
            <w:pPr>
              <w:pStyle w:val="4069"/>
              <w:spacing w:before="160" w:line="240" w:lineRule="auto"/>
              <w:ind w:left="629" w:right="600"/>
              <w:jc w:val="center"/>
              <w:rPr>
                <w:rFonts w:ascii="Times New Roman" w:hAnsi="Times New Roman" w:eastAsia="Times New Roman" w:cs="Times New Roman"/>
                <w:sz w:val="21"/>
                <w:szCs w:val="21"/>
              </w:rPr>
            </w:pPr>
            <w:r>
              <w:rPr>
                <w:rFonts w:ascii="Times New Roman"/>
                <w:w w:val="80"/>
                <w:sz w:val="21"/>
              </w:rPr>
              <w:t>/</w:t>
            </w:r>
          </w:p>
        </w:tc>
        <w:tc>
          <w:tcPr>
            <w:tcW w:w="2259" w:type="dxa"/>
            <w:gridSpan w:val="2"/>
            <w:tcBorders>
              <w:top w:val="single" w:color="000000" w:sz="4" w:space="0"/>
              <w:left w:val="single" w:color="000000" w:sz="4" w:space="0"/>
              <w:bottom w:val="single" w:color="000000" w:sz="4" w:space="0"/>
              <w:right w:val="single" w:color="000000" w:sz="4" w:space="0"/>
            </w:tcBorders>
          </w:tcPr>
          <w:p>
            <w:pPr>
              <w:pStyle w:val="4069"/>
              <w:spacing w:before="88" w:line="240" w:lineRule="auto"/>
              <w:ind w:left="276" w:right="0"/>
              <w:jc w:val="left"/>
              <w:rPr>
                <w:rFonts w:ascii="宋体" w:hAnsi="宋体" w:eastAsia="宋体" w:cs="宋体"/>
                <w:sz w:val="21"/>
                <w:szCs w:val="21"/>
              </w:rPr>
            </w:pPr>
            <w:r>
              <w:rPr>
                <w:rFonts w:ascii="宋体" w:hAnsi="宋体" w:eastAsia="宋体" w:cs="宋体"/>
                <w:sz w:val="21"/>
                <w:szCs w:val="21"/>
              </w:rPr>
              <w:t>爆炸上限（</w:t>
            </w:r>
            <w:r>
              <w:rPr>
                <w:rFonts w:ascii="Times New Roman" w:hAnsi="Times New Roman" w:eastAsia="Times New Roman" w:cs="Times New Roman"/>
                <w:sz w:val="21"/>
                <w:szCs w:val="21"/>
              </w:rPr>
              <w:t>g/m</w:t>
            </w:r>
            <w:r>
              <w:rPr>
                <w:rFonts w:ascii="Times New Roman" w:hAnsi="Times New Roman" w:eastAsia="Times New Roman" w:cs="Times New Roman"/>
                <w:position w:val="7"/>
                <w:sz w:val="21"/>
                <w:szCs w:val="21"/>
              </w:rPr>
              <w:t>3</w:t>
            </w:r>
            <w:r>
              <w:rPr>
                <w:rFonts w:ascii="宋体" w:hAnsi="宋体" w:eastAsia="宋体" w:cs="宋体"/>
                <w:sz w:val="21"/>
                <w:szCs w:val="21"/>
              </w:rPr>
              <w:t>）：</w:t>
            </w:r>
          </w:p>
        </w:tc>
        <w:tc>
          <w:tcPr>
            <w:tcW w:w="2765" w:type="dxa"/>
            <w:gridSpan w:val="3"/>
            <w:tcBorders>
              <w:top w:val="single" w:color="000000" w:sz="4" w:space="0"/>
              <w:left w:val="single" w:color="000000" w:sz="4" w:space="0"/>
              <w:bottom w:val="single" w:color="000000" w:sz="4" w:space="0"/>
              <w:right w:val="single" w:color="000000" w:sz="6" w:space="0"/>
            </w:tcBorders>
          </w:tcPr>
          <w:p>
            <w:pPr>
              <w:pStyle w:val="4069"/>
              <w:spacing w:before="160" w:line="240" w:lineRule="auto"/>
              <w:ind w:left="1348" w:right="1318"/>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526"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12" w:line="240" w:lineRule="auto"/>
              <w:ind w:left="270" w:right="0"/>
              <w:jc w:val="left"/>
              <w:rPr>
                <w:rFonts w:ascii="Times New Roman" w:hAnsi="Times New Roman" w:eastAsia="Times New Roman" w:cs="Times New Roman"/>
                <w:sz w:val="21"/>
                <w:szCs w:val="21"/>
              </w:rPr>
            </w:pPr>
            <w:r>
              <w:rPr>
                <w:rFonts w:ascii="宋体" w:hAnsi="宋体" w:eastAsia="宋体" w:cs="宋体"/>
                <w:sz w:val="21"/>
                <w:szCs w:val="21"/>
              </w:rPr>
              <w:t>自燃温度</w:t>
            </w:r>
            <w:r>
              <w:rPr>
                <w:rFonts w:ascii="Times New Roman" w:hAnsi="Times New Roman" w:eastAsia="Times New Roman" w:cs="Times New Roman"/>
                <w:sz w:val="21"/>
                <w:szCs w:val="21"/>
              </w:rPr>
              <w:t>(</w:t>
            </w:r>
            <w:r>
              <w:rPr>
                <w:rFonts w:ascii="宋体" w:hAnsi="宋体" w:eastAsia="宋体" w:cs="宋体"/>
                <w:sz w:val="21"/>
                <w:szCs w:val="21"/>
              </w:rPr>
              <w:t>℃</w:t>
            </w:r>
            <w:r>
              <w:rPr>
                <w:rFonts w:ascii="Times New Roman" w:hAnsi="Times New Roman" w:eastAsia="Times New Roman" w:cs="Times New Roman"/>
                <w:sz w:val="21"/>
                <w:szCs w:val="21"/>
              </w:rPr>
              <w:t>)</w:t>
            </w:r>
          </w:p>
        </w:tc>
        <w:tc>
          <w:tcPr>
            <w:tcW w:w="1325" w:type="dxa"/>
            <w:tcBorders>
              <w:top w:val="single" w:color="000000" w:sz="4" w:space="0"/>
              <w:left w:val="single" w:color="000000" w:sz="4" w:space="0"/>
              <w:bottom w:val="single" w:color="000000" w:sz="4" w:space="0"/>
              <w:right w:val="single" w:color="000000" w:sz="4" w:space="0"/>
            </w:tcBorders>
          </w:tcPr>
          <w:p>
            <w:pPr>
              <w:pStyle w:val="4069"/>
              <w:spacing w:before="160" w:line="240" w:lineRule="auto"/>
              <w:ind w:left="629" w:right="600"/>
              <w:jc w:val="center"/>
              <w:rPr>
                <w:rFonts w:ascii="Times New Roman" w:hAnsi="Times New Roman" w:eastAsia="Times New Roman" w:cs="Times New Roman"/>
                <w:sz w:val="21"/>
                <w:szCs w:val="21"/>
              </w:rPr>
            </w:pPr>
            <w:r>
              <w:rPr>
                <w:rFonts w:ascii="Times New Roman"/>
                <w:w w:val="80"/>
                <w:sz w:val="21"/>
              </w:rPr>
              <w:t>/</w:t>
            </w:r>
          </w:p>
        </w:tc>
        <w:tc>
          <w:tcPr>
            <w:tcW w:w="2259" w:type="dxa"/>
            <w:gridSpan w:val="2"/>
            <w:tcBorders>
              <w:top w:val="single" w:color="000000" w:sz="4" w:space="0"/>
              <w:left w:val="single" w:color="000000" w:sz="4" w:space="0"/>
              <w:bottom w:val="single" w:color="000000" w:sz="4" w:space="0"/>
              <w:right w:val="single" w:color="000000" w:sz="4" w:space="0"/>
            </w:tcBorders>
          </w:tcPr>
          <w:p>
            <w:pPr>
              <w:pStyle w:val="4069"/>
              <w:spacing w:before="88" w:line="240" w:lineRule="auto"/>
              <w:ind w:left="276" w:right="0"/>
              <w:jc w:val="left"/>
              <w:rPr>
                <w:rFonts w:ascii="宋体" w:hAnsi="宋体" w:eastAsia="宋体" w:cs="宋体"/>
                <w:sz w:val="21"/>
                <w:szCs w:val="21"/>
              </w:rPr>
            </w:pPr>
            <w:r>
              <w:rPr>
                <w:rFonts w:ascii="宋体" w:hAnsi="宋体" w:eastAsia="宋体" w:cs="宋体"/>
                <w:sz w:val="21"/>
                <w:szCs w:val="21"/>
              </w:rPr>
              <w:t>爆炸下限（</w:t>
            </w:r>
            <w:r>
              <w:rPr>
                <w:rFonts w:ascii="Times New Roman" w:hAnsi="Times New Roman" w:eastAsia="Times New Roman" w:cs="Times New Roman"/>
                <w:sz w:val="21"/>
                <w:szCs w:val="21"/>
              </w:rPr>
              <w:t>g/m</w:t>
            </w:r>
            <w:r>
              <w:rPr>
                <w:rFonts w:ascii="Times New Roman" w:hAnsi="Times New Roman" w:eastAsia="Times New Roman" w:cs="Times New Roman"/>
                <w:position w:val="7"/>
                <w:sz w:val="21"/>
                <w:szCs w:val="21"/>
              </w:rPr>
              <w:t>3</w:t>
            </w:r>
            <w:r>
              <w:rPr>
                <w:rFonts w:ascii="宋体" w:hAnsi="宋体" w:eastAsia="宋体" w:cs="宋体"/>
                <w:sz w:val="21"/>
                <w:szCs w:val="21"/>
              </w:rPr>
              <w:t>）：</w:t>
            </w:r>
          </w:p>
        </w:tc>
        <w:tc>
          <w:tcPr>
            <w:tcW w:w="2765" w:type="dxa"/>
            <w:gridSpan w:val="3"/>
            <w:tcBorders>
              <w:top w:val="single" w:color="000000" w:sz="4" w:space="0"/>
              <w:left w:val="single" w:color="000000" w:sz="4" w:space="0"/>
              <w:bottom w:val="single" w:color="000000" w:sz="4" w:space="0"/>
              <w:right w:val="single" w:color="000000" w:sz="6" w:space="0"/>
            </w:tcBorders>
          </w:tcPr>
          <w:p>
            <w:pPr>
              <w:pStyle w:val="4069"/>
              <w:spacing w:before="160" w:line="240" w:lineRule="auto"/>
              <w:ind w:left="1348" w:right="1318"/>
              <w:jc w:val="center"/>
              <w:rPr>
                <w:rFonts w:ascii="Times New Roman" w:hAnsi="Times New Roman" w:eastAsia="Times New Roman" w:cs="Times New Roman"/>
                <w:sz w:val="21"/>
                <w:szCs w:val="21"/>
              </w:rPr>
            </w:pPr>
            <w:r>
              <w:rPr>
                <w:rFonts w:ascii="Times New Roman"/>
                <w:w w:val="80"/>
                <w:sz w:val="21"/>
              </w:rPr>
              <w:t>/</w:t>
            </w:r>
          </w:p>
        </w:tc>
      </w:tr>
      <w:tr>
        <w:tblPrEx>
          <w:tblCellMar>
            <w:top w:w="0" w:type="dxa"/>
            <w:left w:w="0" w:type="dxa"/>
            <w:bottom w:w="0" w:type="dxa"/>
            <w:right w:w="0" w:type="dxa"/>
          </w:tblCellMar>
        </w:tblPrEx>
        <w:trPr>
          <w:trHeight w:val="536"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11" w:line="240" w:lineRule="auto"/>
              <w:ind w:left="445" w:right="0"/>
              <w:jc w:val="left"/>
              <w:rPr>
                <w:rFonts w:ascii="宋体" w:hAnsi="宋体" w:eastAsia="宋体" w:cs="宋体"/>
                <w:sz w:val="21"/>
                <w:szCs w:val="21"/>
              </w:rPr>
            </w:pPr>
            <w:r>
              <w:rPr>
                <w:rFonts w:ascii="宋体" w:hAnsi="宋体" w:eastAsia="宋体" w:cs="宋体"/>
                <w:sz w:val="21"/>
                <w:szCs w:val="21"/>
              </w:rPr>
              <w:t>危险特性</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before="21" w:line="248" w:lineRule="exact"/>
              <w:ind w:left="1085" w:right="110" w:hanging="948"/>
              <w:jc w:val="left"/>
              <w:rPr>
                <w:rFonts w:ascii="宋体" w:hAnsi="宋体" w:eastAsia="宋体" w:cs="宋体"/>
                <w:sz w:val="21"/>
                <w:szCs w:val="21"/>
              </w:rPr>
            </w:pPr>
            <w:r>
              <w:rPr>
                <w:rFonts w:ascii="宋体" w:hAnsi="宋体" w:eastAsia="宋体" w:cs="宋体"/>
                <w:sz w:val="21"/>
                <w:szCs w:val="21"/>
              </w:rPr>
              <w:t>具有强氧化性。能与许多化学物质发生爆炸性反应。受热、震动、</w:t>
            </w:r>
            <w:r>
              <w:rPr>
                <w:rFonts w:ascii="宋体" w:hAnsi="宋体" w:eastAsia="宋体" w:cs="宋体"/>
                <w:spacing w:val="28"/>
                <w:w w:val="99"/>
                <w:sz w:val="21"/>
                <w:szCs w:val="21"/>
              </w:rPr>
              <w:t xml:space="preserve"> </w:t>
            </w:r>
            <w:r>
              <w:rPr>
                <w:rFonts w:ascii="宋体" w:hAnsi="宋体" w:eastAsia="宋体" w:cs="宋体"/>
                <w:sz w:val="21"/>
                <w:szCs w:val="21"/>
              </w:rPr>
              <w:t>撞击、摩擦，相当敏感，极易分解发生爆炸。</w:t>
            </w:r>
          </w:p>
        </w:tc>
      </w:tr>
      <w:tr>
        <w:tblPrEx>
          <w:tblCellMar>
            <w:top w:w="0" w:type="dxa"/>
            <w:left w:w="0" w:type="dxa"/>
            <w:bottom w:w="0" w:type="dxa"/>
            <w:right w:w="0" w:type="dxa"/>
          </w:tblCellMar>
        </w:tblPrEx>
        <w:trPr>
          <w:trHeight w:val="497"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96" w:line="240" w:lineRule="auto"/>
              <w:ind w:left="231" w:right="0"/>
              <w:jc w:val="left"/>
              <w:rPr>
                <w:rFonts w:ascii="宋体" w:hAnsi="宋体" w:eastAsia="宋体" w:cs="宋体"/>
                <w:sz w:val="21"/>
                <w:szCs w:val="21"/>
              </w:rPr>
            </w:pPr>
            <w:r>
              <w:rPr>
                <w:rFonts w:ascii="宋体" w:hAnsi="宋体" w:eastAsia="宋体" w:cs="宋体"/>
                <w:sz w:val="21"/>
                <w:szCs w:val="21"/>
              </w:rPr>
              <w:t>建规火险分级</w:t>
            </w:r>
          </w:p>
        </w:tc>
        <w:tc>
          <w:tcPr>
            <w:tcW w:w="1325" w:type="dxa"/>
            <w:tcBorders>
              <w:top w:val="single" w:color="000000" w:sz="4" w:space="0"/>
              <w:left w:val="single" w:color="000000" w:sz="4" w:space="0"/>
              <w:bottom w:val="single" w:color="000000" w:sz="4" w:space="0"/>
              <w:right w:val="single" w:color="000000" w:sz="4" w:space="0"/>
            </w:tcBorders>
          </w:tcPr>
          <w:p/>
        </w:tc>
        <w:tc>
          <w:tcPr>
            <w:tcW w:w="1097" w:type="dxa"/>
            <w:tcBorders>
              <w:top w:val="single" w:color="000000" w:sz="4" w:space="0"/>
              <w:left w:val="single" w:color="000000" w:sz="4" w:space="0"/>
              <w:bottom w:val="single" w:color="000000" w:sz="4" w:space="0"/>
              <w:right w:val="single" w:color="000000" w:sz="4" w:space="0"/>
            </w:tcBorders>
          </w:tcPr>
          <w:p>
            <w:pPr>
              <w:pStyle w:val="4069"/>
              <w:spacing w:before="96" w:line="240" w:lineRule="auto"/>
              <w:ind w:left="348" w:right="0"/>
              <w:jc w:val="left"/>
              <w:rPr>
                <w:rFonts w:ascii="宋体" w:hAnsi="宋体" w:eastAsia="宋体" w:cs="宋体"/>
                <w:sz w:val="21"/>
                <w:szCs w:val="21"/>
              </w:rPr>
            </w:pPr>
            <w:r>
              <w:rPr>
                <w:rFonts w:ascii="宋体" w:hAnsi="宋体" w:eastAsia="宋体" w:cs="宋体"/>
                <w:sz w:val="21"/>
                <w:szCs w:val="21"/>
              </w:rPr>
              <w:t>稳定性</w:t>
            </w:r>
          </w:p>
        </w:tc>
        <w:tc>
          <w:tcPr>
            <w:tcW w:w="1162" w:type="dxa"/>
            <w:tcBorders>
              <w:top w:val="single" w:color="000000" w:sz="4" w:space="0"/>
              <w:left w:val="single" w:color="000000" w:sz="4" w:space="0"/>
              <w:bottom w:val="single" w:color="000000" w:sz="4" w:space="0"/>
              <w:right w:val="single" w:color="000000" w:sz="4" w:space="0"/>
            </w:tcBorders>
          </w:tcPr>
          <w:p/>
        </w:tc>
        <w:tc>
          <w:tcPr>
            <w:tcW w:w="1366" w:type="dxa"/>
            <w:gridSpan w:val="2"/>
            <w:tcBorders>
              <w:top w:val="single" w:color="000000" w:sz="4" w:space="0"/>
              <w:left w:val="single" w:color="000000" w:sz="4" w:space="0"/>
              <w:bottom w:val="single" w:color="000000" w:sz="4" w:space="0"/>
              <w:right w:val="single" w:color="000000" w:sz="4" w:space="0"/>
            </w:tcBorders>
          </w:tcPr>
          <w:p>
            <w:pPr>
              <w:pStyle w:val="4069"/>
              <w:spacing w:before="96" w:line="240" w:lineRule="auto"/>
              <w:ind w:left="393" w:right="0"/>
              <w:jc w:val="left"/>
              <w:rPr>
                <w:rFonts w:ascii="宋体" w:hAnsi="宋体" w:eastAsia="宋体" w:cs="宋体"/>
                <w:sz w:val="21"/>
                <w:szCs w:val="21"/>
              </w:rPr>
            </w:pPr>
            <w:r>
              <w:rPr>
                <w:rFonts w:ascii="宋体" w:hAnsi="宋体" w:eastAsia="宋体" w:cs="宋体"/>
                <w:sz w:val="21"/>
                <w:szCs w:val="21"/>
              </w:rPr>
              <w:t>聚合危害</w:t>
            </w:r>
          </w:p>
        </w:tc>
        <w:tc>
          <w:tcPr>
            <w:tcW w:w="1399" w:type="dxa"/>
            <w:tcBorders>
              <w:top w:val="single" w:color="000000" w:sz="4" w:space="0"/>
              <w:left w:val="single" w:color="000000" w:sz="4" w:space="0"/>
              <w:bottom w:val="single" w:color="000000" w:sz="4" w:space="0"/>
              <w:right w:val="single" w:color="000000" w:sz="6" w:space="0"/>
            </w:tcBorders>
          </w:tcPr>
          <w:p/>
        </w:tc>
      </w:tr>
      <w:tr>
        <w:tblPrEx>
          <w:tblCellMar>
            <w:top w:w="0" w:type="dxa"/>
            <w:left w:w="0" w:type="dxa"/>
            <w:bottom w:w="0" w:type="dxa"/>
            <w:right w:w="0" w:type="dxa"/>
          </w:tblCellMar>
        </w:tblPrEx>
        <w:trPr>
          <w:trHeight w:val="334" w:hRule="exact"/>
        </w:trPr>
        <w:tc>
          <w:tcPr>
            <w:tcW w:w="468" w:type="dxa"/>
            <w:vMerge w:val="continue"/>
            <w:tcBorders>
              <w:left w:val="single" w:color="000000" w:sz="6" w:space="0"/>
              <w:right w:val="single" w:color="000000" w:sz="4" w:space="0"/>
            </w:tcBorders>
          </w:tcPr>
          <w:p/>
        </w:tc>
        <w:tc>
          <w:tcPr>
            <w:tcW w:w="1714" w:type="dxa"/>
            <w:tcBorders>
              <w:top w:val="single" w:color="000000" w:sz="4" w:space="0"/>
              <w:left w:val="single" w:color="000000" w:sz="4" w:space="0"/>
              <w:bottom w:val="single" w:color="000000" w:sz="4" w:space="0"/>
              <w:right w:val="single" w:color="000000" w:sz="4" w:space="0"/>
            </w:tcBorders>
          </w:tcPr>
          <w:p>
            <w:pPr>
              <w:pStyle w:val="4069"/>
              <w:spacing w:before="14" w:line="240" w:lineRule="auto"/>
              <w:ind w:left="551" w:right="0"/>
              <w:jc w:val="left"/>
              <w:rPr>
                <w:rFonts w:ascii="宋体" w:hAnsi="宋体" w:eastAsia="宋体" w:cs="宋体"/>
                <w:sz w:val="21"/>
                <w:szCs w:val="21"/>
              </w:rPr>
            </w:pPr>
            <w:r>
              <w:rPr>
                <w:rFonts w:ascii="宋体" w:hAnsi="宋体" w:eastAsia="宋体" w:cs="宋体"/>
                <w:sz w:val="21"/>
                <w:szCs w:val="21"/>
              </w:rPr>
              <w:t>禁忌物</w:t>
            </w:r>
          </w:p>
        </w:tc>
        <w:tc>
          <w:tcPr>
            <w:tcW w:w="6349" w:type="dxa"/>
            <w:gridSpan w:val="6"/>
            <w:tcBorders>
              <w:top w:val="single" w:color="000000" w:sz="4" w:space="0"/>
              <w:left w:val="single" w:color="000000" w:sz="4" w:space="0"/>
              <w:bottom w:val="single" w:color="000000" w:sz="4" w:space="0"/>
              <w:right w:val="single" w:color="000000" w:sz="6" w:space="0"/>
            </w:tcBorders>
          </w:tcPr>
          <w:p>
            <w:pPr>
              <w:pStyle w:val="4069"/>
              <w:spacing w:before="14" w:line="240" w:lineRule="auto"/>
              <w:ind w:left="2077" w:right="0"/>
              <w:jc w:val="left"/>
              <w:rPr>
                <w:rFonts w:ascii="宋体" w:hAnsi="宋体" w:eastAsia="宋体" w:cs="宋体"/>
                <w:sz w:val="21"/>
                <w:szCs w:val="21"/>
              </w:rPr>
            </w:pPr>
            <w:r>
              <w:rPr>
                <w:rFonts w:ascii="宋体" w:hAnsi="宋体" w:eastAsia="宋体" w:cs="宋体"/>
                <w:sz w:val="21"/>
                <w:szCs w:val="21"/>
              </w:rPr>
              <w:t>还原剂、易燃或可燃物、活性金属粉末</w:t>
            </w:r>
          </w:p>
        </w:tc>
      </w:tr>
      <w:tr>
        <w:tblPrEx>
          <w:tblCellMar>
            <w:top w:w="0" w:type="dxa"/>
            <w:left w:w="0" w:type="dxa"/>
            <w:bottom w:w="0" w:type="dxa"/>
            <w:right w:w="0" w:type="dxa"/>
          </w:tblCellMar>
        </w:tblPrEx>
        <w:trPr>
          <w:trHeight w:val="365" w:hRule="exact"/>
        </w:trPr>
        <w:tc>
          <w:tcPr>
            <w:tcW w:w="468" w:type="dxa"/>
            <w:vMerge w:val="continue"/>
            <w:tcBorders>
              <w:left w:val="single" w:color="000000" w:sz="6" w:space="0"/>
              <w:bottom w:val="single" w:color="000000" w:sz="10" w:space="0"/>
              <w:right w:val="single" w:color="000000" w:sz="4" w:space="0"/>
            </w:tcBorders>
          </w:tcPr>
          <w:p/>
        </w:tc>
        <w:tc>
          <w:tcPr>
            <w:tcW w:w="1714" w:type="dxa"/>
            <w:tcBorders>
              <w:top w:val="single" w:color="000000" w:sz="4" w:space="0"/>
              <w:left w:val="single" w:color="000000" w:sz="4" w:space="0"/>
              <w:bottom w:val="single" w:color="000000" w:sz="10" w:space="0"/>
              <w:right w:val="single" w:color="000000" w:sz="4" w:space="0"/>
            </w:tcBorders>
          </w:tcPr>
          <w:p>
            <w:pPr>
              <w:pStyle w:val="4069"/>
              <w:spacing w:before="33" w:line="240" w:lineRule="auto"/>
              <w:ind w:left="445" w:right="0"/>
              <w:jc w:val="left"/>
              <w:rPr>
                <w:rFonts w:ascii="宋体" w:hAnsi="宋体" w:eastAsia="宋体" w:cs="宋体"/>
                <w:sz w:val="21"/>
                <w:szCs w:val="21"/>
              </w:rPr>
            </w:pPr>
            <w:r>
              <w:rPr>
                <w:rFonts w:ascii="宋体" w:hAnsi="宋体" w:eastAsia="宋体" w:cs="宋体"/>
                <w:sz w:val="21"/>
                <w:szCs w:val="21"/>
              </w:rPr>
              <w:t>灭火方法</w:t>
            </w:r>
          </w:p>
        </w:tc>
        <w:tc>
          <w:tcPr>
            <w:tcW w:w="6349" w:type="dxa"/>
            <w:gridSpan w:val="6"/>
            <w:tcBorders>
              <w:top w:val="single" w:color="000000" w:sz="4" w:space="0"/>
              <w:left w:val="single" w:color="000000" w:sz="4" w:space="0"/>
              <w:bottom w:val="single" w:color="000000" w:sz="10" w:space="0"/>
              <w:right w:val="single" w:color="000000" w:sz="6" w:space="0"/>
            </w:tcBorders>
          </w:tcPr>
          <w:p>
            <w:pPr>
              <w:pStyle w:val="4069"/>
              <w:spacing w:before="33" w:line="240" w:lineRule="auto"/>
              <w:ind w:left="344" w:right="0"/>
              <w:jc w:val="left"/>
              <w:rPr>
                <w:rFonts w:ascii="宋体" w:hAnsi="宋体" w:eastAsia="宋体" w:cs="宋体"/>
                <w:sz w:val="21"/>
                <w:szCs w:val="21"/>
              </w:rPr>
            </w:pPr>
            <w:r>
              <w:rPr>
                <w:rFonts w:ascii="宋体" w:hAnsi="宋体" w:eastAsia="宋体" w:cs="宋体"/>
                <w:sz w:val="21"/>
                <w:szCs w:val="21"/>
              </w:rPr>
              <w:t>切断气源。喷水冷却容器，可能的话将容器从火场移至空旷处。</w:t>
            </w:r>
          </w:p>
        </w:tc>
      </w:tr>
    </w:tbl>
    <w:p>
      <w:pPr>
        <w:pStyle w:val="1659"/>
      </w:pPr>
      <w:r>
        <w:t>（2）重大危险源辨别</w:t>
      </w:r>
    </w:p>
    <w:p>
      <w:pPr>
        <w:pStyle w:val="1659"/>
      </w:pPr>
      <w:r>
        <w:t>根据《危险化学品重大危险源辨识》（GB18218-2018）的规定，单元内存在危险化学品的数量等于或超过临界量，即被定为重大危险源。单元内存在的危险化学品的 数量根据处理危险化学品种类的多少区分为以下两种情况：</w:t>
      </w:r>
    </w:p>
    <w:p>
      <w:pPr>
        <w:pStyle w:val="1659"/>
      </w:pPr>
      <w:r>
        <w:t>①单元内存在的危险化学品为单一品种，则该危险化学品的数量即为单元内危险 化学品的总量，若等于或超过相应的临界量，则定为重大危险源。</w:t>
      </w:r>
    </w:p>
    <w:p>
      <w:pPr>
        <w:pStyle w:val="1659"/>
      </w:pPr>
      <w:r>
        <w:t>②单元内存在的危险化学品为多品种时，则按下式定为重大危险源：</w:t>
      </w:r>
    </w:p>
    <w:p>
      <w:pPr>
        <w:pStyle w:val="1659"/>
        <w:jc w:val="center"/>
      </w:pPr>
      <w:r>
        <w:t>q1/Q1+q2/Q2+…+qn/Qn≧1</w:t>
      </w:r>
    </w:p>
    <w:p>
      <w:pPr>
        <w:pStyle w:val="1659"/>
      </w:pPr>
      <w:r>
        <w:t>式中：q1，q2，…，qn——每种危险化学品实际存在量，t；</w:t>
      </w:r>
    </w:p>
    <w:p>
      <w:pPr>
        <w:pStyle w:val="1659"/>
      </w:pPr>
      <w:r>
        <w:t>Q</w:t>
      </w:r>
      <w:r>
        <w:rPr>
          <w:rFonts w:ascii="Times New Roman" w:hAnsi="Times New Roman" w:eastAsia="宋体" w:cs="Times New Roman"/>
        </w:rPr>
        <w:t>1，Q２，</w:t>
      </w:r>
      <w:r>
        <w:t>…，Qn——与各危险化学品相对应的临界量，t。 重大危险源辨识及分布结果汇总见表 7.4-5。</w:t>
      </w:r>
    </w:p>
    <w:p>
      <w:pPr>
        <w:pStyle w:val="1659"/>
        <w:ind w:firstLine="0" w:firstLineChars="0"/>
        <w:jc w:val="center"/>
        <w:rPr>
          <w:rFonts w:ascii="Times New Roman" w:hAnsi="Times New Roman" w:eastAsia="宋体" w:cs="Times New Roman"/>
          <w:b/>
        </w:rPr>
      </w:pPr>
      <w:r>
        <w:rPr>
          <w:rFonts w:ascii="Times New Roman" w:hAnsi="Times New Roman" w:eastAsia="宋体" w:cs="Times New Roman"/>
          <w:b/>
        </w:rPr>
        <w:t>表 7.4-</w:t>
      </w:r>
      <w:r>
        <w:rPr>
          <w:rFonts w:hint="eastAsia" w:ascii="Times New Roman" w:hAnsi="Times New Roman" w:eastAsia="宋体" w:cs="Times New Roman"/>
          <w:b/>
          <w:lang w:val="en-US" w:eastAsia="zh-CN"/>
        </w:rPr>
        <w:t>5</w:t>
      </w:r>
      <w:r>
        <w:rPr>
          <w:rFonts w:ascii="Times New Roman" w:hAnsi="Times New Roman" w:eastAsia="宋体" w:cs="Times New Roman"/>
          <w:b/>
        </w:rPr>
        <w:tab/>
      </w:r>
      <w:r>
        <w:rPr>
          <w:rFonts w:hint="eastAsia" w:ascii="Times New Roman" w:hAnsi="Times New Roman" w:eastAsia="宋体" w:cs="Times New Roman"/>
          <w:b/>
          <w:lang w:eastAsia="zh-CN"/>
        </w:rPr>
        <w:t>重大危险源分析</w:t>
      </w:r>
    </w:p>
    <w:tbl>
      <w:tblPr>
        <w:tblStyle w:val="88"/>
        <w:tblpPr w:leftFromText="180" w:rightFromText="180" w:vertAnchor="text" w:horzAnchor="page" w:tblpX="1913" w:tblpY="491"/>
        <w:tblOverlap w:val="never"/>
        <w:tblW w:w="0" w:type="auto"/>
        <w:tblInd w:w="0" w:type="dxa"/>
        <w:tblLayout w:type="fixed"/>
        <w:tblCellMar>
          <w:top w:w="0" w:type="dxa"/>
          <w:left w:w="0" w:type="dxa"/>
          <w:bottom w:w="0" w:type="dxa"/>
          <w:right w:w="0" w:type="dxa"/>
        </w:tblCellMar>
      </w:tblPr>
      <w:tblGrid>
        <w:gridCol w:w="1289"/>
        <w:gridCol w:w="1948"/>
        <w:gridCol w:w="974"/>
        <w:gridCol w:w="957"/>
        <w:gridCol w:w="932"/>
        <w:gridCol w:w="1948"/>
      </w:tblGrid>
      <w:tr>
        <w:tblPrEx>
          <w:tblCellMar>
            <w:top w:w="0" w:type="dxa"/>
            <w:left w:w="0" w:type="dxa"/>
            <w:bottom w:w="0" w:type="dxa"/>
            <w:right w:w="0" w:type="dxa"/>
          </w:tblCellMar>
        </w:tblPrEx>
        <w:trPr>
          <w:trHeight w:val="622" w:hRule="exact"/>
        </w:trPr>
        <w:tc>
          <w:tcPr>
            <w:tcW w:w="1289" w:type="dxa"/>
            <w:tcBorders>
              <w:top w:val="single" w:color="000000" w:sz="10" w:space="0"/>
              <w:left w:val="single" w:color="000000" w:sz="6" w:space="0"/>
              <w:bottom w:val="single" w:color="000000" w:sz="4" w:space="0"/>
              <w:right w:val="single" w:color="000000" w:sz="4" w:space="0"/>
            </w:tcBorders>
          </w:tcPr>
          <w:p>
            <w:pPr>
              <w:pStyle w:val="4069"/>
              <w:spacing w:before="3" w:line="265" w:lineRule="auto"/>
              <w:ind w:left="485" w:right="57" w:hanging="317"/>
              <w:jc w:val="left"/>
              <w:rPr>
                <w:rFonts w:ascii="宋体" w:hAnsi="宋体" w:eastAsia="宋体" w:cs="宋体"/>
                <w:sz w:val="21"/>
                <w:szCs w:val="21"/>
              </w:rPr>
            </w:pPr>
            <w:r>
              <w:rPr>
                <w:rFonts w:ascii="宋体" w:hAnsi="宋体" w:eastAsia="宋体" w:cs="宋体"/>
                <w:b/>
                <w:bCs/>
                <w:spacing w:val="1"/>
                <w:w w:val="95"/>
                <w:sz w:val="21"/>
                <w:szCs w:val="21"/>
              </w:rPr>
              <w:t>危险源</w:t>
            </w:r>
            <w:r>
              <w:rPr>
                <w:rFonts w:ascii="宋体" w:hAnsi="宋体" w:eastAsia="宋体" w:cs="宋体"/>
                <w:b/>
                <w:bCs/>
                <w:spacing w:val="-1"/>
                <w:w w:val="95"/>
                <w:sz w:val="21"/>
                <w:szCs w:val="21"/>
              </w:rPr>
              <w:t>分</w:t>
            </w:r>
            <w:r>
              <w:rPr>
                <w:rFonts w:ascii="宋体" w:hAnsi="宋体" w:eastAsia="宋体" w:cs="宋体"/>
                <w:b/>
                <w:bCs/>
                <w:w w:val="95"/>
                <w:sz w:val="21"/>
                <w:szCs w:val="21"/>
              </w:rPr>
              <w:t>布</w:t>
            </w:r>
            <w:r>
              <w:rPr>
                <w:rFonts w:ascii="宋体" w:hAnsi="宋体" w:eastAsia="宋体" w:cs="宋体"/>
                <w:b/>
                <w:bCs/>
                <w:w w:val="99"/>
                <w:sz w:val="21"/>
                <w:szCs w:val="21"/>
              </w:rPr>
              <w:t xml:space="preserve"> </w:t>
            </w:r>
            <w:r>
              <w:rPr>
                <w:rFonts w:ascii="宋体" w:hAnsi="宋体" w:eastAsia="宋体" w:cs="宋体"/>
                <w:b/>
                <w:bCs/>
                <w:spacing w:val="2"/>
                <w:sz w:val="21"/>
                <w:szCs w:val="21"/>
              </w:rPr>
              <w:t>地</w:t>
            </w:r>
            <w:r>
              <w:rPr>
                <w:rFonts w:ascii="宋体" w:hAnsi="宋体" w:eastAsia="宋体" w:cs="宋体"/>
                <w:b/>
                <w:bCs/>
                <w:sz w:val="21"/>
                <w:szCs w:val="21"/>
              </w:rPr>
              <w:t>点</w:t>
            </w:r>
          </w:p>
        </w:tc>
        <w:tc>
          <w:tcPr>
            <w:tcW w:w="1948" w:type="dxa"/>
            <w:tcBorders>
              <w:top w:val="single" w:color="000000" w:sz="10" w:space="0"/>
              <w:left w:val="single" w:color="000000" w:sz="4" w:space="0"/>
              <w:bottom w:val="single" w:color="000000" w:sz="4" w:space="0"/>
              <w:right w:val="single" w:color="000000" w:sz="4" w:space="0"/>
            </w:tcBorders>
          </w:tcPr>
          <w:p>
            <w:pPr>
              <w:pStyle w:val="4069"/>
              <w:spacing w:before="152" w:line="240" w:lineRule="auto"/>
              <w:ind w:left="562" w:right="0"/>
              <w:jc w:val="left"/>
              <w:rPr>
                <w:rFonts w:ascii="宋体" w:hAnsi="宋体" w:eastAsia="宋体" w:cs="宋体"/>
                <w:sz w:val="21"/>
                <w:szCs w:val="21"/>
              </w:rPr>
            </w:pPr>
            <w:r>
              <w:rPr>
                <w:rFonts w:ascii="宋体" w:hAnsi="宋体" w:eastAsia="宋体" w:cs="宋体"/>
                <w:b/>
                <w:bCs/>
                <w:spacing w:val="1"/>
                <w:sz w:val="21"/>
                <w:szCs w:val="21"/>
              </w:rPr>
              <w:t>风险物质</w:t>
            </w:r>
          </w:p>
        </w:tc>
        <w:tc>
          <w:tcPr>
            <w:tcW w:w="974" w:type="dxa"/>
            <w:tcBorders>
              <w:top w:val="single" w:color="000000" w:sz="10" w:space="0"/>
              <w:left w:val="single" w:color="000000" w:sz="4" w:space="0"/>
              <w:bottom w:val="single" w:color="000000" w:sz="4" w:space="0"/>
              <w:right w:val="single" w:color="000000" w:sz="4" w:space="0"/>
            </w:tcBorders>
          </w:tcPr>
          <w:p>
            <w:pPr>
              <w:pStyle w:val="4069"/>
              <w:spacing w:before="152" w:line="240" w:lineRule="auto"/>
              <w:ind w:left="92" w:right="0"/>
              <w:jc w:val="left"/>
              <w:rPr>
                <w:rFonts w:ascii="Times New Roman" w:hAnsi="Times New Roman" w:eastAsia="Times New Roman" w:cs="Times New Roman"/>
                <w:sz w:val="21"/>
                <w:szCs w:val="21"/>
              </w:rPr>
            </w:pPr>
            <w:r>
              <w:rPr>
                <w:rFonts w:ascii="宋体" w:hAnsi="宋体" w:eastAsia="宋体" w:cs="宋体"/>
                <w:b/>
                <w:bCs/>
                <w:spacing w:val="1"/>
                <w:sz w:val="21"/>
                <w:szCs w:val="21"/>
              </w:rPr>
              <w:t>临界量</w:t>
            </w:r>
            <w:r>
              <w:rPr>
                <w:rFonts w:ascii="宋体" w:hAnsi="宋体" w:eastAsia="宋体" w:cs="宋体"/>
                <w:b/>
                <w:bCs/>
                <w:spacing w:val="-9"/>
                <w:sz w:val="21"/>
                <w:szCs w:val="21"/>
              </w:rPr>
              <w:t xml:space="preserve"> </w:t>
            </w:r>
            <w:r>
              <w:rPr>
                <w:rFonts w:ascii="Times New Roman" w:hAnsi="Times New Roman" w:eastAsia="Times New Roman" w:cs="Times New Roman"/>
                <w:b/>
                <w:bCs/>
                <w:sz w:val="21"/>
                <w:szCs w:val="21"/>
              </w:rPr>
              <w:t>t</w:t>
            </w:r>
          </w:p>
        </w:tc>
        <w:tc>
          <w:tcPr>
            <w:tcW w:w="957" w:type="dxa"/>
            <w:tcBorders>
              <w:top w:val="single" w:color="000000" w:sz="10" w:space="0"/>
              <w:left w:val="single" w:color="000000" w:sz="4" w:space="0"/>
              <w:bottom w:val="single" w:color="000000" w:sz="4" w:space="0"/>
              <w:right w:val="single" w:color="000000" w:sz="4" w:space="0"/>
            </w:tcBorders>
          </w:tcPr>
          <w:p>
            <w:pPr>
              <w:pStyle w:val="4069"/>
              <w:spacing w:before="152" w:line="240" w:lineRule="auto"/>
              <w:ind w:left="83" w:right="0"/>
              <w:jc w:val="left"/>
              <w:rPr>
                <w:rFonts w:ascii="Times New Roman" w:hAnsi="Times New Roman" w:eastAsia="Times New Roman" w:cs="Times New Roman"/>
                <w:sz w:val="21"/>
                <w:szCs w:val="21"/>
              </w:rPr>
            </w:pPr>
            <w:r>
              <w:rPr>
                <w:rFonts w:ascii="宋体" w:hAnsi="宋体" w:eastAsia="宋体" w:cs="宋体"/>
                <w:b/>
                <w:bCs/>
                <w:spacing w:val="1"/>
                <w:sz w:val="21"/>
                <w:szCs w:val="21"/>
              </w:rPr>
              <w:t>贮存量</w:t>
            </w:r>
            <w:r>
              <w:rPr>
                <w:rFonts w:ascii="宋体" w:hAnsi="宋体" w:eastAsia="宋体" w:cs="宋体"/>
                <w:b/>
                <w:bCs/>
                <w:spacing w:val="-9"/>
                <w:sz w:val="21"/>
                <w:szCs w:val="21"/>
              </w:rPr>
              <w:t xml:space="preserve"> </w:t>
            </w:r>
            <w:r>
              <w:rPr>
                <w:rFonts w:ascii="Times New Roman" w:hAnsi="Times New Roman" w:eastAsia="Times New Roman" w:cs="Times New Roman"/>
                <w:b/>
                <w:bCs/>
                <w:sz w:val="21"/>
                <w:szCs w:val="21"/>
              </w:rPr>
              <w:t>t</w:t>
            </w:r>
          </w:p>
        </w:tc>
        <w:tc>
          <w:tcPr>
            <w:tcW w:w="932" w:type="dxa"/>
            <w:tcBorders>
              <w:top w:val="single" w:color="000000" w:sz="10" w:space="0"/>
              <w:left w:val="single" w:color="000000" w:sz="4" w:space="0"/>
              <w:bottom w:val="single" w:color="000000" w:sz="4" w:space="0"/>
              <w:right w:val="single" w:color="000000" w:sz="4" w:space="0"/>
            </w:tcBorders>
          </w:tcPr>
          <w:p>
            <w:pPr>
              <w:pStyle w:val="4069"/>
              <w:spacing w:before="193" w:line="240" w:lineRule="auto"/>
              <w:ind w:left="234" w:right="0"/>
              <w:jc w:val="left"/>
              <w:rPr>
                <w:rFonts w:ascii="Times New Roman" w:hAnsi="Times New Roman" w:eastAsia="Times New Roman" w:cs="Times New Roman"/>
                <w:sz w:val="21"/>
                <w:szCs w:val="21"/>
              </w:rPr>
            </w:pPr>
            <w:r>
              <w:rPr>
                <w:rFonts w:ascii="Times New Roman"/>
                <w:b/>
                <w:sz w:val="21"/>
              </w:rPr>
              <w:t>q</w:t>
            </w:r>
            <w:r>
              <w:rPr>
                <w:rFonts w:ascii="Times New Roman"/>
                <w:b/>
                <w:position w:val="-1"/>
                <w:sz w:val="21"/>
              </w:rPr>
              <w:t>i</w:t>
            </w:r>
            <w:r>
              <w:rPr>
                <w:rFonts w:ascii="Times New Roman"/>
                <w:b/>
                <w:sz w:val="21"/>
              </w:rPr>
              <w:t>/Q</w:t>
            </w:r>
            <w:r>
              <w:rPr>
                <w:rFonts w:ascii="Times New Roman"/>
                <w:b/>
                <w:position w:val="-1"/>
                <w:sz w:val="21"/>
              </w:rPr>
              <w:t>i</w:t>
            </w:r>
          </w:p>
        </w:tc>
        <w:tc>
          <w:tcPr>
            <w:tcW w:w="1948" w:type="dxa"/>
            <w:tcBorders>
              <w:top w:val="single" w:color="000000" w:sz="10" w:space="0"/>
              <w:left w:val="single" w:color="000000" w:sz="4" w:space="0"/>
              <w:bottom w:val="single" w:color="000000" w:sz="4" w:space="0"/>
              <w:right w:val="single" w:color="000000" w:sz="6" w:space="0"/>
            </w:tcBorders>
          </w:tcPr>
          <w:p>
            <w:pPr>
              <w:pStyle w:val="4069"/>
              <w:spacing w:before="152" w:line="240" w:lineRule="auto"/>
              <w:ind w:left="543" w:right="0"/>
              <w:jc w:val="left"/>
              <w:rPr>
                <w:rFonts w:ascii="宋体" w:hAnsi="宋体" w:eastAsia="宋体" w:cs="宋体"/>
                <w:sz w:val="21"/>
                <w:szCs w:val="21"/>
              </w:rPr>
            </w:pPr>
            <w:r>
              <w:rPr>
                <w:rFonts w:ascii="宋体" w:hAnsi="宋体" w:eastAsia="宋体" w:cs="宋体"/>
                <w:b/>
                <w:bCs/>
                <w:spacing w:val="1"/>
                <w:sz w:val="21"/>
                <w:szCs w:val="21"/>
              </w:rPr>
              <w:t>辨识结果</w:t>
            </w:r>
          </w:p>
        </w:tc>
      </w:tr>
      <w:tr>
        <w:tblPrEx>
          <w:tblCellMar>
            <w:top w:w="0" w:type="dxa"/>
            <w:left w:w="0" w:type="dxa"/>
            <w:bottom w:w="0" w:type="dxa"/>
            <w:right w:w="0" w:type="dxa"/>
          </w:tblCellMar>
        </w:tblPrEx>
        <w:trPr>
          <w:trHeight w:val="356" w:hRule="exact"/>
        </w:trPr>
        <w:tc>
          <w:tcPr>
            <w:tcW w:w="1289" w:type="dxa"/>
            <w:vMerge w:val="restart"/>
            <w:tcBorders>
              <w:top w:val="single" w:color="000000" w:sz="4" w:space="0"/>
              <w:left w:val="single" w:color="000000" w:sz="6" w:space="0"/>
              <w:right w:val="single" w:color="000000" w:sz="4" w:space="0"/>
            </w:tcBorders>
          </w:tcPr>
          <w:p>
            <w:pPr>
              <w:pStyle w:val="4069"/>
              <w:spacing w:before="3" w:line="100" w:lineRule="exact"/>
              <w:ind w:right="0"/>
              <w:jc w:val="left"/>
              <w:rPr>
                <w:sz w:val="10"/>
                <w:szCs w:val="10"/>
              </w:rPr>
            </w:pPr>
          </w:p>
          <w:p>
            <w:pPr>
              <w:pStyle w:val="4069"/>
              <w:spacing w:line="200" w:lineRule="exact"/>
              <w:ind w:right="0"/>
              <w:jc w:val="left"/>
              <w:rPr>
                <w:sz w:val="20"/>
                <w:szCs w:val="20"/>
              </w:rPr>
            </w:pPr>
          </w:p>
          <w:p>
            <w:pPr>
              <w:pStyle w:val="4069"/>
              <w:spacing w:line="240" w:lineRule="auto"/>
              <w:ind w:left="115" w:right="0"/>
              <w:jc w:val="left"/>
              <w:rPr>
                <w:rFonts w:ascii="宋体" w:hAnsi="宋体" w:eastAsia="宋体" w:cs="宋体"/>
                <w:sz w:val="21"/>
                <w:szCs w:val="21"/>
              </w:rPr>
            </w:pPr>
            <w:r>
              <w:rPr>
                <w:rFonts w:ascii="宋体" w:hAnsi="宋体" w:eastAsia="宋体" w:cs="宋体"/>
                <w:sz w:val="21"/>
                <w:szCs w:val="21"/>
              </w:rPr>
              <w:t>污水处理站</w:t>
            </w:r>
          </w:p>
        </w:tc>
        <w:tc>
          <w:tcPr>
            <w:tcW w:w="1948" w:type="dxa"/>
            <w:tcBorders>
              <w:top w:val="single" w:color="000000" w:sz="4" w:space="0"/>
              <w:left w:val="single" w:color="000000" w:sz="4" w:space="0"/>
              <w:bottom w:val="single" w:color="000000" w:sz="4" w:space="0"/>
              <w:right w:val="single" w:color="000000" w:sz="4" w:space="0"/>
            </w:tcBorders>
          </w:tcPr>
          <w:p>
            <w:pPr>
              <w:pStyle w:val="4069"/>
              <w:spacing w:before="12" w:line="240" w:lineRule="auto"/>
              <w:ind w:left="665" w:right="0"/>
              <w:jc w:val="left"/>
              <w:rPr>
                <w:rFonts w:ascii="宋体" w:hAnsi="宋体" w:eastAsia="宋体" w:cs="宋体"/>
                <w:sz w:val="21"/>
                <w:szCs w:val="21"/>
              </w:rPr>
            </w:pPr>
            <w:r>
              <w:rPr>
                <w:rFonts w:ascii="宋体" w:hAnsi="宋体" w:eastAsia="宋体" w:cs="宋体"/>
                <w:sz w:val="21"/>
                <w:szCs w:val="21"/>
              </w:rPr>
              <w:t>氯酸钠</w:t>
            </w:r>
          </w:p>
        </w:tc>
        <w:tc>
          <w:tcPr>
            <w:tcW w:w="974" w:type="dxa"/>
            <w:tcBorders>
              <w:top w:val="single" w:color="000000" w:sz="4" w:space="0"/>
              <w:left w:val="single" w:color="000000" w:sz="4" w:space="0"/>
              <w:bottom w:val="single" w:color="000000" w:sz="4" w:space="0"/>
              <w:right w:val="single" w:color="000000" w:sz="4" w:space="0"/>
            </w:tcBorders>
          </w:tcPr>
          <w:p>
            <w:pPr>
              <w:pStyle w:val="4069"/>
              <w:spacing w:before="65" w:line="240" w:lineRule="auto"/>
              <w:ind w:right="30"/>
              <w:jc w:val="center"/>
              <w:rPr>
                <w:rFonts w:ascii="Times New Roman" w:hAnsi="Times New Roman" w:eastAsia="Times New Roman" w:cs="Times New Roman"/>
                <w:sz w:val="21"/>
                <w:szCs w:val="21"/>
              </w:rPr>
            </w:pPr>
            <w:r>
              <w:rPr>
                <w:rFonts w:ascii="Times New Roman"/>
                <w:w w:val="85"/>
                <w:sz w:val="21"/>
              </w:rPr>
              <w:t>100</w:t>
            </w:r>
          </w:p>
        </w:tc>
        <w:tc>
          <w:tcPr>
            <w:tcW w:w="957" w:type="dxa"/>
            <w:tcBorders>
              <w:top w:val="single" w:color="000000" w:sz="4" w:space="0"/>
              <w:left w:val="single" w:color="000000" w:sz="4" w:space="0"/>
              <w:bottom w:val="single" w:color="000000" w:sz="4" w:space="0"/>
              <w:right w:val="single" w:color="000000" w:sz="4" w:space="0"/>
            </w:tcBorders>
          </w:tcPr>
          <w:p>
            <w:pPr>
              <w:pStyle w:val="4069"/>
              <w:spacing w:before="65" w:line="240" w:lineRule="auto"/>
              <w:ind w:left="294" w:right="0"/>
              <w:jc w:val="left"/>
              <w:rPr>
                <w:rFonts w:ascii="Times New Roman" w:hAnsi="Times New Roman" w:eastAsia="Times New Roman" w:cs="Times New Roman"/>
                <w:sz w:val="21"/>
                <w:szCs w:val="21"/>
              </w:rPr>
            </w:pPr>
            <w:r>
              <w:rPr>
                <w:rFonts w:ascii="Times New Roman"/>
                <w:w w:val="85"/>
                <w:sz w:val="21"/>
              </w:rPr>
              <w:t>0</w:t>
            </w:r>
            <w:r>
              <w:rPr>
                <w:rFonts w:ascii="Times New Roman"/>
                <w:spacing w:val="1"/>
                <w:w w:val="85"/>
                <w:sz w:val="21"/>
              </w:rPr>
              <w:t>.</w:t>
            </w:r>
            <w:r>
              <w:rPr>
                <w:rFonts w:ascii="Times New Roman"/>
                <w:w w:val="85"/>
                <w:sz w:val="21"/>
              </w:rPr>
              <w:t>27</w:t>
            </w:r>
          </w:p>
        </w:tc>
        <w:tc>
          <w:tcPr>
            <w:tcW w:w="932" w:type="dxa"/>
            <w:tcBorders>
              <w:top w:val="single" w:color="000000" w:sz="4" w:space="0"/>
              <w:left w:val="single" w:color="000000" w:sz="4" w:space="0"/>
              <w:bottom w:val="single" w:color="000000" w:sz="4" w:space="0"/>
              <w:right w:val="single" w:color="000000" w:sz="4" w:space="0"/>
            </w:tcBorders>
          </w:tcPr>
          <w:p>
            <w:pPr>
              <w:pStyle w:val="4069"/>
              <w:spacing w:before="65" w:line="240" w:lineRule="auto"/>
              <w:ind w:left="201" w:right="0"/>
              <w:jc w:val="left"/>
              <w:rPr>
                <w:rFonts w:ascii="Times New Roman" w:hAnsi="Times New Roman" w:eastAsia="Times New Roman" w:cs="Times New Roman"/>
                <w:sz w:val="21"/>
                <w:szCs w:val="21"/>
              </w:rPr>
            </w:pPr>
            <w:r>
              <w:rPr>
                <w:rFonts w:ascii="Times New Roman"/>
                <w:w w:val="85"/>
                <w:sz w:val="21"/>
              </w:rPr>
              <w:t>0.0027</w:t>
            </w:r>
          </w:p>
        </w:tc>
        <w:tc>
          <w:tcPr>
            <w:tcW w:w="1948" w:type="dxa"/>
            <w:vMerge w:val="restart"/>
            <w:tcBorders>
              <w:top w:val="single" w:color="000000" w:sz="4" w:space="0"/>
              <w:left w:val="single" w:color="000000" w:sz="4" w:space="0"/>
              <w:right w:val="single" w:color="000000" w:sz="6" w:space="0"/>
            </w:tcBorders>
          </w:tcPr>
          <w:p>
            <w:pPr>
              <w:pStyle w:val="4069"/>
              <w:spacing w:before="118" w:line="240" w:lineRule="auto"/>
              <w:ind w:left="36" w:right="0"/>
              <w:jc w:val="center"/>
              <w:rPr>
                <w:rFonts w:ascii="宋体" w:hAnsi="宋体" w:eastAsia="宋体" w:cs="宋体"/>
                <w:sz w:val="21"/>
                <w:szCs w:val="21"/>
              </w:rPr>
            </w:pPr>
            <w:r>
              <w:rPr>
                <w:rFonts w:ascii="Times New Roman" w:hAnsi="Times New Roman" w:eastAsia="Times New Roman" w:cs="Times New Roman"/>
                <w:spacing w:val="1"/>
                <w:w w:val="95"/>
                <w:sz w:val="21"/>
                <w:szCs w:val="21"/>
              </w:rPr>
              <w:t>∑</w:t>
            </w:r>
            <w:r>
              <w:rPr>
                <w:rFonts w:ascii="Times New Roman" w:hAnsi="Times New Roman" w:eastAsia="Times New Roman" w:cs="Times New Roman"/>
                <w:spacing w:val="-1"/>
                <w:w w:val="95"/>
                <w:sz w:val="21"/>
                <w:szCs w:val="21"/>
              </w:rPr>
              <w:t>=</w:t>
            </w:r>
            <w:r>
              <w:rPr>
                <w:rFonts w:ascii="Times New Roman" w:hAnsi="Times New Roman" w:eastAsia="Times New Roman" w:cs="Times New Roman"/>
                <w:spacing w:val="2"/>
                <w:w w:val="95"/>
                <w:sz w:val="21"/>
                <w:szCs w:val="21"/>
              </w:rPr>
              <w:t>0</w:t>
            </w:r>
            <w:r>
              <w:rPr>
                <w:rFonts w:ascii="Times New Roman" w:hAnsi="Times New Roman" w:eastAsia="Times New Roman" w:cs="Times New Roman"/>
                <w:spacing w:val="1"/>
                <w:w w:val="95"/>
                <w:sz w:val="21"/>
                <w:szCs w:val="21"/>
              </w:rPr>
              <w:t>.</w:t>
            </w:r>
            <w:r>
              <w:rPr>
                <w:rFonts w:ascii="Times New Roman" w:hAnsi="Times New Roman" w:eastAsia="Times New Roman" w:cs="Times New Roman"/>
                <w:w w:val="95"/>
                <w:sz w:val="21"/>
                <w:szCs w:val="21"/>
              </w:rPr>
              <w:t>0</w:t>
            </w:r>
            <w:r>
              <w:rPr>
                <w:rFonts w:ascii="Times New Roman" w:hAnsi="Times New Roman" w:eastAsia="Times New Roman" w:cs="Times New Roman"/>
                <w:spacing w:val="2"/>
                <w:w w:val="95"/>
                <w:sz w:val="21"/>
                <w:szCs w:val="21"/>
              </w:rPr>
              <w:t>0</w:t>
            </w:r>
            <w:r>
              <w:rPr>
                <w:rFonts w:ascii="Times New Roman" w:hAnsi="Times New Roman" w:eastAsia="Times New Roman" w:cs="Times New Roman"/>
                <w:w w:val="95"/>
                <w:sz w:val="21"/>
                <w:szCs w:val="21"/>
              </w:rPr>
              <w:t>7</w:t>
            </w:r>
            <w:r>
              <w:rPr>
                <w:rFonts w:ascii="Times New Roman" w:hAnsi="Times New Roman" w:eastAsia="Times New Roman" w:cs="Times New Roman"/>
                <w:spacing w:val="2"/>
                <w:w w:val="95"/>
                <w:sz w:val="21"/>
                <w:szCs w:val="21"/>
              </w:rPr>
              <w:t>5</w:t>
            </w:r>
            <w:r>
              <w:rPr>
                <w:rFonts w:ascii="宋体" w:hAnsi="宋体" w:eastAsia="宋体" w:cs="宋体"/>
                <w:spacing w:val="2"/>
                <w:w w:val="95"/>
                <w:sz w:val="21"/>
                <w:szCs w:val="21"/>
              </w:rPr>
              <w:t>＜</w:t>
            </w:r>
            <w:r>
              <w:rPr>
                <w:rFonts w:ascii="Times New Roman" w:hAnsi="Times New Roman" w:eastAsia="Times New Roman" w:cs="Times New Roman"/>
                <w:spacing w:val="2"/>
                <w:w w:val="95"/>
                <w:sz w:val="21"/>
                <w:szCs w:val="21"/>
              </w:rPr>
              <w:t>1</w:t>
            </w:r>
            <w:r>
              <w:rPr>
                <w:rFonts w:ascii="宋体" w:hAnsi="宋体" w:eastAsia="宋体" w:cs="宋体"/>
                <w:w w:val="95"/>
                <w:sz w:val="21"/>
                <w:szCs w:val="21"/>
              </w:rPr>
              <w:t>，</w:t>
            </w:r>
          </w:p>
          <w:p>
            <w:pPr>
              <w:pStyle w:val="4069"/>
              <w:spacing w:before="29" w:line="240" w:lineRule="auto"/>
              <w:ind w:left="27" w:right="0"/>
              <w:jc w:val="center"/>
              <w:rPr>
                <w:rFonts w:ascii="宋体" w:hAnsi="宋体" w:eastAsia="宋体" w:cs="宋体"/>
                <w:sz w:val="21"/>
                <w:szCs w:val="21"/>
              </w:rPr>
            </w:pPr>
            <w:r>
              <w:rPr>
                <w:rFonts w:ascii="宋体" w:hAnsi="宋体" w:eastAsia="宋体" w:cs="宋体"/>
                <w:sz w:val="21"/>
                <w:szCs w:val="21"/>
              </w:rPr>
              <w:t>未构成重大危险源</w:t>
            </w:r>
          </w:p>
        </w:tc>
      </w:tr>
      <w:tr>
        <w:tblPrEx>
          <w:tblCellMar>
            <w:top w:w="0" w:type="dxa"/>
            <w:left w:w="0" w:type="dxa"/>
            <w:bottom w:w="0" w:type="dxa"/>
            <w:right w:w="0" w:type="dxa"/>
          </w:tblCellMar>
        </w:tblPrEx>
        <w:trPr>
          <w:trHeight w:val="519" w:hRule="exact"/>
        </w:trPr>
        <w:tc>
          <w:tcPr>
            <w:tcW w:w="1289" w:type="dxa"/>
            <w:vMerge w:val="continue"/>
            <w:tcBorders>
              <w:left w:val="single" w:color="000000" w:sz="6" w:space="0"/>
              <w:bottom w:val="single" w:color="000000" w:sz="10" w:space="0"/>
              <w:right w:val="single" w:color="000000" w:sz="4" w:space="0"/>
            </w:tcBorders>
          </w:tcPr>
          <w:p/>
        </w:tc>
        <w:tc>
          <w:tcPr>
            <w:tcW w:w="1948" w:type="dxa"/>
            <w:tcBorders>
              <w:top w:val="single" w:color="000000" w:sz="4" w:space="0"/>
              <w:left w:val="single" w:color="000000" w:sz="4" w:space="0"/>
              <w:bottom w:val="single" w:color="000000" w:sz="10" w:space="0"/>
              <w:right w:val="single" w:color="000000" w:sz="4" w:space="0"/>
            </w:tcBorders>
          </w:tcPr>
          <w:p>
            <w:pPr>
              <w:pStyle w:val="4069"/>
              <w:spacing w:before="103" w:line="240" w:lineRule="auto"/>
              <w:ind w:left="65" w:right="0"/>
              <w:jc w:val="left"/>
              <w:rPr>
                <w:rFonts w:ascii="Times New Roman" w:hAnsi="Times New Roman" w:eastAsia="Times New Roman" w:cs="Times New Roman"/>
                <w:sz w:val="21"/>
                <w:szCs w:val="21"/>
              </w:rPr>
            </w:pPr>
            <w:r>
              <w:rPr>
                <w:rFonts w:ascii="宋体" w:hAnsi="宋体" w:eastAsia="宋体" w:cs="宋体"/>
                <w:sz w:val="21"/>
                <w:szCs w:val="21"/>
              </w:rPr>
              <w:t>盐酸（急性毒性</w:t>
            </w:r>
            <w:r>
              <w:rPr>
                <w:rFonts w:ascii="宋体" w:hAnsi="宋体" w:eastAsia="宋体" w:cs="宋体"/>
                <w:spacing w:val="-70"/>
                <w:sz w:val="21"/>
                <w:szCs w:val="21"/>
              </w:rPr>
              <w:t xml:space="preserve"> </w:t>
            </w:r>
            <w:r>
              <w:rPr>
                <w:rFonts w:ascii="Times New Roman" w:hAnsi="Times New Roman" w:eastAsia="Times New Roman" w:cs="Times New Roman"/>
                <w:sz w:val="21"/>
                <w:szCs w:val="21"/>
              </w:rPr>
              <w:t>J2</w:t>
            </w:r>
          </w:p>
        </w:tc>
        <w:tc>
          <w:tcPr>
            <w:tcW w:w="974" w:type="dxa"/>
            <w:tcBorders>
              <w:top w:val="single" w:color="000000" w:sz="4" w:space="0"/>
              <w:left w:val="single" w:color="000000" w:sz="4" w:space="0"/>
              <w:bottom w:val="single" w:color="000000" w:sz="10" w:space="0"/>
              <w:right w:val="single" w:color="000000" w:sz="4" w:space="0"/>
            </w:tcBorders>
          </w:tcPr>
          <w:p>
            <w:pPr>
              <w:pStyle w:val="4069"/>
              <w:tabs>
                <w:tab w:val="left" w:pos="373"/>
              </w:tabs>
              <w:spacing w:before="103" w:line="240" w:lineRule="auto"/>
              <w:ind w:left="-175" w:right="0"/>
              <w:jc w:val="left"/>
              <w:rPr>
                <w:rFonts w:ascii="Times New Roman" w:hAnsi="Times New Roman" w:eastAsia="Times New Roman" w:cs="Times New Roman"/>
                <w:sz w:val="21"/>
                <w:szCs w:val="21"/>
              </w:rPr>
            </w:pPr>
            <w:r>
              <w:rPr>
                <w:rFonts w:ascii="宋体" w:hAnsi="宋体" w:eastAsia="宋体" w:cs="宋体"/>
                <w:w w:val="95"/>
                <w:sz w:val="21"/>
                <w:szCs w:val="21"/>
              </w:rPr>
              <w:t>）</w:t>
            </w:r>
            <w:r>
              <w:rPr>
                <w:rFonts w:ascii="宋体" w:hAnsi="宋体" w:eastAsia="宋体" w:cs="宋体"/>
                <w:w w:val="95"/>
                <w:sz w:val="21"/>
                <w:szCs w:val="21"/>
              </w:rPr>
              <w:tab/>
            </w:r>
            <w:r>
              <w:rPr>
                <w:rFonts w:ascii="Times New Roman" w:hAnsi="Times New Roman" w:eastAsia="Times New Roman" w:cs="Times New Roman"/>
                <w:w w:val="95"/>
                <w:sz w:val="21"/>
                <w:szCs w:val="21"/>
              </w:rPr>
              <w:t>50</w:t>
            </w:r>
          </w:p>
        </w:tc>
        <w:tc>
          <w:tcPr>
            <w:tcW w:w="957" w:type="dxa"/>
            <w:tcBorders>
              <w:top w:val="single" w:color="000000" w:sz="4" w:space="0"/>
              <w:left w:val="single" w:color="000000" w:sz="4" w:space="0"/>
              <w:bottom w:val="single" w:color="000000" w:sz="10" w:space="0"/>
              <w:right w:val="single" w:color="000000" w:sz="4" w:space="0"/>
            </w:tcBorders>
          </w:tcPr>
          <w:p>
            <w:pPr>
              <w:pStyle w:val="4069"/>
              <w:spacing w:before="146" w:line="240" w:lineRule="auto"/>
              <w:ind w:left="294" w:right="0"/>
              <w:jc w:val="left"/>
              <w:rPr>
                <w:rFonts w:ascii="Times New Roman" w:hAnsi="Times New Roman" w:eastAsia="Times New Roman" w:cs="Times New Roman"/>
                <w:sz w:val="21"/>
                <w:szCs w:val="21"/>
              </w:rPr>
            </w:pPr>
            <w:r>
              <w:rPr>
                <w:rFonts w:ascii="Times New Roman"/>
                <w:w w:val="85"/>
                <w:sz w:val="21"/>
              </w:rPr>
              <w:t>0</w:t>
            </w:r>
            <w:r>
              <w:rPr>
                <w:rFonts w:ascii="Times New Roman"/>
                <w:spacing w:val="1"/>
                <w:w w:val="85"/>
                <w:sz w:val="21"/>
              </w:rPr>
              <w:t>.</w:t>
            </w:r>
            <w:r>
              <w:rPr>
                <w:rFonts w:ascii="Times New Roman"/>
                <w:w w:val="85"/>
                <w:sz w:val="21"/>
              </w:rPr>
              <w:t>24</w:t>
            </w:r>
          </w:p>
        </w:tc>
        <w:tc>
          <w:tcPr>
            <w:tcW w:w="932" w:type="dxa"/>
            <w:tcBorders>
              <w:top w:val="single" w:color="000000" w:sz="4" w:space="0"/>
              <w:left w:val="single" w:color="000000" w:sz="4" w:space="0"/>
              <w:bottom w:val="single" w:color="000000" w:sz="10" w:space="0"/>
              <w:right w:val="single" w:color="000000" w:sz="4" w:space="0"/>
            </w:tcBorders>
          </w:tcPr>
          <w:p>
            <w:pPr>
              <w:pStyle w:val="4069"/>
              <w:spacing w:before="146" w:line="240" w:lineRule="auto"/>
              <w:ind w:left="201" w:right="0"/>
              <w:jc w:val="left"/>
              <w:rPr>
                <w:rFonts w:ascii="Times New Roman" w:hAnsi="Times New Roman" w:eastAsia="Times New Roman" w:cs="Times New Roman"/>
                <w:sz w:val="21"/>
                <w:szCs w:val="21"/>
              </w:rPr>
            </w:pPr>
            <w:r>
              <w:rPr>
                <w:rFonts w:ascii="Times New Roman"/>
                <w:w w:val="85"/>
                <w:sz w:val="21"/>
              </w:rPr>
              <w:t>0.0048</w:t>
            </w:r>
          </w:p>
        </w:tc>
        <w:tc>
          <w:tcPr>
            <w:tcW w:w="1948" w:type="dxa"/>
            <w:vMerge w:val="continue"/>
            <w:tcBorders>
              <w:left w:val="single" w:color="000000" w:sz="4" w:space="0"/>
              <w:bottom w:val="single" w:color="000000" w:sz="10" w:space="0"/>
              <w:right w:val="single" w:color="000000" w:sz="6" w:space="0"/>
            </w:tcBorders>
          </w:tcPr>
          <w:p/>
        </w:tc>
      </w:tr>
    </w:tbl>
    <w:p>
      <w:pPr>
        <w:pStyle w:val="1659"/>
      </w:pPr>
    </w:p>
    <w:p>
      <w:pPr>
        <w:pStyle w:val="1659"/>
      </w:pPr>
      <w:r>
        <w:t>由表7.4-5可知，本项目所使用的原辅材料氯酸钠及盐酸等储存量均远小于临界量，不涉及重大危险源。</w:t>
      </w:r>
    </w:p>
    <w:p>
      <w:pPr>
        <w:pStyle w:val="1659"/>
      </w:pPr>
      <w:r>
        <w:t>（3）氯酸钠与盐酸泄露造成火灾、爆炸、毒性而引发的次生环境污染。污水处理站采用氯酸钠与盐酸反应生成二氧化氯的消毒方式，盐酸及氯酸钠储罐在储存过程中由于阀门损坏、机械损伤、操作不当等导致储罐出现不同程度的破裂而 造成泄漏，引发火灾、爆炸、毒性等，从而造成次生环境污染。</w:t>
      </w:r>
    </w:p>
    <w:p>
      <w:pPr>
        <w:pStyle w:val="1659"/>
      </w:pPr>
      <w:r>
        <w:t>1）泄露、火灾、爆炸影响分析</w:t>
      </w:r>
    </w:p>
    <w:p>
      <w:pPr>
        <w:pStyle w:val="1659"/>
      </w:pPr>
      <w:r>
        <w:t>A.盐酸泄露</w:t>
      </w:r>
    </w:p>
    <w:p>
      <w:pPr>
        <w:pStyle w:val="1659"/>
      </w:pPr>
      <w:r>
        <w:t>盐酸不燃，为轻度危害物质，具有强腐蚀性、强刺激性，该物质以液体形式贮存。盐酸可致人体灼伤，接触其酸雾，可引起急性中毒，出现眼结膜炎，鼻及口腔粘膜有烧灼感，气管炎等。</w:t>
      </w:r>
    </w:p>
    <w:p>
      <w:pPr>
        <w:pStyle w:val="1659"/>
      </w:pPr>
      <w:r>
        <w:t>类比同类型企业，盐酸一般采用分段按需购买，加药间盐酸储存量仅为0.28t，远低于临界量；盐酸盐酸在常温下为液体，泄露后，先在围堰内形成液池，挥发出HCl气体，污染空气。盐酸比重较轻，它难以聚集到爆炸极限的浓度，因此，本评价认为其泄露不会引起爆炸（除自然灾害或人为破坏，盐酸储罐与氯酸钠储罐一起发生泄露的概率几乎为零）。盐酸在泄露后，立即采取应急措施，可以收集大部分泄漏物。</w:t>
      </w:r>
    </w:p>
    <w:p>
      <w:pPr>
        <w:pStyle w:val="1659"/>
      </w:pPr>
      <w:r>
        <w:t>B.氯酸钠泄露</w:t>
      </w:r>
    </w:p>
    <w:p>
      <w:pPr>
        <w:pStyle w:val="1659"/>
      </w:pPr>
      <w:r>
        <w:t>氯酸钠对人体有毒，以强血液毒性作用与血红蛋白及正铁血红素，经人体皮肤、粘膜吸收，因积累在体内而引起中毒，会出现恶心、大量呕吐、下泻、呼吸困难、肾损害等症状，大量吸入将会致死。</w:t>
      </w:r>
    </w:p>
    <w:p>
      <w:pPr>
        <w:pStyle w:val="1659"/>
      </w:pPr>
      <w:r>
        <w:t>氯酸钠也是采取分段按需购买的方式，氯酸钠储存量也是远低于临界量；氯酸钠储罐周边设置围堰，泄露后，在围堰内形成液池，只要人体不与其直接接触，基本不会影响人身安全。</w:t>
      </w:r>
    </w:p>
    <w:p>
      <w:pPr>
        <w:pStyle w:val="1659"/>
      </w:pPr>
      <w:r>
        <w:t>本评价要求，盐酸及氯酸钠储罐四周应分别设置围堰，围堰有效容积应不小于储罐的容积。</w:t>
      </w:r>
    </w:p>
    <w:p>
      <w:pPr>
        <w:pStyle w:val="1659"/>
      </w:pPr>
      <w:r>
        <w:t>C.二氧化氯泄露、爆炸风险二氧化氯不燃，具有强氧化性，液态或气态的二氧化氯都不稳定，易挥发，易爆炸，但二氧化氯的水溶液相对稳定。二氧化氯的泄露。二氧化氯吸收不完全或吸收系统不密封将导致泄露。二氧化氯泄露后将污染空气，刺激人体呼吸道粘膜和眼睛、灼伤皮肤；当超过爆炸下限（空气中10%）会发生爆炸。</w:t>
      </w:r>
    </w:p>
    <w:p>
      <w:pPr>
        <w:pStyle w:val="1659"/>
      </w:pPr>
      <w:r>
        <w:t>投料比失衡致爆炸危险。投料比失衡，将造成反应速度过快，甚至导致反应失控。如盐酸投加过快，会导致二氧化氯的生成速度加快，造成反应液中二氧化氯的过饱和状态，而使二氧化氯逸出到反应系统中，导致反应系统压力增加。若系统密封性较差，二氧化氯就会逸出到空气中；若系统压力持续升高，安全装置（如安全阀）未动作时，还会发生爆炸事故。</w:t>
      </w:r>
    </w:p>
    <w:p>
      <w:pPr>
        <w:pStyle w:val="1659"/>
      </w:pPr>
      <w:r>
        <w:t>二氧化氯生成器技术成熟，广泛运用于污废水的消毒处理；如果出现二氧化氯微量泄漏，可通过余氯监测及自动报警系统、岗位操作人员巡检等方式及时发现，并按要求迅速采取相应措施进行排查和处置，可以避免事故范围扩大，减少环境污染。</w:t>
      </w:r>
    </w:p>
    <w:p>
      <w:pPr>
        <w:pStyle w:val="1659"/>
      </w:pPr>
      <w:r>
        <w:t>此外，氯酸钠和盐酸是通过汽车使用相应容器运到场区的加药间进行贮存使用的；在通过汽车运输过程中，有可能造成因为阀门损漏、容器破损等造成泄漏，一旦氯酸钠、盐酸泄漏将可能造成运输人员的中毒，附近区域内村庄居民可能受其扩散气团影响，对人类的生命安全带来一定的危险，也将会给公路沿线的陆地、水体中动植物环境造成影响。</w:t>
      </w:r>
    </w:p>
    <w:p>
      <w:pPr>
        <w:pStyle w:val="6"/>
        <w:ind w:left="0" w:firstLine="0"/>
      </w:pPr>
      <w:bookmarkStart w:id="266" w:name="_Toc32202"/>
      <w:r>
        <w:rPr>
          <w:rFonts w:hint="eastAsia"/>
          <w:lang w:eastAsia="zh-CN"/>
        </w:rPr>
        <w:t>硫化氢和氨环境风险分析</w:t>
      </w:r>
      <w:bookmarkEnd w:id="266"/>
    </w:p>
    <w:p>
      <w:pPr>
        <w:pStyle w:val="1659"/>
      </w:pPr>
      <w:r>
        <w:t>（1）硫化氢和氨特性</w:t>
      </w:r>
    </w:p>
    <w:p>
      <w:pPr>
        <w:pStyle w:val="1659"/>
      </w:pPr>
      <w:r>
        <w:t>硫化氢常温下为有刺激性和窒息性的无色气体，溶于水、乙醇，相对空气密度1.19，不稳定，加热条件下发生可逆反应。易燃，与空气混合能形成爆炸性混合物，遇明火、高热能引起燃烧爆炸，与浓硝酸、发烟硫酸或其他强氧化剂剧烈反应，发生爆炸。稳定，易溶于水，无色有刺激性气味的气体，急性毒性：LD50400mg/kg（兔经口）；LC504600mg/m</w:t>
      </w:r>
      <w:r>
        <w:rPr>
          <w:vertAlign w:val="superscript"/>
        </w:rPr>
        <w:t>3</w:t>
      </w:r>
      <w:r>
        <w:t>，1小时（大鼠吸入），不属于《剧毒化学品名录》中规定毒物。氨特性见7.4.1小结。</w:t>
      </w:r>
    </w:p>
    <w:p>
      <w:pPr>
        <w:pStyle w:val="1659"/>
      </w:pPr>
      <w:r>
        <w:t>（2）除臭设施故障造成H</w:t>
      </w:r>
      <w:r>
        <w:rPr>
          <w:vertAlign w:val="subscript"/>
        </w:rPr>
        <w:t>2</w:t>
      </w:r>
      <w:r>
        <w:t>S和NH</w:t>
      </w:r>
      <w:r>
        <w:rPr>
          <w:vertAlign w:val="subscript"/>
        </w:rPr>
        <w:t>3</w:t>
      </w:r>
      <w:r>
        <w:t>超标排放而对大气环境造成污染。</w:t>
      </w:r>
    </w:p>
    <w:p>
      <w:pPr>
        <w:pStyle w:val="1659"/>
      </w:pPr>
      <w:r>
        <w:t>本项目屠宰、待宰、污水处理站、无害化处理车间的除臭设施安装不到位，或除臭设施故障会造成H</w:t>
      </w:r>
      <w:r>
        <w:rPr>
          <w:vertAlign w:val="subscript"/>
        </w:rPr>
        <w:t>2</w:t>
      </w:r>
      <w:r>
        <w:t>S和NH</w:t>
      </w:r>
      <w:r>
        <w:rPr>
          <w:vertAlign w:val="subscript"/>
        </w:rPr>
        <w:t>3</w:t>
      </w:r>
      <w:r>
        <w:t>超标排放，散发出高浓度的恶臭气体，造成空气中含氧量相对下降，污浊度升高，轻则降低空气质量、产生异味妨碍人畜健康生存；重则引起呼吸系统的疾病。</w:t>
      </w:r>
    </w:p>
    <w:p>
      <w:pPr>
        <w:pStyle w:val="5"/>
        <w:spacing w:before="156" w:after="156"/>
        <w:rPr>
          <w:highlight w:val="none"/>
        </w:rPr>
      </w:pPr>
      <w:bookmarkStart w:id="267" w:name="_Toc12019"/>
      <w:r>
        <w:rPr>
          <w:rFonts w:hint="eastAsia"/>
          <w:highlight w:val="none"/>
          <w:lang w:eastAsia="zh-CN"/>
        </w:rPr>
        <w:t>环境风险防范措施与应急要求</w:t>
      </w:r>
      <w:bookmarkEnd w:id="267"/>
    </w:p>
    <w:p>
      <w:pPr>
        <w:pStyle w:val="6"/>
        <w:ind w:left="0" w:firstLine="0"/>
        <w:rPr>
          <w:highlight w:val="none"/>
        </w:rPr>
      </w:pPr>
      <w:bookmarkStart w:id="268" w:name="_Toc21448"/>
      <w:r>
        <w:rPr>
          <w:rFonts w:hint="eastAsia"/>
          <w:highlight w:val="none"/>
          <w:lang w:eastAsia="zh-CN"/>
        </w:rPr>
        <w:t>氨环境风险防范措施及应急要求</w:t>
      </w:r>
      <w:bookmarkEnd w:id="268"/>
    </w:p>
    <w:p>
      <w:pPr>
        <w:pStyle w:val="1659"/>
      </w:pPr>
      <w:r>
        <w:t>为了加强对危险化学品的安全管理，保障人民生命、财产安全，保护环境，防范风险事故发生，依据国务院第334号令《危险化学品安全管理条例》要求，企业对生产中使用氨气具有毒有害物质事故性排放应具备风险防范意识，并根据不同的事故风险制定相应的预防措施和突发事故的对策与应急方案。</w:t>
      </w:r>
    </w:p>
    <w:p>
      <w:pPr>
        <w:pStyle w:val="1659"/>
      </w:pPr>
      <w:r>
        <w:t>1）危险化学品储存防范措施</w:t>
      </w:r>
    </w:p>
    <w:p>
      <w:pPr>
        <w:pStyle w:val="1659"/>
      </w:pPr>
      <w:r>
        <w:t>①本项目根据所使用化学品氨气的性能，在车间作业场所设置相应的通风、防火、防毒、防腐、防渗透、报警等安全措施。</w:t>
      </w:r>
    </w:p>
    <w:p>
      <w:pPr>
        <w:pStyle w:val="1659"/>
      </w:pPr>
      <w:r>
        <w:t>②本项目生产场所会使用危险化学品氨气，应按国家规定的安全、消防要求进行设计。</w:t>
      </w:r>
    </w:p>
    <w:p>
      <w:pPr>
        <w:pStyle w:val="1659"/>
      </w:pPr>
      <w:r>
        <w:t>③本项目应对危险化学品的专用储藏设备和安全设施进行定时维护、保养、检测，并严格按照安全技术规范要求操作，才会预防风险事故的发生，做到安全生产。</w:t>
      </w:r>
    </w:p>
    <w:p>
      <w:pPr>
        <w:pStyle w:val="1659"/>
      </w:pPr>
      <w:r>
        <w:t>2）安全防范措施</w:t>
      </w:r>
    </w:p>
    <w:p>
      <w:pPr>
        <w:pStyle w:val="1659"/>
      </w:pPr>
      <w:r>
        <w:t>本项目冷库采用氨制冷系统，库内由吊顶式冷风机送冷风。制冷系统中存有大量的氨，总氨量约为1t，如果不采取有效的安全防范措施，一日发生重大事故，不但会对厂区内的生产设施造成不利影响，厂内职工的身体健康及生命安全造成不利影响，还会对厂内职工的身体健康及生命安全造成严重威胁。</w:t>
      </w:r>
    </w:p>
    <w:p>
      <w:pPr>
        <w:pStyle w:val="1659"/>
      </w:pPr>
      <w:r>
        <w:t>①根据氨易溶于水的特性，在高压区、包括冷凝器、贮氨器普遍加装强力喷淋水系统，并以控制阀分区控制。一旦某处发生大泄漏，则立即以喷淋水对其稀释，极大地缓解氨扩散。同时，大量的喷淋水还可使区域降温，扑灭诱发爆燃的火种隐患。自来水管网压力不足之处，可生喷淋总管进口端加设防爆型管道增压泵，以提高喷淋压力和水量，并为其提供专用电路。</w:t>
      </w:r>
    </w:p>
    <w:p>
      <w:pPr>
        <w:pStyle w:val="1659"/>
      </w:pPr>
      <w:r>
        <w:t>②所有安全阀的放空管一律接至循环水池或专用水桶，一旦跳阀则不会将氨气直接排至大气中造成扩散影响。</w:t>
      </w:r>
    </w:p>
    <w:p>
      <w:pPr>
        <w:pStyle w:val="1659"/>
      </w:pPr>
      <w:r>
        <w:t>③压缩机房内可对调节站设置喷淋，而对压缩机，氨泵等的泄漏，可视强度由分布在整个机房区域的消防栓机动压制。机房应分设多处消防栓(Dg50)，并配备适当水龙带，配直射、散射两用水枪，这样在排险中不仅能有效地控制泄漏点、稀释液氨而且可大大减轻抢险人员的氨负荷及室内气体的浓度，确保人身安全。机房内的防爆型排风机对于降低气体浓度，防止爆燃至关重要。但应设集风罩（屋项型可不设），并在散风口处设喷淋系统，防止向外部大气环境扩散。</w:t>
      </w:r>
    </w:p>
    <w:p>
      <w:pPr>
        <w:pStyle w:val="1659"/>
      </w:pPr>
      <w:r>
        <w:t>3）氨泄漏时应急措施 当发生氨泄漏时，应立即采取应急措施，同时，由于库房为密闭空间，一般不为重视。实际上库内不便喷水和无法排风，最易形成燃爆浓度。</w:t>
      </w:r>
    </w:p>
    <w:p>
      <w:pPr>
        <w:pStyle w:val="1659"/>
      </w:pPr>
      <w:r>
        <w:t>①立即切断系统的供液电源；</w:t>
      </w:r>
    </w:p>
    <w:p>
      <w:pPr>
        <w:pStyle w:val="1659"/>
      </w:pPr>
      <w:r>
        <w:t>②开启该系统压缩机抽真空，待压力归零后保持运转；</w:t>
      </w:r>
    </w:p>
    <w:p>
      <w:pPr>
        <w:pStyle w:val="1659"/>
      </w:pPr>
      <w:r>
        <w:t>③排气通过机头放空阀直接排至水中(真空度不必大，降至零即可，防水倒吸)，从而制止管道或设备继续泄漏；</w:t>
      </w:r>
    </w:p>
    <w:p>
      <w:pPr>
        <w:pStyle w:val="1659"/>
      </w:pPr>
      <w:r>
        <w:t>④以配好的稀盐酸溶液用喷雾器向库房空间喷雾，有条件者以高压氮气或二氧化碳向库中灌注，以破坏可燃性气体分子的结构，同时形成偏高压，有利于库内气体的排出。</w:t>
      </w:r>
    </w:p>
    <w:p>
      <w:pPr>
        <w:pStyle w:val="1659"/>
      </w:pPr>
      <w:r>
        <w:t>⑤最后，待一切正常后再处理泄漏点。建议在建库时设大容量的氮气容器或二氧化碳容器作为源点控制设备设置，并配以管道、阀门通向库房，实施有效地防爆燃控制。</w:t>
      </w:r>
    </w:p>
    <w:p>
      <w:pPr>
        <w:pStyle w:val="1659"/>
      </w:pPr>
      <w:r>
        <w:t>⑥根据系统管道外径尺寸以高压区为重点，配备各种口径的的堵调专后管卡。当管道发生泄漏时，抢险人员在水龙掩护下，根据管径及裂口大小选择后相应管卡，内垫橡皮，几分钟内就可将漏点堵住，待善后处理。该段时间由于有水龙压制稀释，扩散的影响会极小。</w:t>
      </w:r>
    </w:p>
    <w:p>
      <w:pPr>
        <w:pStyle w:val="1659"/>
      </w:pPr>
      <w:r>
        <w:t>4）氨中毒时的急救方法</w:t>
      </w:r>
    </w:p>
    <w:p>
      <w:pPr>
        <w:pStyle w:val="1659"/>
      </w:pPr>
      <w:r>
        <w:t>氨对人体有很大的毒性和制激性，它所造成的伤害大致可分三类：</w:t>
      </w:r>
    </w:p>
    <w:p>
      <w:pPr>
        <w:pStyle w:val="1659"/>
      </w:pPr>
      <w:r>
        <w:t>①液氨溅到皮肤上引起烧伤;</w:t>
      </w:r>
    </w:p>
    <w:p>
      <w:pPr>
        <w:pStyle w:val="1659"/>
      </w:pPr>
      <w:r>
        <w:t>②液氨或氨气对眼睛有刺激性或烧伤。</w:t>
      </w:r>
    </w:p>
    <w:p>
      <w:pPr>
        <w:pStyle w:val="1659"/>
      </w:pPr>
      <w:r>
        <w:t>③氨气被人体吸入，轻则刺激呼吸器官，重则导致昏迷甚至死亡。当发生氨泄漏事故时，为了抢救氨中毒患者，在制冷装置现场，除应具备一般的急救用品和药品外，还应备有防毒面具、硼酸、醋酸、食用醋和喷雾器等用品。当氨 液触到衣服和皮肤时，应马上把被氨液弄湿的衣服脱去，用水或2%硼酸水冲洗皮肤，再涂上消毒凡士林植物油脂。当呼吸道受氨气剌激引起较厉害的咳嗽时，可用湿毛巾或用水弄湿的衣服捂住鼻子和嘴。由于氨易溶于水，因此，可显著减轻氨的刺激作用。比较有效的方法是用稀食醋把毛巾弄湿，捂住鼻子和嘴，由于食醋蒸汽可与氨发生中和作用使氨气变成中性盐，可以显著减轻咳嗽。这样也可减轻氨对呼吸道的刺激和中毒程度。当呼吸道受氨刺激较大而且中毒比较严重时，可用硼酸水滴鼻嗽口，有条件时饮0.5%的柠檬酸水或柠檬汁，但切勿饮白开水，因氨易溶于水会助长氨的扩散。当氨中毒较深以至呼吸微弱时，应将患者转移至新鲜空气处，有条件时施以纯氧呼吸。如氧气尚未到达前可给患者吸入食醋蒸汽或饮用稀食醋。如果漏氨现场氨浓度很高，中毒者不仅会出现昏迷而且会停止呼吸，此时应立即转移至新鲜空气处并行人工呼吸。也可使患者饮用较浓的食醋然后再给一剂橄榄油，并应立即请医生或送医院抢救。</w:t>
      </w:r>
    </w:p>
    <w:p>
      <w:pPr>
        <w:pStyle w:val="6"/>
        <w:ind w:left="0" w:firstLine="0"/>
        <w:rPr>
          <w:highlight w:val="none"/>
        </w:rPr>
      </w:pPr>
      <w:bookmarkStart w:id="269" w:name="_Toc31821"/>
      <w:r>
        <w:rPr>
          <w:rFonts w:hint="eastAsia"/>
          <w:highlight w:val="none"/>
          <w:lang w:eastAsia="zh-CN"/>
        </w:rPr>
        <w:t>污废水环境风险防范措施及应急要求</w:t>
      </w:r>
      <w:bookmarkEnd w:id="269"/>
    </w:p>
    <w:p>
      <w:pPr>
        <w:pStyle w:val="1659"/>
      </w:pPr>
      <w:r>
        <w:t>为杜绝废水的事故排放，应采取以下措施：</w:t>
      </w:r>
    </w:p>
    <w:p>
      <w:pPr>
        <w:pStyle w:val="1659"/>
      </w:pPr>
      <w:r>
        <w:t>1）坚持废水处理设施的日常维护，及时发现处理设备的隐患，确保处理系统正常运行；开、停、检修要有预案，有严密周全的计划。</w:t>
      </w:r>
    </w:p>
    <w:p>
      <w:pPr>
        <w:pStyle w:val="1659"/>
      </w:pPr>
      <w:r>
        <w:t>2）应设有备用电源和易损易耗部件、零件的备件，以及停电或设备出现故障时及时更换废水并及时处理。</w:t>
      </w:r>
    </w:p>
    <w:p>
      <w:pPr>
        <w:pStyle w:val="1659"/>
      </w:pPr>
      <w:r>
        <w:t>3）各污水处理池等必须做地面硬化防渗处理。</w:t>
      </w:r>
    </w:p>
    <w:p>
      <w:pPr>
        <w:pStyle w:val="1659"/>
      </w:pPr>
      <w:r>
        <w:t>4）对员工进行岗位培训，持证上岗。经常性监测并做好值班记录，试行岗位责任制。</w:t>
      </w:r>
    </w:p>
    <w:p>
      <w:pPr>
        <w:pStyle w:val="1659"/>
      </w:pPr>
      <w:r>
        <w:rPr>
          <w:rFonts w:hint="eastAsia"/>
          <w:lang w:val="en-US" w:eastAsia="zh-CN"/>
        </w:rPr>
        <w:t>5</w:t>
      </w:r>
      <w:r>
        <w:t>）为防止污、废水排放对受纳水体的影响，环评要求在场区地势最低处修建事故水池，容积</w:t>
      </w:r>
      <w:r>
        <w:rPr>
          <w:rFonts w:hint="eastAsia"/>
          <w:lang w:val="en-US" w:eastAsia="zh-CN"/>
        </w:rPr>
        <w:t>15</w:t>
      </w:r>
      <w:r>
        <w:t>0m</w:t>
      </w:r>
      <w:r>
        <w:rPr>
          <w:vertAlign w:val="superscript"/>
        </w:rPr>
        <w:t>3</w:t>
      </w:r>
      <w:r>
        <w:t>，（事故收集池容积按照3d产生最大污水量进行设计）用于临时储存因故障3天不能处理的废水，保证污水不会对周边地表水体产生污染影响。污水处理设施发生事故时，污废水排入事故水池，并尽快对污水处理站进行检修，检修完成后将事故水池中废水泵入污水处理站，事故废水不外排。</w:t>
      </w:r>
    </w:p>
    <w:p>
      <w:pPr>
        <w:pStyle w:val="1659"/>
      </w:pPr>
      <w:r>
        <w:t>7）根据《建筑防火设计规范》（GB50016-2006）的有关要求，本项目火灾事故时一次性消防用水量按20L/s计算，按2h计算，则消防用水量为144m</w:t>
      </w:r>
      <w:r>
        <w:rPr>
          <w:vertAlign w:val="superscript"/>
        </w:rPr>
        <w:t>3</w:t>
      </w:r>
      <w:r>
        <w:t>。项目产生的消防废水需设置总容积大于150m</w:t>
      </w:r>
      <w:r>
        <w:rPr>
          <w:vertAlign w:val="superscript"/>
        </w:rPr>
        <w:t>3</w:t>
      </w:r>
      <w:r>
        <w:t>的消防废水收集池，以满足消防水收集需要。本项目污水处理站旁设置有</w:t>
      </w:r>
      <w:r>
        <w:rPr>
          <w:rFonts w:hint="eastAsia"/>
          <w:lang w:val="en-US" w:eastAsia="zh-CN"/>
        </w:rPr>
        <w:t>15</w:t>
      </w:r>
      <w:r>
        <w:t>0m</w:t>
      </w:r>
      <w:r>
        <w:rPr>
          <w:vertAlign w:val="superscript"/>
        </w:rPr>
        <w:t>3</w:t>
      </w:r>
      <w:r>
        <w:t>事故收集池一座（兼作消防废水收集池），可满足本项目消防废水的收集需要，经收集的废水可依托废水处理站处理达到《肉类加工工业水污染物排放标准》（GB13457-92）一级标准要求后排放，对环境影响不大。</w:t>
      </w:r>
    </w:p>
    <w:p>
      <w:pPr>
        <w:pStyle w:val="6"/>
        <w:ind w:left="0" w:firstLine="0"/>
      </w:pPr>
      <w:bookmarkStart w:id="270" w:name="_Toc15846"/>
      <w:r>
        <w:rPr>
          <w:rFonts w:hint="eastAsia"/>
          <w:lang w:eastAsia="zh-CN"/>
        </w:rPr>
        <w:t>氯酸钠及盐酸环境风险防范措施及应急要求</w:t>
      </w:r>
      <w:bookmarkEnd w:id="270"/>
    </w:p>
    <w:p>
      <w:pPr>
        <w:pStyle w:val="1659"/>
      </w:pPr>
      <w:r>
        <w:t>1）氯酸钠及盐酸投料比平衡</w:t>
      </w:r>
    </w:p>
    <w:p>
      <w:pPr>
        <w:pStyle w:val="1659"/>
      </w:pPr>
      <w:r>
        <w:t>2）设置余氯监测及自动报警系统、岗位操作人员巡检等方式及时发现，并按要求迅速采取相应措施进行排查和处置，可以避免事故范围扩大，减少环境污染。</w:t>
      </w:r>
    </w:p>
    <w:p>
      <w:pPr>
        <w:pStyle w:val="1659"/>
      </w:pPr>
      <w:r>
        <w:t>3）在氯酸钠和盐酸通过汽车运输过程中，检查阀门损漏、容器破损等情况是否出现，并制定运输风险应急预案。</w:t>
      </w:r>
    </w:p>
    <w:p>
      <w:pPr>
        <w:pStyle w:val="6"/>
        <w:ind w:left="0" w:firstLine="0"/>
      </w:pPr>
      <w:bookmarkStart w:id="271" w:name="_Toc1806"/>
      <w:r>
        <w:rPr>
          <w:rFonts w:hint="eastAsia"/>
          <w:lang w:eastAsia="zh-CN"/>
        </w:rPr>
        <w:t>硫化氢和氨环境风险防范措施及应急要求</w:t>
      </w:r>
      <w:bookmarkEnd w:id="271"/>
    </w:p>
    <w:p>
      <w:pPr>
        <w:pStyle w:val="1659"/>
      </w:pPr>
      <w:r>
        <w:t>1）坚持除臭处理设施的日常维护，及时发现处理设备的隐患，确保处理系统正常运行；开、停、检修要有预案，有严密周全的计划。</w:t>
      </w:r>
    </w:p>
    <w:p>
      <w:pPr>
        <w:pStyle w:val="1659"/>
      </w:pPr>
      <w:r>
        <w:t>2）应设有备用电源和易损易耗部件、零件的备件，以及停电或设备出现故障时及时处理。</w:t>
      </w:r>
    </w:p>
    <w:p>
      <w:pPr>
        <w:pStyle w:val="1659"/>
      </w:pPr>
      <w:r>
        <w:t>3）对员工进行岗位培训，持证上岗。经常性监测并做好值班记录，试行岗位责任制。</w:t>
      </w:r>
    </w:p>
    <w:p>
      <w:pPr>
        <w:pStyle w:val="5"/>
        <w:spacing w:before="156" w:after="156"/>
      </w:pPr>
      <w:bookmarkStart w:id="272" w:name="_Toc874"/>
      <w:r>
        <w:rPr>
          <w:rFonts w:hint="eastAsia"/>
          <w:lang w:eastAsia="zh-CN"/>
        </w:rPr>
        <w:t>分析结论</w:t>
      </w:r>
      <w:bookmarkEnd w:id="272"/>
    </w:p>
    <w:p>
      <w:pPr>
        <w:pStyle w:val="1659"/>
      </w:pPr>
      <w:r>
        <w:t>本次本项目通过加强废水、除臭处理系统维护，加强氨、氯酸钠、盐酸的管理防止泄漏，最大限度的降低风险事故发生的可能性；根据项目建成后的机构组成，并依托和参考市级相关应急预案，拟定环境风险应预案的基本组成、机构职责及基本内容，进一步减少项目可能引起的环境影响。</w:t>
      </w:r>
    </w:p>
    <w:p>
      <w:pPr>
        <w:pStyle w:val="1659"/>
        <w:rPr>
          <w:sz w:val="24"/>
        </w:rPr>
      </w:pPr>
      <w:r>
        <w:t>综上可知，在落实完善本报告中的风险防范措施的前提下，本项目环境风险水平可以接受。</w:t>
      </w:r>
    </w:p>
    <w:p>
      <w:pPr>
        <w:autoSpaceDE w:val="0"/>
        <w:autoSpaceDN w:val="0"/>
        <w:adjustRightInd w:val="0"/>
        <w:spacing w:line="360" w:lineRule="auto"/>
        <w:ind w:firstLine="540"/>
        <w:rPr>
          <w:kern w:val="0"/>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128"/>
    <w:p>
      <w:pPr>
        <w:pStyle w:val="4"/>
        <w:spacing w:before="312" w:after="312"/>
      </w:pPr>
      <w:bookmarkStart w:id="273" w:name="_Toc16849"/>
      <w:bookmarkStart w:id="274" w:name="_Toc320142946"/>
      <w:r>
        <w:rPr>
          <w:rFonts w:hint="eastAsia"/>
          <w:lang w:eastAsia="zh-CN"/>
        </w:rPr>
        <w:t>环境保护措施及其可行性论证</w:t>
      </w:r>
      <w:bookmarkEnd w:id="273"/>
    </w:p>
    <w:p>
      <w:pPr>
        <w:pStyle w:val="5"/>
        <w:spacing w:before="156" w:after="156"/>
      </w:pPr>
      <w:bookmarkStart w:id="275" w:name="_Toc320142941"/>
      <w:bookmarkStart w:id="276" w:name="_Toc31581"/>
      <w:r>
        <w:rPr>
          <w:rFonts w:hint="eastAsia"/>
          <w:lang w:eastAsia="zh-CN"/>
        </w:rPr>
        <w:t>施工期环境保护措施</w:t>
      </w:r>
      <w:bookmarkEnd w:id="275"/>
      <w:bookmarkEnd w:id="276"/>
    </w:p>
    <w:p>
      <w:pPr>
        <w:pStyle w:val="6"/>
        <w:ind w:left="0" w:firstLine="0"/>
      </w:pPr>
      <w:bookmarkStart w:id="277" w:name="_Toc739"/>
      <w:r>
        <w:rPr>
          <w:rFonts w:hint="eastAsia"/>
          <w:lang w:eastAsia="zh-CN"/>
        </w:rPr>
        <w:t>施工期噪声防治措施</w:t>
      </w:r>
      <w:bookmarkEnd w:id="277"/>
    </w:p>
    <w:p>
      <w:pPr>
        <w:pStyle w:val="1659"/>
      </w:pPr>
      <w:r>
        <w:t>建筑施工由于各阶段使用的机械设备组合情况不同，所以噪声辐射影响的程度也 不尽相同。基础施工阶段设备多属高噪声机械。主体施工阶段，噪声特点是持续时间 长，强度高。相比之下，装饰期间的噪声相对较弱，一是主要施工设备运转频率减少，另外一些噪声较强的木工机械又可搬入已建成的主体建筑内进行操作。由于建筑施工是在露天作业，流动性和间歇性较强，对各生产环节中的噪声治理具有一定难度，为了不产生噪声扰民，应采取以下治理措施：</w:t>
      </w:r>
    </w:p>
    <w:p>
      <w:pPr>
        <w:pStyle w:val="1659"/>
      </w:pPr>
      <w:r>
        <w:t>（1）降低声源的噪声源强</w:t>
      </w:r>
    </w:p>
    <w:p>
      <w:pPr>
        <w:pStyle w:val="1659"/>
      </w:pPr>
      <w:r>
        <w:t>选用低噪声施工设备，尽量将噪声源强降到最低；固定机械设备可通过排气管消声器和隔离发动机振动部件来降低噪声；对动力机械设备进行定期的维修维护，避免因部件松动或损坏而增加其噪声源强；暂不使用的设备及时关闭；运输车辆进入施工现场应减速并减少鸣笛；在模板、支架拆卸等作业过程中，尽量较少人为原因产生的噪声。</w:t>
      </w:r>
    </w:p>
    <w:p>
      <w:pPr>
        <w:pStyle w:val="1659"/>
      </w:pPr>
      <w:r>
        <w:t>（2）采用局部吸声、隔声降噪技术对位置相对固定的机械设备，能入棚的尽量入棚，对各施工环节中噪声较为突出且又难以对声源进行降噪可能的设备装置，应采取临时围障措施，在围障最好敷以吸声材料，以达到降噪效果。评价要求施工期在边界修建临时隔声挡墙，将施工噪声对敏感点的影响降至最低。</w:t>
      </w:r>
    </w:p>
    <w:p>
      <w:pPr>
        <w:pStyle w:val="1659"/>
      </w:pPr>
      <w:r>
        <w:t>（3）强噪声源远离敏感点</w:t>
      </w:r>
    </w:p>
    <w:p>
      <w:pPr>
        <w:pStyle w:val="1659"/>
      </w:pPr>
      <w:r>
        <w:t>在施工过程中，强噪声源应尽量设置在远离敏感点（村民住宅）的地方，减少扰民现象的发生。</w:t>
      </w:r>
    </w:p>
    <w:p>
      <w:pPr>
        <w:pStyle w:val="1659"/>
      </w:pPr>
      <w:r>
        <w:t>（4）加强管理严格执行《建筑施工场界环境噪声排放标准》（GB12523-2011）的有关规定，特别是在晚上22：00-6：00，中午12:00-14:00，禁止使用强噪声设备。如有特殊情况必须施工，需申报环保主管部门，获得批准后方可施工，并须公告附近居民。</w:t>
      </w:r>
    </w:p>
    <w:p>
      <w:pPr>
        <w:pStyle w:val="1659"/>
      </w:pPr>
      <w:r>
        <w:t>（5）加强沟通与可能受噪声影响的单位和居民，施工单位应及早同当地居民协调，征得当地居民理解，并在施工期设立热线投诉电话，接受噪声扰民投诉，并对投诉意见及时、认真、妥善的处理。</w:t>
      </w:r>
    </w:p>
    <w:p>
      <w:pPr>
        <w:pStyle w:val="6"/>
        <w:ind w:left="0" w:firstLine="0"/>
      </w:pPr>
      <w:bookmarkStart w:id="278" w:name="_Toc22659"/>
      <w:r>
        <w:rPr>
          <w:rFonts w:hint="eastAsia"/>
          <w:lang w:eastAsia="zh-CN"/>
        </w:rPr>
        <w:t>施工期大气污染防治措施</w:t>
      </w:r>
      <w:bookmarkEnd w:id="278"/>
    </w:p>
    <w:p>
      <w:pPr>
        <w:pStyle w:val="1659"/>
      </w:pPr>
      <w:r>
        <w:t>（1）施工扬尘</w:t>
      </w:r>
    </w:p>
    <w:p>
      <w:pPr>
        <w:pStyle w:val="1659"/>
      </w:pPr>
      <w:r>
        <w:t>施工产生的扬尘按起尘的原因可分为风力起尘和动力起尘，其中风力起尘主要是露天堆场和裸露场地在风力的作用下产生的扬尘。动力扬尘主要来自于汽车在含尘路面行驶产生的扬尘。对于施工扬尘，具体需做到以下控制措施：</w:t>
      </w:r>
    </w:p>
    <w:p>
      <w:pPr>
        <w:pStyle w:val="1659"/>
      </w:pPr>
      <w:r>
        <w:t>1）道路硬化措施</w:t>
      </w:r>
    </w:p>
    <w:p>
      <w:pPr>
        <w:pStyle w:val="1659"/>
      </w:pPr>
      <w:r>
        <w:t>①施工现场主要道路、加工区、生活办公区应做到硬化处理，用作车辆通行的道 路应铺设混凝土，满足车辆安全行驶要求，且无破损现象；</w:t>
      </w:r>
    </w:p>
    <w:p>
      <w:pPr>
        <w:pStyle w:val="1659"/>
      </w:pPr>
      <w:r>
        <w:t>②任何时候车行道路上都不能有明显的尘土；</w:t>
      </w:r>
    </w:p>
    <w:p>
      <w:pPr>
        <w:pStyle w:val="1659"/>
      </w:pPr>
      <w:r>
        <w:t>③道路清扫时都必须采取洒水措施。</w:t>
      </w:r>
    </w:p>
    <w:p>
      <w:pPr>
        <w:pStyle w:val="1659"/>
      </w:pPr>
      <w:r>
        <w:t>2）边界围挡</w:t>
      </w:r>
    </w:p>
    <w:p>
      <w:pPr>
        <w:pStyle w:val="1659"/>
      </w:pPr>
      <w:r>
        <w:t>①围挡高度不低于1.8米，围挡下方设置不低于20cm高的防溢座以防止粉尘流失；</w:t>
      </w:r>
    </w:p>
    <w:p>
      <w:pPr>
        <w:pStyle w:val="1659"/>
      </w:pPr>
      <w:r>
        <w:t>②围挡必须是由金属、混凝土、塑料等硬质材料制作，拆迁工程在建筑拆除期间，应在建筑结构外侧设置防尘布；</w:t>
      </w:r>
    </w:p>
    <w:p>
      <w:pPr>
        <w:pStyle w:val="1659"/>
      </w:pPr>
      <w:r>
        <w:t>③任意两块围挡以及围挡与防溢座的拼接处都不能有大于 0.5cm 的缝隙，围挡不得有明显破损的漏洞。</w:t>
      </w:r>
    </w:p>
    <w:p>
      <w:pPr>
        <w:pStyle w:val="1659"/>
      </w:pPr>
      <w:r>
        <w:t>3）裸露地（含土方）覆盖</w:t>
      </w:r>
    </w:p>
    <w:p>
      <w:pPr>
        <w:pStyle w:val="1659"/>
      </w:pPr>
      <w:r>
        <w:t>①每一块独立裸露地面80%以上的面积都应采取覆盖措施；</w:t>
      </w:r>
    </w:p>
    <w:p>
      <w:pPr>
        <w:pStyle w:val="1659"/>
      </w:pPr>
      <w:r>
        <w:t>②覆盖措施的完好率必须在90%以上；</w:t>
      </w:r>
    </w:p>
    <w:p>
      <w:pPr>
        <w:pStyle w:val="1659"/>
      </w:pPr>
      <w:r>
        <w:t>③覆盖措施包括：钢板、防尘网（布）、绿化、化学抑制剂，或达到同等效率的覆盖措施。</w:t>
      </w:r>
    </w:p>
    <w:p>
      <w:pPr>
        <w:pStyle w:val="1659"/>
      </w:pPr>
      <w:r>
        <w:t>4）易扬尘物料覆盖</w:t>
      </w:r>
    </w:p>
    <w:p>
      <w:pPr>
        <w:pStyle w:val="1659"/>
      </w:pPr>
      <w:r>
        <w:t>①所有砂石、灰土、灰浆等易扬尘物料都必须以不透水的隔尘布完全覆盖或放置 在顶部和四周均有遮蔽的场所内；</w:t>
      </w:r>
    </w:p>
    <w:p>
      <w:pPr>
        <w:pStyle w:val="1659"/>
      </w:pPr>
      <w:r>
        <w:t>②防尘布或遮蔽位置的完好率必须大于95%；</w:t>
      </w:r>
    </w:p>
    <w:p>
      <w:pPr>
        <w:pStyle w:val="1659"/>
      </w:pPr>
      <w:r>
        <w:t>③小批量且在8小时之内投入使用的物料除外。</w:t>
      </w:r>
    </w:p>
    <w:p>
      <w:pPr>
        <w:pStyle w:val="1659"/>
      </w:pPr>
      <w:r>
        <w:t>5）定期喷洒抑制剂 施工现场应当有专人负责保洁工作，配备洒水设备，定期洒水清扫。</w:t>
      </w:r>
    </w:p>
    <w:p>
      <w:pPr>
        <w:pStyle w:val="1659"/>
      </w:pPr>
      <w:r>
        <w:t>（2）车辆、机械尾气</w:t>
      </w:r>
    </w:p>
    <w:p>
      <w:pPr>
        <w:pStyle w:val="1659"/>
      </w:pPr>
      <w:r>
        <w:t>施工期间，使用机动车运送原材料、设备和建筑机械设备的运转，均会排放一定量的CO、NOx以及未完全燃烧的THC等，属间断性无组织排放，并且，燃柴油的大 型运输车辆、推土机，尾气排放量与污染物含量较高，因此要求不得使用劣质燃料，平时做好车辆的保养和维护，使其能够正常的运行，提高设备燃料的利用率，同时减少怠速时间，减少尾气排放量。另外本项目施工场地开阔，扩散条件良好，工程完工后其污染影响消失。因此，运输车辆、施工机械废气对环境影响不大。</w:t>
      </w:r>
    </w:p>
    <w:p>
      <w:pPr>
        <w:pStyle w:val="1659"/>
      </w:pPr>
      <w:r>
        <w:t>（3）装修废气</w:t>
      </w:r>
    </w:p>
    <w:p>
      <w:pPr>
        <w:pStyle w:val="1659"/>
      </w:pPr>
      <w:r>
        <w:t>项目在装修时因切割装修材料等将产生扬尘，在装修过程中应加强对施工队伍的管理，加强室内的通风换气，条件允许情况下可采取洒水降尘等措施降低粉尘。施工期的装修废气主要来自墙体的粉尘及内屋的装修所用的涂料和油漆中的有机废气，属无组织排放。其主要成份为乙酸乙酯、乙酸丁酯、正丁酯、甲醛、甲苯、二甲苯、苯等，成份复杂。</w:t>
      </w:r>
    </w:p>
    <w:p>
      <w:pPr>
        <w:pStyle w:val="1659"/>
      </w:pPr>
      <w:r>
        <w:t>由于油漆异味的释放较缓慢，影响范围主要在建筑内，故产生的油漆异味对周围 保护目标的环境影响不明显。装修阶段的油漆废气排放周期短，且作业点分散。因此，在装修使用油漆期间，应加强室内的通风换气，油漆涂刷结束完成以后，也应每天进行通风换气一至二个月后才能使用。为减少油漆、涂料对项目的影响，对装修废气污染首先应在源头上进行控制，涂料及装修材料的选取应按照国家质检总局颁布的《室内装修材料10项有害物质限量》规定进行，选择无毒或低毒的环保产品或使用环保型的装修材料，并在条件允许的情况下放置一定时间后再使用，则装修废气对环境影响不大。</w:t>
      </w:r>
    </w:p>
    <w:p>
      <w:pPr>
        <w:pStyle w:val="1659"/>
        <w:rPr>
          <w:rFonts w:hint="eastAsia" w:eastAsia="宋体"/>
          <w:lang w:val="en-US" w:eastAsia="zh-CN"/>
        </w:rPr>
      </w:pPr>
      <w:r>
        <w:rPr>
          <w:rFonts w:hint="eastAsia"/>
          <w:lang w:val="en-US" w:eastAsia="zh-CN"/>
        </w:rPr>
        <w:t>（4）食堂油烟</w:t>
      </w:r>
    </w:p>
    <w:p>
      <w:pPr>
        <w:pStyle w:val="1659"/>
      </w:pPr>
      <w:r>
        <w:t>本项目施工营地，配套职工食堂，项目设置1个灶台，采用液化气作为能源，属于清洁能源。施工期食堂使用风量为8000m</w:t>
      </w:r>
      <w:r>
        <w:rPr>
          <w:vertAlign w:val="superscript"/>
        </w:rPr>
        <w:t>3</w:t>
      </w:r>
      <w:r>
        <w:t>/h的排风扇，油烟产生浓度为1.69mg/m3，满足《饮食业油烟排放标准》（GB18483-2001）小型标准值的最高允许排放浓度2.0mg/m</w:t>
      </w:r>
      <w:r>
        <w:rPr>
          <w:vertAlign w:val="superscript"/>
        </w:rPr>
        <w:t>3</w:t>
      </w:r>
      <w:r>
        <w:t>。项目施工期食堂以及冬季取暖的等能源建议使用清洁能源如电能、石油液化气等，减少大气污染物的排放。</w:t>
      </w:r>
    </w:p>
    <w:p>
      <w:pPr>
        <w:pStyle w:val="1659"/>
      </w:pPr>
      <w:r>
        <w:t>综上，经过上述方法，施工期废气对周围环境影响较小。</w:t>
      </w:r>
    </w:p>
    <w:p>
      <w:pPr>
        <w:pStyle w:val="6"/>
        <w:ind w:left="0" w:firstLine="0"/>
      </w:pPr>
      <w:bookmarkStart w:id="279" w:name="_Toc14592"/>
      <w:r>
        <w:rPr>
          <w:rFonts w:hint="eastAsia"/>
          <w:lang w:eastAsia="zh-CN"/>
        </w:rPr>
        <w:t>施工期水污染防治措施</w:t>
      </w:r>
      <w:bookmarkEnd w:id="279"/>
    </w:p>
    <w:p>
      <w:pPr>
        <w:pStyle w:val="1659"/>
      </w:pPr>
      <w:r>
        <w:t>项目设施工营地，施工期水污染物主要来自施工废水和生活污水。由于建设项目采用商品砼，不在现场搅拌混凝土，所以项目的施工废水主要来自基坑废水和混凝土构件养护等废水，施工生产废水悬浮物含量高，一般为2000~4000mg/L，评价建议施工期在项目低洼处设置沉淀池，根据现场具体情况，可设置2~3个沉淀池，容积大小在1~2m</w:t>
      </w:r>
      <w:r>
        <w:rPr>
          <w:vertAlign w:val="superscript"/>
        </w:rPr>
        <w:t>3</w:t>
      </w:r>
      <w:r>
        <w:t>左右，施工废水采用静置2h以上或加絮凝剂（FeSO</w:t>
      </w:r>
      <w:r>
        <w:rPr>
          <w:vertAlign w:val="subscript"/>
        </w:rPr>
        <w:t>4</w:t>
      </w:r>
      <w:r>
        <w:t>、Al</w:t>
      </w:r>
      <w:r>
        <w:rPr>
          <w:vertAlign w:val="subscript"/>
        </w:rPr>
        <w:t>2</w:t>
      </w:r>
      <w:r>
        <w:t>（SO</w:t>
      </w:r>
      <w:r>
        <w:rPr>
          <w:vertAlign w:val="subscript"/>
        </w:rPr>
        <w:t>4</w:t>
      </w:r>
      <w:r>
        <w:t>）</w:t>
      </w:r>
      <w:r>
        <w:rPr>
          <w:vertAlign w:val="subscript"/>
        </w:rPr>
        <w:t>3</w:t>
      </w:r>
      <w:r>
        <w:t>、FeCL</w:t>
      </w:r>
      <w:r>
        <w:rPr>
          <w:vertAlign w:val="subscript"/>
        </w:rPr>
        <w:t>3</w:t>
      </w:r>
      <w:r>
        <w:t>等）进行混凝沉淀的处理方法，废水中悬浮物含量将低于70mg/L，达到回用标准后全部回用于施工。</w:t>
      </w:r>
    </w:p>
    <w:p>
      <w:pPr>
        <w:pStyle w:val="1659"/>
      </w:pPr>
      <w:r>
        <w:t>施工期应在施工开挖作业面周围设置雨水沟，将作业区外地面雨水导排至地面水体，减少雨水对施工面的冲刷，减少施工废水产生量和排放量。</w:t>
      </w:r>
    </w:p>
    <w:p>
      <w:pPr>
        <w:pStyle w:val="1659"/>
      </w:pPr>
      <w:r>
        <w:t>施工期建筑施工人员的生活污水为量2.55m</w:t>
      </w:r>
      <w:r>
        <w:rPr>
          <w:vertAlign w:val="superscript"/>
        </w:rPr>
        <w:t>3</w:t>
      </w:r>
      <w:r>
        <w:t>/d。按一般生活污水中污染物浓度估算，污水中含主要污染物SS250mg/L、COD220mg/L、BOD</w:t>
      </w:r>
      <w:r>
        <w:rPr>
          <w:vertAlign w:val="subscript"/>
        </w:rPr>
        <w:t>5</w:t>
      </w:r>
      <w:r>
        <w:t>150mg/L、N</w:t>
      </w:r>
      <w:r>
        <w:rPr>
          <w:rFonts w:hint="eastAsia"/>
          <w:lang w:val="en-US" w:eastAsia="zh-CN"/>
        </w:rPr>
        <w:t>H</w:t>
      </w:r>
      <w:r>
        <w:rPr>
          <w:vertAlign w:val="subscript"/>
        </w:rPr>
        <w:t>3</w:t>
      </w:r>
      <w:r>
        <w:t>-N30mg/L。由于生活污水产生量较小，因此环评建议施工期施工人员洗脸洗手、蔬菜清洗等产生的较清净的废水用塑料桶收集后用于混凝土拌合和施工场地洒水降尘，施工人员产生的粪污采用防渗旱厕收集，定期清掏用作农肥。</w:t>
      </w:r>
    </w:p>
    <w:p>
      <w:pPr>
        <w:pStyle w:val="1659"/>
      </w:pPr>
      <w:r>
        <w:t>本项目施工期工程主要在地表进行，不会对地下水的流通途径造成重大影响。施工中应加强项目施工管理，在原料堆放场地边界设边沟，挖方应做到随挖随填，避免污染地下水。在项目设计和施工中重视产生废水的系统，做好基础和地坪防渗（固化），严格实施“清污分流”，防止污水渗漏污染地下水，同时项目区需要建设的化粪池、污水处理站按照规范化的图纸设计并施工，采取严格防渗措施，可防止其对地下水污染。</w:t>
      </w:r>
    </w:p>
    <w:p>
      <w:pPr>
        <w:pStyle w:val="6"/>
        <w:ind w:left="0" w:firstLine="0"/>
      </w:pPr>
      <w:bookmarkStart w:id="280" w:name="_Toc16799"/>
      <w:r>
        <w:rPr>
          <w:rFonts w:hint="eastAsia"/>
          <w:lang w:eastAsia="zh-CN"/>
        </w:rPr>
        <w:t>施工期固体废物防治措施</w:t>
      </w:r>
      <w:bookmarkEnd w:id="280"/>
    </w:p>
    <w:p>
      <w:pPr>
        <w:pStyle w:val="1659"/>
      </w:pPr>
      <w:r>
        <w:t>施工期间的固体废物主要是施工过程中产生的废弃土石方、建筑垃圾、及施工人员产生的生活垃圾等。</w:t>
      </w:r>
    </w:p>
    <w:p>
      <w:pPr>
        <w:pStyle w:val="1659"/>
      </w:pPr>
      <w:r>
        <w:t>项目产生的</w:t>
      </w:r>
      <w:r>
        <w:rPr>
          <w:rFonts w:hint="eastAsia"/>
          <w:lang w:eastAsia="zh-CN"/>
        </w:rPr>
        <w:t>土石方填挖平衡</w:t>
      </w:r>
      <w:r>
        <w:t>，项目施工表土应单独剥离单独存放，并利用土工布覆盖，用于后期绿化覆土使用。</w:t>
      </w:r>
    </w:p>
    <w:p>
      <w:pPr>
        <w:pStyle w:val="1659"/>
      </w:pPr>
      <w:r>
        <w:t>对施工期间产生的建筑垃圾进行分类收集、分类暂存，能够回收利用的尽量回收综合利用，以节约宝贵的资源；不可回收利用的部分运往城管部门指定的建筑垃圾消纳所堆放。胶渣、漆渣、废油漆桶、废胶桶、擦漆（胶）废布等危险固废应统一收集，交由有资质的单位处理。</w:t>
      </w:r>
    </w:p>
    <w:p>
      <w:pPr>
        <w:pStyle w:val="1659"/>
      </w:pPr>
      <w:r>
        <w:t>施工期生活垃圾及时收集到指定的垃圾箱（桶）内，定期清运至环卫部门指定地点。</w:t>
      </w:r>
    </w:p>
    <w:p>
      <w:pPr>
        <w:pStyle w:val="6"/>
        <w:ind w:left="0" w:firstLine="0"/>
      </w:pPr>
      <w:bookmarkStart w:id="281" w:name="_Toc32493"/>
      <w:r>
        <w:rPr>
          <w:rFonts w:hint="eastAsia"/>
          <w:lang w:eastAsia="zh-CN"/>
        </w:rPr>
        <w:t>施工期生态环境保护措施</w:t>
      </w:r>
      <w:bookmarkEnd w:id="281"/>
    </w:p>
    <w:p>
      <w:pPr>
        <w:pStyle w:val="1659"/>
      </w:pPr>
      <w:r>
        <w:t>1、减少占地和扰动 避免高填深埋，做到少取土，少弃土，少占地，搞好挖填土方平衡，最大限度的减少临时用地。在项目建设充分利用项目地块内原有的地形地貌，依山就势进行规划设计，在尽量少破坏原有生态的基础上营造好的环境。</w:t>
      </w:r>
    </w:p>
    <w:p>
      <w:pPr>
        <w:pStyle w:val="1659"/>
      </w:pPr>
      <w:r>
        <w:t>2、对土壤的保护 施工期应尽可能通过集中堆存等方式保护开挖产生的表层熟化土壤，杜绝随意堆弃造成水土流失和资源浪费，做到物尽其用。待施工结束后，将其作为绿化和植被恢复用土，使其得到充分有效的利用。</w:t>
      </w:r>
    </w:p>
    <w:p>
      <w:pPr>
        <w:pStyle w:val="1659"/>
      </w:pPr>
      <w:r>
        <w:t>3、水土流失防治措施</w:t>
      </w:r>
    </w:p>
    <w:p>
      <w:pPr>
        <w:pStyle w:val="1659"/>
      </w:pPr>
      <w:r>
        <w:t>（1）进一步优化主体工程设计，在既保证主体工程顺利施工的条件下，同时兼顾水土保持的要求。尽量减少土石方开挖和废弃土石渣的堆放，防止废弃渣土乱堆乱放。</w:t>
      </w:r>
    </w:p>
    <w:p>
      <w:pPr>
        <w:pStyle w:val="1659"/>
      </w:pPr>
      <w:r>
        <w:t>（2）规范施工程序，优化施工组织和施工工艺。合理安排施工时序，尽量缩短施工工期，减少疏松地面的裸露时间；尽量避开雨季施工，适时开挖，减轻施工期造成的水土流失。增加土石方移动过程中临时处理措施，完善边坡挡土工程、护坡工程。修建临时性围墙封闭施工，将水土流失尽量控制在项目区内进行防治。既有利于阻挡水、土外流，防止对四周造成危害，又有利于施工管理。</w:t>
      </w:r>
    </w:p>
    <w:p>
      <w:pPr>
        <w:pStyle w:val="1659"/>
      </w:pPr>
      <w:r>
        <w:t>（3）增加临时排水措施和沉砂池工程。本工程全面扰动地表，施工建设期土体裸 露面积大、裸露时间长，雨季易产生严重水土流失，因此在采取永久性防治措施之前，应采取临时性措施，控制施工期水土流失。</w:t>
      </w:r>
    </w:p>
    <w:p>
      <w:pPr>
        <w:pStyle w:val="1659"/>
      </w:pPr>
      <w:r>
        <w:t>（4）划定表土临时堆置区。为了保护和充分利用不可再生的表土资源，提高工程 绿化时的造林成活率，减少工程绿化的造林成本，须设置表土临时堆置区，并对其采 取临时性水土保持措施防止水土流失。在项目场地平整前，剥离场内部分表层腐殖土并集中堆置，并采取必要的防护，待工程基本建成后将腐殖土覆盖在绿化区域。</w:t>
      </w:r>
    </w:p>
    <w:p>
      <w:pPr>
        <w:pStyle w:val="1659"/>
      </w:pPr>
      <w:r>
        <w:t>（5）工程各处开挖裸露除被建筑物、道路占用外，尽可能全部恢复植被，减少水土流失，做到水土流失治理与景观保护相互统一，通过采用乔、灌、草立体绿化、美化等措施防治水土流失，美化项目区环境，使景观得到优化，环境得到改善。</w:t>
      </w:r>
    </w:p>
    <w:p>
      <w:pPr>
        <w:pStyle w:val="1659"/>
      </w:pPr>
      <w:r>
        <w:t>（6）项目建设应满足消防及交通要求，避免改沟改路，尤其应防止沟渠受截而使水流冲刷改道，造成水土流失。</w:t>
      </w:r>
    </w:p>
    <w:p>
      <w:pPr>
        <w:pStyle w:val="5"/>
        <w:spacing w:before="156" w:after="156"/>
      </w:pPr>
      <w:bookmarkStart w:id="282" w:name="_Toc304"/>
      <w:r>
        <w:rPr>
          <w:rFonts w:hint="eastAsia"/>
          <w:lang w:eastAsia="zh-CN"/>
        </w:rPr>
        <w:t>营运期环境保护措施及可行性分析</w:t>
      </w:r>
      <w:bookmarkEnd w:id="282"/>
    </w:p>
    <w:p>
      <w:pPr>
        <w:pStyle w:val="6"/>
        <w:ind w:left="0" w:firstLine="0"/>
      </w:pPr>
      <w:bookmarkStart w:id="283" w:name="_Toc19667"/>
      <w:r>
        <w:rPr>
          <w:rFonts w:hint="eastAsia"/>
          <w:lang w:eastAsia="zh-CN"/>
        </w:rPr>
        <w:t>营运期大气污染防治措施</w:t>
      </w:r>
      <w:bookmarkEnd w:id="283"/>
    </w:p>
    <w:p>
      <w:pPr>
        <w:pStyle w:val="1659"/>
      </w:pPr>
      <w:r>
        <w:t>（1）锅炉烟气</w:t>
      </w:r>
    </w:p>
    <w:p>
      <w:pPr>
        <w:pStyle w:val="1659"/>
      </w:pPr>
      <w:r>
        <w:t>项目蒸汽锅炉采用天然气作为热源，天然气作为清洁能源，燃烧废气中主要大气污染物成分为SO2、NOx。项目蒸汽锅炉使用过程天然气燃烧废气15m高排气筒排放，废气主要污染物SO2、NOx排放速率及浓度均能够满足《大气污染物综合排放标准》（GB16297-1996）表2的二级标准限值要求。</w:t>
      </w:r>
    </w:p>
    <w:p>
      <w:pPr>
        <w:pStyle w:val="1659"/>
      </w:pPr>
      <w:r>
        <w:t>（3）发电机组废气</w:t>
      </w:r>
    </w:p>
    <w:p>
      <w:pPr>
        <w:pStyle w:val="1659"/>
      </w:pPr>
      <w:r>
        <w:t>应急柴油发电机设置于专用发电机内，发电机只有在停电时或紧急用电时才使用，故使用频率不高，产生的少量废气，经自身携带的废气净化装置处理后经抽排风系统抽至配电房顶排放，排放口设置朝向绿化，对环境无明显影响。</w:t>
      </w:r>
    </w:p>
    <w:p>
      <w:pPr>
        <w:pStyle w:val="1659"/>
      </w:pPr>
      <w:r>
        <w:t>（3）食堂油烟防治措施</w:t>
      </w:r>
    </w:p>
    <w:p>
      <w:pPr>
        <w:pStyle w:val="1659"/>
      </w:pPr>
      <w:r>
        <w:t>项目食堂设置2个灶头，其上方分别安装了集气罩。油烟经过油烟净化器净化后引至排放，其精华效率不低于85%，场地地势开阔且通风条件良好，满足《饮食业油烟排放标准》（GB18483‐2001）中的有关要求。因此油烟对周边环境影响 较小，防治措施可行。</w:t>
      </w:r>
    </w:p>
    <w:p>
      <w:pPr>
        <w:pStyle w:val="1659"/>
      </w:pPr>
      <w:r>
        <w:t>（4）异味及恶臭</w:t>
      </w:r>
    </w:p>
    <w:p>
      <w:pPr>
        <w:pStyle w:val="1659"/>
      </w:pPr>
      <w:r>
        <w:t>①待宰圈</w:t>
      </w:r>
    </w:p>
    <w:p>
      <w:pPr>
        <w:pStyle w:val="1659"/>
      </w:pPr>
      <w:r>
        <w:t>牛待宰圈最大存栏量为牛300头，由于待宰圈内牛不再进食。因此产生的粪便量较少，可减少部分废气排放。待宰圈臭气主要成分为NH3、H2S、硫醇类及胺类气体；因此，建设单位应建设封闭式厂房，并采取机械通风排风的方式加强厂房的空气流通，厂房排气经活性炭吸 附除臭后再排放。对于待宰圈内产生的粪便，采用干粪清扫后，用过氧化氢和高锰酸钾等强氧化剂和杀菌剂清除微生物产生的恶臭味或化学氧化臭味物质，并在 待宰圈四周建设绿化带吸收部分臭气。</w:t>
      </w:r>
    </w:p>
    <w:p>
      <w:pPr>
        <w:pStyle w:val="1659"/>
      </w:pPr>
      <w:r>
        <w:t>②屠宰间臭气</w:t>
      </w:r>
    </w:p>
    <w:p>
      <w:pPr>
        <w:pStyle w:val="1659"/>
      </w:pPr>
      <w:r>
        <w:t>屠宰间需满足相应洁净度要求，按照《食品企业通用卫生规范》（GB14881‐94）要求进行建设，本项目采取机械通风排风的方式，满足洁净区工程人员新风要求，维持洁净区必要的正压。厂房排气经活性炭吸附除臭后再排放。厂房内采用过氧化氢和高锰酸钾等强氧化剂和杀菌剂清除微生物产生的恶臭味或化学氧化臭味物质，并在围墙周建设绿化四带吸收部分臭气。</w:t>
      </w:r>
    </w:p>
    <w:p>
      <w:pPr>
        <w:pStyle w:val="1659"/>
      </w:pPr>
      <w:r>
        <w:t>（5）污水处理站恶臭</w:t>
      </w:r>
    </w:p>
    <w:p>
      <w:pPr>
        <w:pStyle w:val="1659"/>
      </w:pPr>
      <w:r>
        <w:t>屠宰废水处理过程有较强的臭气产生，主要来源为预处理区、生化处理区和污泥处理区三部分，对工作人员健康及周围环境带来危害；根据《屠宰与肉类加工废水治理工程技术规范》（HJ 2004‐2010）要求，污水处理站应设置除臭设施，对主要构筑物的恶臭气体进行收集处理，减轻污水处理站对周围环境的影响。</w:t>
      </w:r>
    </w:p>
    <w:p>
      <w:pPr>
        <w:pStyle w:val="1659"/>
      </w:pPr>
      <w:r>
        <w:t>综合考虑投资、用地面积、工艺成熟度、建设运行成本等因素后，污水处理站除臭工艺推荐采用“生物除臭工艺”：对污水处理站恶臭构筑物进行密闭（加盖），然后通过引风机抽风收集建（构）筑物的恶臭气体，并将所收集恶臭气体送入生物除臭装置进行除臭处理，处理后气体通过15m高的排气筒排放。生物除臭是利用微生物细胞对恶臭物质的吸附、吸收和降解功能，对臭气进行处理的一种工艺。主要过程如下：通过收集管道，抽风机将臭气收集到生物滤池除臭装置，臭气经过加湿器进行加湿后，进入生物滤池池体，后经过填料微生物的吸附、吸收和降解，将臭气成分去除。</w:t>
      </w:r>
    </w:p>
    <w:p>
      <w:pPr>
        <w:pStyle w:val="1659"/>
      </w:pPr>
      <w:r>
        <w:t>生物除臭工艺具有应用范围广、去除率高、运行管理方便、运作成本低、维修少、无需使用有害的化学药品、处理后无二次污染、使用寿命长等优点，除臭效率一般大于85%（本项目保守估算，以80%计），被广泛应用于污水厂臭气处理工程中，可达到预期的除臭效果。本评价要求，污水处理站恶臭处理工程应委托有资质单位进行设计、施工。</w:t>
      </w:r>
    </w:p>
    <w:p>
      <w:pPr>
        <w:pStyle w:val="1659"/>
      </w:pPr>
      <w:r>
        <w:t>此外，在污水处理站运行后应加强管理，污泥脱水后要及时清运，清运污泥应使用全封闭的环保车辆；应定时清洗污泥脱水机；隔栅所截留的固废要及时清运。</w:t>
      </w:r>
    </w:p>
    <w:p>
      <w:pPr>
        <w:pStyle w:val="1659"/>
      </w:pPr>
      <w:r>
        <w:t>（6）防护距离</w:t>
      </w:r>
    </w:p>
    <w:p>
      <w:pPr>
        <w:pStyle w:val="1659"/>
      </w:pPr>
      <w:r>
        <w:t>项目以待宰圈、屠宰区、污水处理站为边界设置</w:t>
      </w:r>
      <w:r>
        <w:rPr>
          <w:rFonts w:hint="eastAsia"/>
          <w:lang w:val="en-US" w:eastAsia="zh-CN"/>
        </w:rPr>
        <w:t>1</w:t>
      </w:r>
      <w:r>
        <w:t>00m卫生防护距离，在卫生防护距离控制范围内不得新建居住区、医院、学校等大气敏感目标。</w:t>
      </w:r>
    </w:p>
    <w:p>
      <w:pPr>
        <w:pStyle w:val="6"/>
        <w:ind w:left="0" w:firstLine="0"/>
      </w:pPr>
      <w:bookmarkStart w:id="284" w:name="_Toc12243"/>
      <w:r>
        <w:rPr>
          <w:rFonts w:hint="eastAsia"/>
          <w:lang w:eastAsia="zh-CN"/>
        </w:rPr>
        <w:t>营运期水污染防治措施可行性分析</w:t>
      </w:r>
      <w:bookmarkEnd w:id="284"/>
    </w:p>
    <w:p>
      <w:pPr>
        <w:pStyle w:val="7"/>
      </w:pPr>
      <w:bookmarkStart w:id="285" w:name="_Toc15755"/>
      <w:r>
        <w:t>废水</w:t>
      </w:r>
      <w:r>
        <w:rPr>
          <w:rFonts w:hint="eastAsia"/>
          <w:lang w:eastAsia="zh-CN"/>
        </w:rPr>
        <w:t>产生情况</w:t>
      </w:r>
      <w:bookmarkEnd w:id="285"/>
    </w:p>
    <w:p>
      <w:pPr>
        <w:pStyle w:val="1659"/>
      </w:pPr>
      <w:r>
        <w:t>项目全场废水污染源包括屠宰废水、生活污水等；场区排水采取雨污分流、清污分流方式，分别设置雨水排水系统、生活污水排水系统及屠宰废水排放系统。厂区生活污水经隔油池、化粪池预处理后同屠宰废水一同进入自建污水处理站预处理达《肉类加工工业水污染物排放标准》（GB13457‐92）中的</w:t>
      </w:r>
      <w:r>
        <w:rPr>
          <w:rFonts w:hint="eastAsia"/>
          <w:lang w:eastAsia="zh-CN"/>
        </w:rPr>
        <w:t>一</w:t>
      </w:r>
      <w:r>
        <w:t>级排放标准后，纳入</w:t>
      </w:r>
      <w:r>
        <w:rPr>
          <w:rFonts w:hint="eastAsia"/>
          <w:lang w:eastAsia="zh-CN"/>
        </w:rPr>
        <w:t>万屯镇</w:t>
      </w:r>
      <w:r>
        <w:t>污水处理厂处理，尾水达到《城镇污水处理厂污染物排放标准》（GB18918‐2002）中一级A标准后外排。</w:t>
      </w:r>
    </w:p>
    <w:p>
      <w:pPr>
        <w:pStyle w:val="7"/>
      </w:pPr>
      <w:bookmarkStart w:id="286" w:name="_Toc5862"/>
      <w:r>
        <w:t>废水</w:t>
      </w:r>
      <w:r>
        <w:rPr>
          <w:rFonts w:hint="eastAsia"/>
          <w:lang w:eastAsia="zh-CN"/>
        </w:rPr>
        <w:t>处理工艺</w:t>
      </w:r>
      <w:bookmarkEnd w:id="286"/>
    </w:p>
    <w:p>
      <w:pPr>
        <w:pStyle w:val="1659"/>
      </w:pPr>
      <w:r>
        <w:t>厂区废水进入格栅池经机械格栅去除残渣、粪便、肉屑、内脏等大颗粒物质 及部分固体杂质；而后污水经提升泵提升进入隔油沉砂池，去除油脂及进一步去除污水中的砂粒；之后污水进入调节池，在调节池中均衡水质水量。气浮池出水进入水解酸化池+接触氧化池生物降解；水解酸化池对废水中难</w:t>
      </w:r>
    </w:p>
    <w:p>
      <w:pPr>
        <w:pStyle w:val="1659"/>
      </w:pPr>
      <w:r>
        <w:t>降解的物质进行分解，改善污水可生化性；接触氧化池中悬挂供好氧菌栖息的弹性立体填料，有机污染物在好氧微生物的作用下降解为CO</w:t>
      </w:r>
      <w:r>
        <w:rPr>
          <w:vertAlign w:val="subscript"/>
        </w:rPr>
        <w:t>2</w:t>
      </w:r>
      <w:r>
        <w:t>、H</w:t>
      </w:r>
      <w:r>
        <w:rPr>
          <w:vertAlign w:val="subscript"/>
        </w:rPr>
        <w:t>2</w:t>
      </w:r>
      <w:r>
        <w:t>O等无机物，使废水进一步得到净化；出水进入二沉池进行泥水分离，出水经消毒后达标排放，沉淀污泥部分回流至水解酸化池，部分经污泥泵进入污泥浓缩池，污泥经过浓缩、脱水后外运处置。</w:t>
      </w:r>
    </w:p>
    <w:p>
      <w:pPr>
        <w:pStyle w:val="1659"/>
      </w:pPr>
      <w:r>
        <w:t>现今屠宰废水处理方案一模一样的案例不多，但大多采用除油+厌氧（缺氧）+好氧的方式，最终处理效率都能达标，差别在于除油、厌氧、好氧各单元采用的具体方式和工艺、运行参数不同。本项目所选处理工艺是十分成熟的工艺，也是《屠宰与肉类加工废水治理工程技术规范》（HJ2004‐2010）中推荐的工艺，在处理屠宰废水方面有许多成功的例子；该工艺其主要优点是管理较为简单，耐冲击负荷高，运行较稳定，较易实现自动控制，投资也较省。该污水处理工艺在国内屠宰及肉类加工企业广泛运用，能够实现达标排放，本工艺技术具有技术可行性。</w:t>
      </w:r>
    </w:p>
    <w:p>
      <w:pPr>
        <w:pStyle w:val="1659"/>
      </w:pPr>
      <w:r>
        <w:t>本项目拟建污水处理站投资约</w:t>
      </w:r>
      <w:r>
        <w:rPr>
          <w:rFonts w:hint="eastAsia"/>
          <w:lang w:val="en-US" w:eastAsia="zh-CN"/>
        </w:rPr>
        <w:t>120</w:t>
      </w:r>
      <w:r>
        <w:t>万元，工可研究阶段就予以纳入工程总投 资中，因此，在经济上是可行的。</w:t>
      </w:r>
    </w:p>
    <w:p>
      <w:pPr>
        <w:pStyle w:val="7"/>
      </w:pPr>
      <w:bookmarkStart w:id="287" w:name="_Toc20287"/>
      <w:r>
        <w:rPr>
          <w:rFonts w:hint="eastAsia"/>
          <w:lang w:eastAsia="zh-CN"/>
        </w:rPr>
        <w:t>纳管可行性</w:t>
      </w:r>
      <w:bookmarkEnd w:id="287"/>
    </w:p>
    <w:p>
      <w:pPr>
        <w:pStyle w:val="1659"/>
        <w:rPr>
          <w:rFonts w:hint="eastAsia" w:eastAsia="宋体"/>
          <w:lang w:eastAsia="zh-CN"/>
        </w:rPr>
      </w:pPr>
      <w:r>
        <w:rPr>
          <w:rFonts w:hint="eastAsia"/>
          <w:lang w:eastAsia="zh-CN"/>
        </w:rPr>
        <w:t>本项目废水经处理达到《肉类加工工业水污染物排放标准》（GB13457-1992）表3中一级排放标准后通过专管排入万屯镇污水处理厂，本项目属于万屯镇污水处理厂纳污范围内，符合规划要求；另外本项目的废水量相对较小，不会对万屯镇污水处理厂产生负荷性冲击。故评价认为营运后产生的废水进入污水处理厂是可行的。</w:t>
      </w:r>
    </w:p>
    <w:p>
      <w:pPr>
        <w:pStyle w:val="6"/>
        <w:ind w:left="0" w:firstLine="0"/>
      </w:pPr>
      <w:bookmarkStart w:id="288" w:name="_Toc13607"/>
      <w:r>
        <w:rPr>
          <w:rFonts w:hint="eastAsia"/>
          <w:lang w:eastAsia="zh-CN"/>
        </w:rPr>
        <w:t>噪声防治措施可行性分析</w:t>
      </w:r>
      <w:bookmarkEnd w:id="288"/>
    </w:p>
    <w:p>
      <w:pPr>
        <w:pStyle w:val="1659"/>
      </w:pPr>
      <w:r>
        <w:t>本项目营运期主要噪声污染源为水泵房、屠宰加工设备、制冷系统、污水处理站等设备噪声；牲畜待宰及屠宰过程中产生的叫声，噪声源强为65‐95dB（A）。</w:t>
      </w:r>
    </w:p>
    <w:p>
      <w:pPr>
        <w:pStyle w:val="1659"/>
      </w:pPr>
      <w:r>
        <w:t>（1）生产设备噪声控制</w:t>
      </w:r>
    </w:p>
    <w:p>
      <w:pPr>
        <w:pStyle w:val="1659"/>
      </w:pPr>
      <w:r>
        <w:t>①尽可能选用低噪声设备，禁用国家和地方明确淘汰落后的高噪声设备和工艺工艺。</w:t>
      </w:r>
    </w:p>
    <w:p>
      <w:pPr>
        <w:pStyle w:val="1659"/>
      </w:pPr>
      <w:r>
        <w:t>②合理布局，高噪声设备尽可能远离厂界。</w:t>
      </w:r>
    </w:p>
    <w:p>
      <w:pPr>
        <w:pStyle w:val="1659"/>
      </w:pPr>
      <w:r>
        <w:t>③对主要噪声设备进一步采取隔声、吸声、消声、隔振等有效技术手段及综合治理措施，以抑制噪声扩散。</w:t>
      </w:r>
    </w:p>
    <w:p>
      <w:pPr>
        <w:pStyle w:val="1659"/>
      </w:pPr>
      <w:r>
        <w:t>④噪声的产生与机械设备的运行情况也有很大关系，企业应加强设备运行管，对各机械设备应定期检查、维修，使各机械设备保持良好的工作状态，避免 因设备运转不正常时噪声的增高。</w:t>
      </w:r>
    </w:p>
    <w:p>
      <w:pPr>
        <w:pStyle w:val="1659"/>
      </w:pPr>
      <w:r>
        <w:t>（2）牲畜叫声控制</w:t>
      </w:r>
    </w:p>
    <w:p>
      <w:pPr>
        <w:pStyle w:val="1659"/>
      </w:pPr>
      <w:r>
        <w:t>①应避免或减少外界噪声等对待宰区的干扰，以缓解牲畜的紧张情绪。</w:t>
      </w:r>
    </w:p>
    <w:p>
      <w:pPr>
        <w:pStyle w:val="1659"/>
      </w:pPr>
      <w:r>
        <w:t>②牲畜致晕后应及时屠宰，尽量缩短牲畜在屠宰线上的存活时间，使牲畜尽 量做到不叫或少叫。</w:t>
      </w:r>
    </w:p>
    <w:p>
      <w:pPr>
        <w:pStyle w:val="1659"/>
      </w:pPr>
      <w:r>
        <w:t>（3）其他</w:t>
      </w:r>
      <w:r>
        <w:rPr>
          <w:rFonts w:hint="eastAsia"/>
          <w:lang w:eastAsia="zh-CN"/>
        </w:rPr>
        <w:t>：</w:t>
      </w:r>
      <w:r>
        <w:t>厂区周围建设一定高度的围墙，切实做好绿化，在车间及厂界周围种植高大植物，通过生态加强措施来减轻噪声对周围环境的影响。采取以上噪声治理措施后，经预测，厂区内各噪声源的噪声值叠加后可达到《工业企业厂界噪声标准》(GB12348-2008)中2类区要求（昼间 60dB(A)，夜间50dB(A)），噪声治理措施可行。</w:t>
      </w:r>
    </w:p>
    <w:p>
      <w:pPr>
        <w:pStyle w:val="6"/>
        <w:ind w:left="0" w:firstLine="0"/>
      </w:pPr>
      <w:bookmarkStart w:id="289" w:name="_Toc516"/>
      <w:r>
        <w:rPr>
          <w:rFonts w:hint="eastAsia"/>
          <w:lang w:eastAsia="zh-CN"/>
        </w:rPr>
        <w:t>营运期固体废弃物防治措施</w:t>
      </w:r>
      <w:bookmarkEnd w:id="289"/>
    </w:p>
    <w:p>
      <w:pPr>
        <w:pStyle w:val="1659"/>
      </w:pPr>
      <w:r>
        <w:rPr>
          <w:rFonts w:hint="eastAsia"/>
          <w:lang w:eastAsia="zh-CN"/>
        </w:rPr>
        <w:t>（</w:t>
      </w:r>
      <w:r>
        <w:rPr>
          <w:rFonts w:hint="eastAsia"/>
          <w:lang w:val="en-US" w:eastAsia="zh-CN"/>
        </w:rPr>
        <w:t>1</w:t>
      </w:r>
      <w:r>
        <w:rPr>
          <w:rFonts w:hint="eastAsia"/>
          <w:lang w:eastAsia="zh-CN"/>
        </w:rPr>
        <w:t>）</w:t>
      </w:r>
      <w:r>
        <w:t>病害牲畜及其胴体</w:t>
      </w:r>
    </w:p>
    <w:p>
      <w:pPr>
        <w:pStyle w:val="1659"/>
      </w:pPr>
      <w:r>
        <w:t>本项目产生病死牲畜和病死牲畜产品；为防止动物疫病传播扩散，保障产品质量安全，根据《中华人民共和国动物防疫法》等有关法律法规，屠宰前确认的病害牲畜、屠宰过程中经检疫或肉品品质检验确认为不可食用的牲畜产品，应及时采取无害化处理，严禁转运出售。不合格胴体委托</w:t>
      </w:r>
      <w:r>
        <w:rPr>
          <w:rFonts w:hint="eastAsia"/>
          <w:lang w:eastAsia="zh-CN"/>
        </w:rPr>
        <w:t>有资质单位</w:t>
      </w:r>
      <w:r>
        <w:t>进行无害化处置。本项目根据《贵州省牲畜屠宰条例》（2015年7月31日修正）设置隔离间和急宰间，当进场牲畜检疫过程中发现牲畜携带疫情，则迅速送入隔离间，按照《重大动物疫情应急条例》（国务院第450号令）相关规定对疫区污染并或疑似传染病的动物进行扑杀后，及时进行急宰分割，委托遵义市益农农业资源循环利用有限公司进行无害化处置，防止疫情扩散。</w:t>
      </w:r>
    </w:p>
    <w:p>
      <w:pPr>
        <w:pStyle w:val="1659"/>
      </w:pPr>
      <w:r>
        <w:rPr>
          <w:rFonts w:hint="eastAsia"/>
          <w:lang w:eastAsia="zh-CN"/>
        </w:rPr>
        <w:t>（</w:t>
      </w:r>
      <w:r>
        <w:rPr>
          <w:rFonts w:hint="eastAsia"/>
          <w:lang w:val="en-US" w:eastAsia="zh-CN"/>
        </w:rPr>
        <w:t>2</w:t>
      </w:r>
      <w:r>
        <w:rPr>
          <w:rFonts w:hint="eastAsia"/>
          <w:lang w:eastAsia="zh-CN"/>
        </w:rPr>
        <w:t>）</w:t>
      </w:r>
      <w:r>
        <w:t>粪便及屠宰过程中开膛、内脏冲洗产生的胃肠内容物待宰区应采用干清粪工艺，干粪由机械或人工收集、清扫，与屠宰过程中开膛、内脏冲洗产生的胃肠内容物等统一运至堆肥间暂存；日产日清，及时运送至 有机肥厂做为生产原料使用。</w:t>
      </w:r>
    </w:p>
    <w:p>
      <w:pPr>
        <w:pStyle w:val="1659"/>
      </w:pPr>
      <w:r>
        <w:rPr>
          <w:rFonts w:hint="eastAsia"/>
          <w:lang w:eastAsia="zh-CN"/>
        </w:rPr>
        <w:t>（</w:t>
      </w:r>
      <w:r>
        <w:rPr>
          <w:rFonts w:hint="eastAsia"/>
          <w:lang w:val="en-US" w:eastAsia="zh-CN"/>
        </w:rPr>
        <w:t>3</w:t>
      </w:r>
      <w:r>
        <w:rPr>
          <w:rFonts w:hint="eastAsia"/>
          <w:lang w:eastAsia="zh-CN"/>
        </w:rPr>
        <w:t>）</w:t>
      </w:r>
      <w:r>
        <w:t>屠宰废物</w:t>
      </w:r>
    </w:p>
    <w:p>
      <w:pPr>
        <w:pStyle w:val="1659"/>
      </w:pPr>
      <w:r>
        <w:t>屠宰过程产生的牛皮、羊皮、羊毛、蹄壳等经晾晒后可外卖作资源化利用，或存储于牛、羊保管圈；屠宰过程中产生的不可利用内脏经收集后进行无害化处置。</w:t>
      </w:r>
    </w:p>
    <w:p>
      <w:pPr>
        <w:pStyle w:val="1659"/>
      </w:pPr>
      <w:r>
        <w:rPr>
          <w:rFonts w:hint="eastAsia"/>
          <w:lang w:eastAsia="zh-CN"/>
        </w:rPr>
        <w:t>（</w:t>
      </w:r>
      <w:r>
        <w:rPr>
          <w:rFonts w:hint="eastAsia"/>
          <w:lang w:val="en-US" w:eastAsia="zh-CN"/>
        </w:rPr>
        <w:t>4</w:t>
      </w:r>
      <w:r>
        <w:rPr>
          <w:rFonts w:hint="eastAsia"/>
          <w:lang w:eastAsia="zh-CN"/>
        </w:rPr>
        <w:t>）</w:t>
      </w:r>
      <w:r>
        <w:t>污水处理站固废</w:t>
      </w:r>
    </w:p>
    <w:p>
      <w:pPr>
        <w:pStyle w:val="1659"/>
      </w:pPr>
      <w:r>
        <w:t>污水处理站产生固废主要为栅渣、沉砂、废动植物油和污泥，其中废动植物油应由具有餐厨垃圾处置的资质单位妥善处理，其余固废均清运至附近的生活垃圾转运站集中处理。</w:t>
      </w:r>
    </w:p>
    <w:p>
      <w:pPr>
        <w:pStyle w:val="1659"/>
      </w:pPr>
      <w:r>
        <w:rPr>
          <w:rFonts w:hint="eastAsia"/>
          <w:lang w:eastAsia="zh-CN"/>
        </w:rPr>
        <w:t>（</w:t>
      </w:r>
      <w:r>
        <w:rPr>
          <w:rFonts w:hint="eastAsia"/>
          <w:lang w:val="en-US" w:eastAsia="zh-CN"/>
        </w:rPr>
        <w:t>5</w:t>
      </w:r>
      <w:r>
        <w:rPr>
          <w:rFonts w:hint="eastAsia"/>
          <w:lang w:eastAsia="zh-CN"/>
        </w:rPr>
        <w:t>）</w:t>
      </w:r>
      <w:r>
        <w:t>生活垃圾</w:t>
      </w:r>
    </w:p>
    <w:p>
      <w:pPr>
        <w:pStyle w:val="1659"/>
      </w:pPr>
      <w:r>
        <w:t>生活垃圾经袋装收集后送附近村镇生活垃圾转运站，由环卫部门统一清运处理。</w:t>
      </w:r>
    </w:p>
    <w:p>
      <w:pPr>
        <w:pStyle w:val="1659"/>
      </w:pPr>
      <w:r>
        <w:t>项目建成后各种固体废弃物对应的处理措施在国内各屠宰企业中运行多年，被证明是行之有效的固废综合处置措施，均具有可操作性，因此，本项目固废处置措施是合理、可靠的。评价认为，只要在工作中将各项处理措施落到实处，各种固废均得到妥善处理，对环境影响较小，该治理措施可行。</w:t>
      </w:r>
    </w:p>
    <w:p>
      <w:pPr>
        <w:pStyle w:val="6"/>
        <w:ind w:left="0" w:firstLine="0"/>
      </w:pPr>
      <w:bookmarkStart w:id="290" w:name="_Toc23904"/>
      <w:r>
        <w:rPr>
          <w:rFonts w:hint="eastAsia"/>
          <w:lang w:eastAsia="zh-CN"/>
        </w:rPr>
        <w:t>环境风险防范措施可行性分析</w:t>
      </w:r>
      <w:bookmarkEnd w:id="290"/>
    </w:p>
    <w:p>
      <w:pPr>
        <w:pStyle w:val="7"/>
      </w:pPr>
      <w:bookmarkStart w:id="291" w:name="_Toc3165"/>
      <w:r>
        <w:rPr>
          <w:rFonts w:hint="eastAsia"/>
          <w:lang w:eastAsia="zh-CN"/>
        </w:rPr>
        <w:t>危化品贮存风险防范措施</w:t>
      </w:r>
      <w:bookmarkEnd w:id="291"/>
    </w:p>
    <w:p>
      <w:pPr>
        <w:pStyle w:val="1659"/>
      </w:pPr>
      <w:r>
        <w:t>（1）氯酸钠、盐酸储罐区</w:t>
      </w:r>
    </w:p>
    <w:p>
      <w:pPr>
        <w:pStyle w:val="1659"/>
      </w:pPr>
      <w:r>
        <w:t>①控制与消除火源。</w:t>
      </w:r>
    </w:p>
    <w:p>
      <w:pPr>
        <w:pStyle w:val="1659"/>
      </w:pPr>
      <w:r>
        <w:t>②储罐的基础应无下沉、倾斜等异常现象，并采取防渗措施；储罐应由特种 设备检验机构定期检修，确保继续安全使用。</w:t>
      </w:r>
    </w:p>
    <w:p>
      <w:pPr>
        <w:pStyle w:val="1659"/>
      </w:pPr>
      <w:r>
        <w:t>③氯酸钠、盐酸储罐罐体必须分别设置围堰，围堰容积大小应分别不小于500L。</w:t>
      </w:r>
    </w:p>
    <w:p>
      <w:pPr>
        <w:pStyle w:val="1659"/>
      </w:pPr>
      <w:r>
        <w:t>④制定定点定时巡检制度；对于氯酸钠储罐、盐酸储罐和流通的管道、阀门等进行定期检查和更换，确保氯酸钠、盐酸不外溢和泄露。</w:t>
      </w:r>
    </w:p>
    <w:p>
      <w:pPr>
        <w:pStyle w:val="1659"/>
      </w:pPr>
      <w:r>
        <w:t>⑤操作尽可能机械化、自动化。此外，建议在加药间设立完善的监控系统，保证储罐泄露能第一时间发现。</w:t>
      </w:r>
    </w:p>
    <w:p>
      <w:pPr>
        <w:pStyle w:val="1659"/>
      </w:pPr>
      <w:r>
        <w:t>（2）二氧化氯发生器</w:t>
      </w:r>
    </w:p>
    <w:p>
      <w:pPr>
        <w:pStyle w:val="1659"/>
      </w:pPr>
      <w:r>
        <w:t>①二氧化氯发生、加药过程均为密闭、自动化操作，并在自动加药系统安装 自动监控装置及余氯泄漏报警装置。当有漏ClO</w:t>
      </w:r>
      <w:r>
        <w:rPr>
          <w:vertAlign w:val="subscript"/>
        </w:rPr>
        <w:t>2</w:t>
      </w:r>
      <w:r>
        <w:t>报警时，将相应报警信号将显示在监控机上，并同时自动启动中和装置；漏ClO</w:t>
      </w:r>
      <w:r>
        <w:rPr>
          <w:vertAlign w:val="subscript"/>
        </w:rPr>
        <w:t>2</w:t>
      </w:r>
      <w:r>
        <w:t>报警器安装在加药区域和ClO</w:t>
      </w:r>
      <w:r>
        <w:rPr>
          <w:vertAlign w:val="subscript"/>
        </w:rPr>
        <w:t>2</w:t>
      </w:r>
      <w:r>
        <w:t>区域之间，其相应报警信号将显示在监控机上。</w:t>
      </w:r>
    </w:p>
    <w:p>
      <w:pPr>
        <w:pStyle w:val="1659"/>
      </w:pPr>
      <w:r>
        <w:t>②二氧化氯生产过程严格按相应操作规程，操作要求进行。</w:t>
      </w:r>
    </w:p>
    <w:p>
      <w:pPr>
        <w:pStyle w:val="1659"/>
      </w:pPr>
      <w:r>
        <w:t>③定期对二氧化氯发生器等设备进行检修，确保反应器、气路系统、吸收系统的气密性，防止二氧化氯的溢出。</w:t>
      </w:r>
    </w:p>
    <w:p>
      <w:pPr>
        <w:pStyle w:val="1659"/>
      </w:pPr>
      <w:r>
        <w:t>（3）运输安全措施</w:t>
      </w:r>
    </w:p>
    <w:p>
      <w:pPr>
        <w:pStyle w:val="1659"/>
      </w:pPr>
      <w:r>
        <w:t>①严格执行《道路危险货物运输管理规定》及其他相关法律法规和安全操作规程。</w:t>
      </w:r>
    </w:p>
    <w:p>
      <w:pPr>
        <w:pStyle w:val="1659"/>
      </w:pPr>
      <w:r>
        <w:t>②运输车辆应当符合国家有关安全技术标准的要求，危险品装载符合国家有关标准和规范。</w:t>
      </w:r>
    </w:p>
    <w:p>
      <w:pPr>
        <w:pStyle w:val="7"/>
      </w:pPr>
      <w:bookmarkStart w:id="292" w:name="_Toc26468"/>
      <w:r>
        <w:rPr>
          <w:rFonts w:hint="eastAsia"/>
          <w:lang w:eastAsia="zh-CN"/>
        </w:rPr>
        <w:t>废水事故风险防范措施</w:t>
      </w:r>
      <w:bookmarkEnd w:id="292"/>
    </w:p>
    <w:p>
      <w:pPr>
        <w:pStyle w:val="1659"/>
      </w:pPr>
      <w:r>
        <w:t>（1）拟建污水处理站的设计、施工单位应具备国家相应工程设计资质、施工资质，各种机械设备、材料应符合国家或行业标准的规定，施工中所使用的设备、材料、器件等应符合相关的国家标准。</w:t>
      </w:r>
    </w:p>
    <w:p>
      <w:pPr>
        <w:pStyle w:val="1659"/>
      </w:pPr>
      <w:r>
        <w:t>（2）污水处理站设计时，调节池有效容积应考虑事故应急需要；污水处理站主要废水处理设施应按不少于两格或两组并联设计，主要或关键设备应考虑备用。</w:t>
      </w:r>
    </w:p>
    <w:p>
      <w:pPr>
        <w:pStyle w:val="1659"/>
      </w:pPr>
      <w:r>
        <w:t>（3）污水处理站安装废水在线监测设备。</w:t>
      </w:r>
    </w:p>
    <w:p>
      <w:pPr>
        <w:pStyle w:val="1659"/>
      </w:pPr>
      <w:r>
        <w:t>（4）废水处理站应建立明确的岗位责任制，各工种、岗位应按工艺特征和要求制定相应的安全操作规程、注意事项等。</w:t>
      </w:r>
    </w:p>
    <w:p>
      <w:pPr>
        <w:pStyle w:val="1659"/>
      </w:pPr>
      <w:r>
        <w:t>（5）废水处理站内应有必要的安全、报警等装置。</w:t>
      </w:r>
    </w:p>
    <w:p>
      <w:pPr>
        <w:pStyle w:val="1659"/>
      </w:pPr>
      <w:r>
        <w:t>（6）废水处理站应加强设备日常维护、保养与检修。</w:t>
      </w:r>
    </w:p>
    <w:p>
      <w:pPr>
        <w:pStyle w:val="7"/>
      </w:pPr>
      <w:bookmarkStart w:id="293" w:name="_Toc23753"/>
      <w:r>
        <w:rPr>
          <w:rFonts w:hint="eastAsia"/>
          <w:lang w:eastAsia="zh-CN"/>
        </w:rPr>
        <w:t>风险管理措施</w:t>
      </w:r>
      <w:bookmarkEnd w:id="293"/>
    </w:p>
    <w:p>
      <w:pPr>
        <w:pStyle w:val="1659"/>
      </w:pPr>
      <w:r>
        <w:t>（1）针对项目可能产生的突发环境事件制定相应的风险防范措施，纳入全场环境风险防范与应急管理体系。</w:t>
      </w:r>
    </w:p>
    <w:p>
      <w:pPr>
        <w:pStyle w:val="1659"/>
      </w:pPr>
      <w:r>
        <w:t>（2）制定相应的工艺规程、安全操作规程以及设备检修、维护保养制度。</w:t>
      </w:r>
    </w:p>
    <w:p>
      <w:pPr>
        <w:pStyle w:val="1659"/>
      </w:pPr>
      <w:r>
        <w:t>（3）编制突发环境事件应急预案，制定相应的应急处理措施，并配套相应的人力、设备、通讯等应急处理的必备条件；组织员工学习，定期开展环境应急演练。</w:t>
      </w:r>
    </w:p>
    <w:p>
      <w:pPr>
        <w:pStyle w:val="1659"/>
      </w:pPr>
      <w:r>
        <w:t>（4）建立环境风险隐患巡查制度，加强对各储罐、工程环保设施等的日常巡查。</w:t>
      </w:r>
    </w:p>
    <w:bookmarkEnd w:id="274"/>
    <w:p>
      <w:pPr>
        <w:pStyle w:val="5"/>
        <w:spacing w:before="156" w:after="156"/>
      </w:pPr>
      <w:bookmarkStart w:id="294" w:name="_Toc28124"/>
      <w:r>
        <w:rPr>
          <w:rFonts w:hint="eastAsia"/>
          <w:lang w:eastAsia="zh-CN"/>
        </w:rPr>
        <w:t>污染物治理措施一览表</w:t>
      </w:r>
      <w:bookmarkEnd w:id="294"/>
    </w:p>
    <w:p>
      <w:pPr>
        <w:pStyle w:val="1659"/>
      </w:pPr>
      <w:r>
        <w:t>项目污染物治理措施详见表</w:t>
      </w:r>
      <w:r>
        <w:rPr>
          <w:rFonts w:hint="eastAsia"/>
          <w:lang w:val="en-US" w:eastAsia="zh-CN"/>
        </w:rPr>
        <w:t>8.3</w:t>
      </w:r>
      <w:r>
        <w:t>-1。</w:t>
      </w:r>
    </w:p>
    <w:p>
      <w:pPr>
        <w:pStyle w:val="23"/>
        <w:keepNext/>
        <w:spacing w:before="120" w:beforeLines="50" w:after="120" w:afterLines="50" w:line="360" w:lineRule="auto"/>
        <w:ind w:firstLine="420"/>
        <w:jc w:val="center"/>
        <w:rPr>
          <w:rFonts w:ascii="Times New Roman" w:hAnsi="Times New Roman" w:eastAsia="宋体" w:cs="Times New Roman"/>
          <w:snapToGrid/>
          <w:kern w:val="2"/>
          <w:sz w:val="21"/>
          <w:szCs w:val="21"/>
        </w:rPr>
      </w:pPr>
      <w:r>
        <w:rPr>
          <w:rFonts w:ascii="Times New Roman" w:hAnsi="Times New Roman" w:eastAsia="宋体" w:cs="Times New Roman"/>
          <w:snapToGrid/>
          <w:kern w:val="2"/>
          <w:sz w:val="21"/>
          <w:szCs w:val="21"/>
        </w:rPr>
        <w:t>表</w:t>
      </w:r>
      <w:r>
        <w:rPr>
          <w:rFonts w:hint="eastAsia" w:ascii="Times New Roman" w:hAnsi="Times New Roman" w:eastAsia="宋体" w:cs="Times New Roman"/>
          <w:snapToGrid/>
          <w:kern w:val="2"/>
          <w:sz w:val="21"/>
          <w:szCs w:val="21"/>
          <w:lang w:val="en-US" w:eastAsia="zh-CN"/>
        </w:rPr>
        <w:t>8</w:t>
      </w:r>
      <w:r>
        <w:rPr>
          <w:rFonts w:ascii="Times New Roman" w:hAnsi="Times New Roman" w:eastAsia="宋体" w:cs="Times New Roman"/>
          <w:snapToGrid/>
          <w:kern w:val="2"/>
          <w:sz w:val="21"/>
          <w:szCs w:val="21"/>
        </w:rPr>
        <w:t>.</w:t>
      </w:r>
      <w:r>
        <w:rPr>
          <w:rFonts w:hint="eastAsia" w:ascii="Times New Roman" w:hAnsi="Times New Roman" w:eastAsia="宋体" w:cs="Times New Roman"/>
          <w:snapToGrid/>
          <w:kern w:val="2"/>
          <w:sz w:val="21"/>
          <w:szCs w:val="21"/>
          <w:lang w:val="en-US" w:eastAsia="zh-CN"/>
        </w:rPr>
        <w:t>3</w:t>
      </w:r>
      <w:r>
        <w:rPr>
          <w:rFonts w:ascii="Times New Roman" w:hAnsi="Times New Roman" w:eastAsia="宋体" w:cs="Times New Roman"/>
          <w:snapToGrid/>
          <w:kern w:val="2"/>
          <w:sz w:val="21"/>
          <w:szCs w:val="21"/>
        </w:rPr>
        <w:t>-1  污染物治理措施一览表</w:t>
      </w:r>
    </w:p>
    <w:tbl>
      <w:tblPr>
        <w:tblStyle w:val="88"/>
        <w:tblW w:w="8528" w:type="dxa"/>
        <w:tblInd w:w="9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201"/>
        <w:gridCol w:w="4578"/>
        <w:gridCol w:w="27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6" w:hRule="exact"/>
        </w:trPr>
        <w:tc>
          <w:tcPr>
            <w:tcW w:w="1201" w:type="dxa"/>
            <w:tcBorders>
              <w:tl2br w:val="nil"/>
              <w:tr2bl w:val="nil"/>
            </w:tcBorders>
          </w:tcPr>
          <w:p>
            <w:pPr>
              <w:pStyle w:val="4069"/>
              <w:spacing w:before="17" w:line="240" w:lineRule="auto"/>
              <w:ind w:left="158" w:right="0"/>
              <w:jc w:val="left"/>
              <w:rPr>
                <w:rFonts w:ascii="宋体" w:hAnsi="宋体" w:eastAsia="宋体" w:cs="宋体"/>
                <w:sz w:val="21"/>
                <w:szCs w:val="21"/>
              </w:rPr>
            </w:pPr>
            <w:r>
              <w:rPr>
                <w:rFonts w:ascii="宋体" w:hAnsi="宋体" w:eastAsia="宋体" w:cs="宋体"/>
                <w:sz w:val="21"/>
                <w:szCs w:val="21"/>
              </w:rPr>
              <w:t>措施类别</w:t>
            </w:r>
          </w:p>
        </w:tc>
        <w:tc>
          <w:tcPr>
            <w:tcW w:w="4578" w:type="dxa"/>
            <w:tcBorders>
              <w:tl2br w:val="nil"/>
              <w:tr2bl w:val="nil"/>
            </w:tcBorders>
          </w:tcPr>
          <w:p>
            <w:pPr>
              <w:pStyle w:val="4069"/>
              <w:spacing w:before="17" w:line="240" w:lineRule="auto"/>
              <w:ind w:left="1837" w:right="1852"/>
              <w:jc w:val="center"/>
              <w:rPr>
                <w:rFonts w:ascii="宋体" w:hAnsi="宋体" w:eastAsia="宋体" w:cs="宋体"/>
                <w:sz w:val="21"/>
                <w:szCs w:val="21"/>
              </w:rPr>
            </w:pPr>
            <w:r>
              <w:rPr>
                <w:rFonts w:ascii="宋体" w:hAnsi="宋体" w:eastAsia="宋体" w:cs="宋体"/>
                <w:sz w:val="21"/>
                <w:szCs w:val="21"/>
              </w:rPr>
              <w:t>措施内容</w:t>
            </w:r>
          </w:p>
        </w:tc>
        <w:tc>
          <w:tcPr>
            <w:tcW w:w="2749" w:type="dxa"/>
            <w:tcBorders>
              <w:tl2br w:val="nil"/>
              <w:tr2bl w:val="nil"/>
            </w:tcBorders>
          </w:tcPr>
          <w:p>
            <w:pPr>
              <w:pStyle w:val="4069"/>
              <w:spacing w:before="17" w:line="240" w:lineRule="auto"/>
              <w:ind w:left="731" w:right="0"/>
              <w:jc w:val="left"/>
              <w:rPr>
                <w:rFonts w:ascii="宋体" w:hAnsi="宋体" w:eastAsia="宋体" w:cs="宋体"/>
                <w:sz w:val="21"/>
                <w:szCs w:val="21"/>
              </w:rPr>
            </w:pPr>
            <w:r>
              <w:rPr>
                <w:rFonts w:ascii="宋体" w:hAnsi="宋体" w:eastAsia="宋体" w:cs="宋体"/>
                <w:sz w:val="21"/>
                <w:szCs w:val="21"/>
              </w:rPr>
              <w:t>监测验收内容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94" w:hRule="exact"/>
        </w:trPr>
        <w:tc>
          <w:tcPr>
            <w:tcW w:w="1201" w:type="dxa"/>
            <w:tcBorders>
              <w:tl2br w:val="nil"/>
              <w:tr2bl w:val="nil"/>
            </w:tcBorders>
          </w:tcPr>
          <w:p>
            <w:pPr>
              <w:pStyle w:val="4069"/>
              <w:spacing w:before="7" w:line="160" w:lineRule="exact"/>
              <w:ind w:right="0"/>
              <w:jc w:val="left"/>
              <w:rPr>
                <w:sz w:val="16"/>
                <w:szCs w:val="16"/>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75" w:lineRule="auto"/>
              <w:ind w:left="262" w:right="0" w:hanging="105"/>
              <w:jc w:val="left"/>
              <w:rPr>
                <w:rFonts w:ascii="宋体" w:hAnsi="宋体" w:eastAsia="宋体" w:cs="宋体"/>
                <w:sz w:val="21"/>
                <w:szCs w:val="21"/>
              </w:rPr>
            </w:pPr>
            <w:r>
              <w:rPr>
                <w:rFonts w:ascii="宋体" w:hAnsi="宋体" w:eastAsia="宋体" w:cs="宋体"/>
                <w:sz w:val="21"/>
                <w:szCs w:val="21"/>
              </w:rPr>
              <w:t>水污染防 治措施</w:t>
            </w:r>
          </w:p>
        </w:tc>
        <w:tc>
          <w:tcPr>
            <w:tcW w:w="4578" w:type="dxa"/>
            <w:tcBorders>
              <w:tl2br w:val="nil"/>
              <w:tr2bl w:val="nil"/>
            </w:tcBorders>
          </w:tcPr>
          <w:p>
            <w:pPr>
              <w:pStyle w:val="4069"/>
              <w:spacing w:before="143" w:line="275" w:lineRule="auto"/>
              <w:ind w:left="101" w:right="0"/>
              <w:jc w:val="left"/>
              <w:rPr>
                <w:rFonts w:ascii="宋体" w:hAnsi="宋体" w:eastAsia="宋体" w:cs="宋体"/>
                <w:sz w:val="21"/>
                <w:szCs w:val="21"/>
              </w:rPr>
            </w:pPr>
            <w:r>
              <w:rPr>
                <w:rFonts w:ascii="宋体" w:hAnsi="宋体" w:eastAsia="宋体" w:cs="宋体"/>
                <w:sz w:val="21"/>
                <w:szCs w:val="21"/>
              </w:rPr>
              <w:t>①生活污水经隔油池</w:t>
            </w:r>
            <w:r>
              <w:rPr>
                <w:rFonts w:ascii="宋体" w:hAnsi="宋体" w:eastAsia="宋体" w:cs="宋体"/>
                <w:spacing w:val="-62"/>
                <w:sz w:val="21"/>
                <w:szCs w:val="21"/>
              </w:rPr>
              <w:t>、</w:t>
            </w:r>
            <w:r>
              <w:rPr>
                <w:rFonts w:ascii="宋体" w:hAnsi="宋体" w:eastAsia="宋体" w:cs="宋体"/>
                <w:sz w:val="21"/>
                <w:szCs w:val="21"/>
              </w:rPr>
              <w:t>化粪池处理达标后排入市政污水管网；</w:t>
            </w:r>
          </w:p>
          <w:p>
            <w:pPr>
              <w:pStyle w:val="4069"/>
              <w:spacing w:before="9" w:line="275" w:lineRule="auto"/>
              <w:ind w:left="101" w:right="117"/>
              <w:jc w:val="left"/>
              <w:rPr>
                <w:rFonts w:ascii="宋体" w:hAnsi="宋体" w:eastAsia="宋体" w:cs="宋体"/>
                <w:sz w:val="21"/>
                <w:szCs w:val="21"/>
              </w:rPr>
            </w:pPr>
            <w:r>
              <w:rPr>
                <w:rFonts w:ascii="宋体" w:hAnsi="宋体" w:eastAsia="宋体" w:cs="宋体"/>
                <w:sz w:val="21"/>
                <w:szCs w:val="21"/>
              </w:rPr>
              <w:t>②建设污水处理站一座</w:t>
            </w:r>
            <w:r>
              <w:rPr>
                <w:rFonts w:ascii="宋体" w:hAnsi="宋体" w:eastAsia="宋体" w:cs="宋体"/>
                <w:spacing w:val="-30"/>
                <w:sz w:val="21"/>
                <w:szCs w:val="21"/>
              </w:rPr>
              <w:t>，</w:t>
            </w:r>
            <w:r>
              <w:rPr>
                <w:rFonts w:ascii="宋体" w:hAnsi="宋体" w:eastAsia="宋体" w:cs="宋体"/>
                <w:sz w:val="21"/>
                <w:szCs w:val="21"/>
              </w:rPr>
              <w:t>处理屠宰废水</w:t>
            </w:r>
            <w:r>
              <w:rPr>
                <w:rFonts w:ascii="宋体" w:hAnsi="宋体" w:eastAsia="宋体" w:cs="宋体"/>
                <w:spacing w:val="-32"/>
                <w:sz w:val="21"/>
                <w:szCs w:val="21"/>
              </w:rPr>
              <w:t>，</w:t>
            </w:r>
            <w:r>
              <w:rPr>
                <w:rFonts w:ascii="宋体" w:hAnsi="宋体" w:eastAsia="宋体" w:cs="宋体"/>
                <w:sz w:val="21"/>
                <w:szCs w:val="21"/>
              </w:rPr>
              <w:t>处理工艺水解酸化+接触氧化，处理能力</w:t>
            </w:r>
            <w:r>
              <w:rPr>
                <w:rFonts w:hint="eastAsia" w:ascii="宋体" w:hAnsi="宋体" w:eastAsia="宋体" w:cs="宋体"/>
                <w:sz w:val="21"/>
                <w:szCs w:val="21"/>
                <w:lang w:val="en-US" w:eastAsia="zh-CN"/>
              </w:rPr>
              <w:t>55</w:t>
            </w:r>
            <w:r>
              <w:rPr>
                <w:rFonts w:ascii="宋体" w:hAnsi="宋体" w:eastAsia="宋体" w:cs="宋体"/>
                <w:sz w:val="21"/>
                <w:szCs w:val="21"/>
              </w:rPr>
              <w:t>m</w:t>
            </w:r>
            <w:r>
              <w:rPr>
                <w:rFonts w:ascii="Times New Roman" w:hAnsi="Times New Roman" w:eastAsia="Times New Roman" w:cs="Times New Roman"/>
                <w:spacing w:val="-1"/>
                <w:sz w:val="21"/>
                <w:szCs w:val="21"/>
              </w:rPr>
              <w:t>³/d</w:t>
            </w:r>
            <w:r>
              <w:rPr>
                <w:rFonts w:ascii="宋体" w:hAnsi="宋体" w:eastAsia="宋体" w:cs="宋体"/>
                <w:spacing w:val="-1"/>
                <w:sz w:val="21"/>
                <w:szCs w:val="21"/>
              </w:rPr>
              <w:t>。</w:t>
            </w:r>
          </w:p>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③自建污水管道接入市政污水管网</w:t>
            </w:r>
            <w:r>
              <w:rPr>
                <w:rFonts w:ascii="宋体" w:hAnsi="宋体" w:eastAsia="宋体" w:cs="宋体"/>
                <w:spacing w:val="-62"/>
                <w:sz w:val="21"/>
                <w:szCs w:val="21"/>
              </w:rPr>
              <w:t>，</w:t>
            </w:r>
            <w:r>
              <w:rPr>
                <w:rFonts w:ascii="宋体" w:hAnsi="宋体" w:eastAsia="宋体" w:cs="宋体"/>
                <w:sz w:val="21"/>
                <w:szCs w:val="21"/>
              </w:rPr>
              <w:t>管线全长约</w:t>
            </w:r>
            <w:r>
              <w:rPr>
                <w:rFonts w:hint="eastAsia" w:ascii="Times New Roman" w:hAnsi="Times New Roman" w:eastAsia="宋体" w:cs="Times New Roman"/>
                <w:spacing w:val="-1"/>
                <w:sz w:val="21"/>
                <w:szCs w:val="21"/>
                <w:lang w:val="en-US" w:eastAsia="zh-CN"/>
              </w:rPr>
              <w:t>50</w:t>
            </w:r>
            <w:r>
              <w:rPr>
                <w:rFonts w:ascii="Times New Roman" w:hAnsi="Times New Roman" w:eastAsia="Times New Roman" w:cs="Times New Roman"/>
                <w:spacing w:val="-1"/>
                <w:sz w:val="21"/>
                <w:szCs w:val="21"/>
              </w:rPr>
              <w:t>00m</w:t>
            </w:r>
            <w:r>
              <w:rPr>
                <w:rFonts w:ascii="宋体" w:hAnsi="宋体" w:eastAsia="宋体" w:cs="宋体"/>
                <w:spacing w:val="-1"/>
                <w:sz w:val="21"/>
                <w:szCs w:val="21"/>
              </w:rPr>
              <w:t>。</w:t>
            </w:r>
          </w:p>
        </w:tc>
        <w:tc>
          <w:tcPr>
            <w:tcW w:w="2749" w:type="dxa"/>
            <w:tcBorders>
              <w:tl2br w:val="nil"/>
              <w:tr2bl w:val="nil"/>
            </w:tcBorders>
          </w:tcPr>
          <w:p>
            <w:pPr>
              <w:pStyle w:val="4069"/>
              <w:spacing w:line="259" w:lineRule="exact"/>
              <w:ind w:left="88" w:right="82"/>
              <w:jc w:val="center"/>
              <w:rPr>
                <w:rFonts w:ascii="宋体" w:hAnsi="宋体" w:eastAsia="宋体" w:cs="宋体"/>
                <w:sz w:val="21"/>
                <w:szCs w:val="21"/>
              </w:rPr>
            </w:pPr>
            <w:r>
              <w:rPr>
                <w:rFonts w:ascii="宋体" w:hAnsi="宋体" w:eastAsia="宋体" w:cs="宋体"/>
                <w:sz w:val="21"/>
                <w:szCs w:val="21"/>
              </w:rPr>
              <w:t>验收措施落实情况； 污水处理站达《肉类加工工业水污染物排放标准》（</w:t>
            </w:r>
            <w:r>
              <w:rPr>
                <w:rFonts w:ascii="Times New Roman" w:hAnsi="Times New Roman" w:eastAsia="Times New Roman" w:cs="Times New Roman"/>
                <w:spacing w:val="-1"/>
                <w:sz w:val="21"/>
                <w:szCs w:val="21"/>
              </w:rPr>
              <w:t>G</w:t>
            </w:r>
            <w:r>
              <w:rPr>
                <w:rFonts w:ascii="Times New Roman" w:hAnsi="Times New Roman" w:eastAsia="Times New Roman" w:cs="Times New Roman"/>
                <w:sz w:val="21"/>
                <w:szCs w:val="21"/>
              </w:rPr>
              <w:t>B1</w:t>
            </w:r>
            <w:r>
              <w:rPr>
                <w:rFonts w:ascii="Times New Roman" w:hAnsi="Times New Roman" w:eastAsia="Times New Roman" w:cs="Times New Roman"/>
                <w:spacing w:val="1"/>
                <w:sz w:val="21"/>
                <w:szCs w:val="21"/>
              </w:rPr>
              <w:t>3</w:t>
            </w:r>
            <w:r>
              <w:rPr>
                <w:rFonts w:ascii="Times New Roman" w:hAnsi="Times New Roman" w:eastAsia="Times New Roman" w:cs="Times New Roman"/>
                <w:spacing w:val="-2"/>
                <w:sz w:val="21"/>
                <w:szCs w:val="21"/>
              </w:rPr>
              <w:t>4</w:t>
            </w:r>
            <w:r>
              <w:rPr>
                <w:rFonts w:ascii="Times New Roman" w:hAnsi="Times New Roman" w:eastAsia="Times New Roman" w:cs="Times New Roman"/>
                <w:spacing w:val="1"/>
                <w:sz w:val="21"/>
                <w:szCs w:val="21"/>
              </w:rPr>
              <w:t>5</w:t>
            </w:r>
            <w:r>
              <w:rPr>
                <w:rFonts w:ascii="Times New Roman" w:hAnsi="Times New Roman" w:eastAsia="Times New Roman" w:cs="Times New Roman"/>
                <w:spacing w:val="-2"/>
                <w:sz w:val="21"/>
                <w:szCs w:val="21"/>
              </w:rPr>
              <w:t>7</w:t>
            </w:r>
            <w:r>
              <w:rPr>
                <w:rFonts w:ascii="Times New Roman" w:hAnsi="Times New Roman" w:eastAsia="Times New Roman" w:cs="Times New Roman"/>
                <w:sz w:val="21"/>
                <w:szCs w:val="21"/>
              </w:rPr>
              <w:t>-9</w:t>
            </w:r>
            <w:r>
              <w:rPr>
                <w:rFonts w:ascii="Times New Roman" w:hAnsi="Times New Roman" w:eastAsia="Times New Roman" w:cs="Times New Roman"/>
                <w:spacing w:val="-2"/>
                <w:sz w:val="21"/>
                <w:szCs w:val="21"/>
              </w:rPr>
              <w:t>2</w:t>
            </w:r>
            <w:r>
              <w:rPr>
                <w:rFonts w:ascii="宋体" w:hAnsi="宋体" w:eastAsia="宋体" w:cs="宋体"/>
                <w:spacing w:val="-34"/>
                <w:sz w:val="21"/>
                <w:szCs w:val="21"/>
              </w:rPr>
              <w:t>）</w:t>
            </w:r>
            <w:r>
              <w:rPr>
                <w:rFonts w:ascii="宋体" w:hAnsi="宋体" w:eastAsia="宋体" w:cs="宋体"/>
                <w:sz w:val="21"/>
                <w:szCs w:val="21"/>
              </w:rPr>
              <w:t>中的</w:t>
            </w:r>
            <w:r>
              <w:rPr>
                <w:rFonts w:hint="eastAsia" w:ascii="宋体" w:hAnsi="宋体" w:cs="宋体"/>
                <w:sz w:val="21"/>
                <w:szCs w:val="21"/>
                <w:lang w:eastAsia="zh-CN"/>
              </w:rPr>
              <w:t>一</w:t>
            </w:r>
            <w:r>
              <w:rPr>
                <w:rFonts w:ascii="宋体" w:hAnsi="宋体" w:eastAsia="宋体" w:cs="宋体"/>
                <w:sz w:val="21"/>
                <w:szCs w:val="21"/>
              </w:rPr>
              <w:t>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exact"/>
        </w:trPr>
        <w:tc>
          <w:tcPr>
            <w:tcW w:w="1201" w:type="dxa"/>
            <w:vMerge w:val="restart"/>
            <w:tcBorders>
              <w:tl2br w:val="nil"/>
              <w:tr2bl w:val="nil"/>
            </w:tcBorders>
          </w:tcPr>
          <w:p>
            <w:pPr>
              <w:pStyle w:val="4069"/>
              <w:spacing w:before="1" w:line="170" w:lineRule="exact"/>
              <w:ind w:right="0"/>
              <w:jc w:val="left"/>
              <w:rPr>
                <w:sz w:val="17"/>
                <w:szCs w:val="17"/>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75" w:lineRule="auto"/>
              <w:ind w:left="368" w:right="0" w:hanging="210"/>
              <w:jc w:val="left"/>
              <w:rPr>
                <w:rFonts w:ascii="宋体" w:hAnsi="宋体" w:eastAsia="宋体" w:cs="宋体"/>
                <w:sz w:val="21"/>
                <w:szCs w:val="21"/>
              </w:rPr>
            </w:pPr>
            <w:r>
              <w:rPr>
                <w:rFonts w:ascii="宋体" w:hAnsi="宋体" w:eastAsia="宋体" w:cs="宋体"/>
                <w:sz w:val="21"/>
                <w:szCs w:val="21"/>
              </w:rPr>
              <w:t>废气防治 措施</w:t>
            </w:r>
          </w:p>
        </w:tc>
        <w:tc>
          <w:tcPr>
            <w:tcW w:w="4578" w:type="dxa"/>
            <w:tcBorders>
              <w:tl2br w:val="nil"/>
              <w:tr2bl w:val="nil"/>
            </w:tcBorders>
          </w:tcPr>
          <w:p>
            <w:pPr>
              <w:pStyle w:val="4069"/>
              <w:spacing w:line="259" w:lineRule="exact"/>
              <w:ind w:left="102" w:right="0"/>
              <w:jc w:val="left"/>
              <w:rPr>
                <w:rFonts w:ascii="宋体" w:hAnsi="宋体" w:eastAsia="宋体" w:cs="宋体"/>
                <w:sz w:val="21"/>
                <w:szCs w:val="21"/>
              </w:rPr>
            </w:pPr>
            <w:r>
              <w:rPr>
                <w:rFonts w:ascii="宋体" w:hAnsi="宋体" w:eastAsia="宋体" w:cs="宋体"/>
                <w:sz w:val="21"/>
                <w:szCs w:val="21"/>
              </w:rPr>
              <w:t>①牲畜粪便</w:t>
            </w:r>
            <w:r>
              <w:rPr>
                <w:rFonts w:ascii="宋体" w:hAnsi="宋体" w:eastAsia="宋体" w:cs="宋体"/>
                <w:spacing w:val="-84"/>
                <w:sz w:val="21"/>
                <w:szCs w:val="21"/>
              </w:rPr>
              <w:t>、</w:t>
            </w:r>
            <w:r>
              <w:rPr>
                <w:rFonts w:ascii="宋体" w:hAnsi="宋体" w:eastAsia="宋体" w:cs="宋体"/>
                <w:sz w:val="21"/>
                <w:szCs w:val="21"/>
              </w:rPr>
              <w:t>胃内容物等废弃物</w:t>
            </w:r>
            <w:r>
              <w:rPr>
                <w:rFonts w:ascii="宋体" w:hAnsi="宋体" w:eastAsia="宋体" w:cs="宋体"/>
                <w:spacing w:val="-83"/>
                <w:sz w:val="21"/>
                <w:szCs w:val="21"/>
              </w:rPr>
              <w:t>，</w:t>
            </w:r>
            <w:r>
              <w:rPr>
                <w:rFonts w:ascii="宋体" w:hAnsi="宋体" w:eastAsia="宋体" w:cs="宋体"/>
                <w:sz w:val="21"/>
                <w:szCs w:val="21"/>
              </w:rPr>
              <w:t>做到日产日清。</w:t>
            </w:r>
          </w:p>
        </w:tc>
        <w:tc>
          <w:tcPr>
            <w:tcW w:w="2749" w:type="dxa"/>
            <w:vMerge w:val="restart"/>
            <w:tcBorders>
              <w:tl2br w:val="nil"/>
              <w:tr2bl w:val="nil"/>
            </w:tcBorders>
          </w:tcPr>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before="19" w:line="260" w:lineRule="exact"/>
              <w:ind w:right="0"/>
              <w:jc w:val="left"/>
              <w:rPr>
                <w:sz w:val="26"/>
                <w:szCs w:val="26"/>
              </w:rPr>
            </w:pPr>
          </w:p>
          <w:p>
            <w:pPr>
              <w:pStyle w:val="4069"/>
              <w:spacing w:line="240" w:lineRule="auto"/>
              <w:ind w:left="194" w:right="187"/>
              <w:jc w:val="center"/>
              <w:rPr>
                <w:rFonts w:ascii="宋体" w:hAnsi="宋体" w:eastAsia="宋体" w:cs="宋体"/>
                <w:sz w:val="21"/>
                <w:szCs w:val="21"/>
              </w:rPr>
            </w:pPr>
            <w:r>
              <w:rPr>
                <w:rFonts w:ascii="宋体" w:hAnsi="宋体" w:eastAsia="宋体" w:cs="宋体"/>
                <w:sz w:val="21"/>
                <w:szCs w:val="21"/>
              </w:rPr>
              <w:t>恶臭污染物排放参照执行</w:t>
            </w:r>
          </w:p>
          <w:p>
            <w:pPr>
              <w:pStyle w:val="4069"/>
              <w:spacing w:before="40" w:line="240" w:lineRule="auto"/>
              <w:ind w:left="194" w:right="187"/>
              <w:jc w:val="center"/>
              <w:rPr>
                <w:rFonts w:ascii="宋体" w:hAnsi="宋体" w:eastAsia="宋体" w:cs="宋体"/>
                <w:sz w:val="21"/>
                <w:szCs w:val="21"/>
              </w:rPr>
            </w:pPr>
            <w:r>
              <w:rPr>
                <w:rFonts w:ascii="宋体" w:hAnsi="宋体" w:eastAsia="宋体" w:cs="宋体"/>
                <w:sz w:val="21"/>
                <w:szCs w:val="21"/>
              </w:rPr>
              <w:t>《恶臭污染物排放标准》</w:t>
            </w:r>
          </w:p>
          <w:p>
            <w:pPr>
              <w:pStyle w:val="4069"/>
              <w:spacing w:before="40" w:line="270" w:lineRule="auto"/>
              <w:ind w:left="103" w:right="93"/>
              <w:jc w:val="center"/>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pacing w:val="-1"/>
                <w:sz w:val="21"/>
                <w:szCs w:val="21"/>
              </w:rPr>
              <w:t>G</w:t>
            </w:r>
            <w:r>
              <w:rPr>
                <w:rFonts w:ascii="Times New Roman" w:hAnsi="Times New Roman" w:eastAsia="Times New Roman" w:cs="Times New Roman"/>
                <w:sz w:val="21"/>
                <w:szCs w:val="21"/>
              </w:rPr>
              <w:t>B1</w:t>
            </w:r>
            <w:r>
              <w:rPr>
                <w:rFonts w:ascii="Times New Roman" w:hAnsi="Times New Roman" w:eastAsia="Times New Roman" w:cs="Times New Roman"/>
                <w:spacing w:val="1"/>
                <w:sz w:val="21"/>
                <w:szCs w:val="21"/>
              </w:rPr>
              <w:t>4</w:t>
            </w:r>
            <w:r>
              <w:rPr>
                <w:rFonts w:ascii="Times New Roman" w:hAnsi="Times New Roman" w:eastAsia="Times New Roman" w:cs="Times New Roman"/>
                <w:spacing w:val="-2"/>
                <w:sz w:val="21"/>
                <w:szCs w:val="21"/>
              </w:rPr>
              <w:t>5</w:t>
            </w:r>
            <w:r>
              <w:rPr>
                <w:rFonts w:ascii="Times New Roman" w:hAnsi="Times New Roman" w:eastAsia="Times New Roman" w:cs="Times New Roman"/>
                <w:spacing w:val="1"/>
                <w:sz w:val="21"/>
                <w:szCs w:val="21"/>
              </w:rPr>
              <w:t>5</w:t>
            </w:r>
            <w:r>
              <w:rPr>
                <w:rFonts w:ascii="Times New Roman" w:hAnsi="Times New Roman" w:eastAsia="Times New Roman" w:cs="Times New Roman"/>
                <w:spacing w:val="-2"/>
                <w:sz w:val="21"/>
                <w:szCs w:val="21"/>
              </w:rPr>
              <w:t>4</w:t>
            </w:r>
            <w:r>
              <w:rPr>
                <w:rFonts w:ascii="Times New Roman" w:hAnsi="Times New Roman" w:eastAsia="Times New Roman" w:cs="Times New Roman"/>
                <w:sz w:val="21"/>
                <w:szCs w:val="21"/>
              </w:rPr>
              <w:t>-9</w:t>
            </w:r>
            <w:r>
              <w:rPr>
                <w:rFonts w:ascii="Times New Roman" w:hAnsi="Times New Roman" w:eastAsia="Times New Roman" w:cs="Times New Roman"/>
                <w:spacing w:val="-2"/>
                <w:sz w:val="21"/>
                <w:szCs w:val="21"/>
              </w:rPr>
              <w:t>3</w:t>
            </w:r>
            <w:r>
              <w:rPr>
                <w:rFonts w:ascii="宋体" w:hAnsi="宋体" w:eastAsia="宋体" w:cs="宋体"/>
                <w:spacing w:val="-34"/>
                <w:sz w:val="21"/>
                <w:szCs w:val="21"/>
              </w:rPr>
              <w:t>）</w:t>
            </w:r>
            <w:r>
              <w:rPr>
                <w:rFonts w:ascii="宋体" w:hAnsi="宋体" w:eastAsia="宋体" w:cs="宋体"/>
                <w:sz w:val="21"/>
                <w:szCs w:val="21"/>
              </w:rPr>
              <w:t>中二级排放 标准及无组织排放周界外浓 度最高点限值；《锅炉大气 污染物排放标准》</w:t>
            </w:r>
          </w:p>
          <w:p>
            <w:pPr>
              <w:pStyle w:val="4069"/>
              <w:spacing w:before="13" w:line="240" w:lineRule="auto"/>
              <w:ind w:left="9" w:right="0"/>
              <w:jc w:val="center"/>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GB13271-2014</w:t>
            </w:r>
            <w:r>
              <w:rPr>
                <w:rFonts w:ascii="宋体" w:hAnsi="宋体" w:eastAsia="宋体" w:cs="宋体"/>
                <w:spacing w:val="-1"/>
                <w:sz w:val="21"/>
                <w:szCs w:val="21"/>
              </w:rPr>
              <w:t>）表</w:t>
            </w:r>
            <w:r>
              <w:rPr>
                <w:rFonts w:ascii="宋体" w:hAnsi="宋体" w:eastAsia="宋体" w:cs="宋体"/>
                <w:spacing w:val="-55"/>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；饮</w:t>
            </w:r>
          </w:p>
          <w:p>
            <w:pPr>
              <w:pStyle w:val="4069"/>
              <w:spacing w:before="24" w:line="240" w:lineRule="auto"/>
              <w:ind w:left="6" w:right="0"/>
              <w:jc w:val="center"/>
              <w:rPr>
                <w:rFonts w:ascii="宋体" w:hAnsi="宋体" w:eastAsia="宋体" w:cs="宋体"/>
                <w:sz w:val="21"/>
                <w:szCs w:val="21"/>
              </w:rPr>
            </w:pPr>
            <w:r>
              <w:rPr>
                <w:rFonts w:ascii="宋体" w:hAnsi="宋体" w:eastAsia="宋体" w:cs="宋体"/>
                <w:sz w:val="21"/>
                <w:szCs w:val="21"/>
              </w:rPr>
              <w:t>食业油烟排放标准</w:t>
            </w:r>
          </w:p>
          <w:p>
            <w:pPr>
              <w:pStyle w:val="4069"/>
              <w:spacing w:before="40" w:line="240" w:lineRule="auto"/>
              <w:ind w:left="8" w:right="0"/>
              <w:jc w:val="center"/>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GB18483-2001</w:t>
            </w:r>
            <w:r>
              <w:rPr>
                <w:rFonts w:ascii="宋体" w:hAnsi="宋体" w:eastAsia="宋体" w:cs="宋体"/>
                <w:spacing w:val="-1"/>
                <w:sz w:val="21"/>
                <w:szCs w:val="21"/>
              </w:rPr>
              <w:t>）中型</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2" w:right="0"/>
              <w:jc w:val="left"/>
              <w:rPr>
                <w:rFonts w:ascii="宋体" w:hAnsi="宋体" w:eastAsia="宋体" w:cs="宋体"/>
                <w:sz w:val="21"/>
                <w:szCs w:val="21"/>
              </w:rPr>
            </w:pPr>
            <w:r>
              <w:rPr>
                <w:rFonts w:ascii="宋体" w:hAnsi="宋体" w:eastAsia="宋体" w:cs="宋体"/>
                <w:sz w:val="21"/>
                <w:szCs w:val="21"/>
              </w:rPr>
              <w:t>②用活性炭吸附排气筒中的臭气</w:t>
            </w:r>
            <w:r>
              <w:rPr>
                <w:rFonts w:ascii="宋体" w:hAnsi="宋体" w:eastAsia="宋体" w:cs="宋体"/>
                <w:spacing w:val="-62"/>
                <w:sz w:val="21"/>
                <w:szCs w:val="21"/>
              </w:rPr>
              <w:t>，</w:t>
            </w:r>
            <w:r>
              <w:rPr>
                <w:rFonts w:ascii="宋体" w:hAnsi="宋体" w:eastAsia="宋体" w:cs="宋体"/>
                <w:sz w:val="21"/>
                <w:szCs w:val="21"/>
              </w:rPr>
              <w:t>待宰圈内采取</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2" w:right="0"/>
              <w:jc w:val="left"/>
              <w:rPr>
                <w:rFonts w:ascii="宋体" w:hAnsi="宋体" w:eastAsia="宋体" w:cs="宋体"/>
                <w:sz w:val="21"/>
                <w:szCs w:val="21"/>
              </w:rPr>
            </w:pPr>
            <w:r>
              <w:rPr>
                <w:rFonts w:ascii="宋体" w:hAnsi="宋体" w:eastAsia="宋体" w:cs="宋体"/>
                <w:spacing w:val="7"/>
                <w:sz w:val="21"/>
                <w:szCs w:val="21"/>
              </w:rPr>
              <w:t>过氧化氢和高锰酸钾等强氧化剂和杀菌剂清除</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0"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2" w:right="686"/>
              <w:jc w:val="both"/>
              <w:rPr>
                <w:rFonts w:ascii="宋体" w:hAnsi="宋体" w:eastAsia="宋体" w:cs="宋体"/>
                <w:sz w:val="21"/>
                <w:szCs w:val="21"/>
              </w:rPr>
            </w:pPr>
            <w:r>
              <w:rPr>
                <w:rFonts w:ascii="宋体" w:hAnsi="宋体" w:eastAsia="宋体" w:cs="宋体"/>
                <w:sz w:val="21"/>
                <w:szCs w:val="21"/>
              </w:rPr>
              <w:t>微生物产生的恶臭物质。加强厂区绿化。</w:t>
            </w:r>
          </w:p>
          <w:p>
            <w:pPr>
              <w:pStyle w:val="4069"/>
              <w:spacing w:before="40" w:line="275" w:lineRule="auto"/>
              <w:ind w:left="102" w:right="117"/>
              <w:jc w:val="both"/>
              <w:rPr>
                <w:rFonts w:ascii="宋体" w:hAnsi="宋体" w:eastAsia="宋体" w:cs="宋体"/>
                <w:sz w:val="21"/>
                <w:szCs w:val="21"/>
              </w:rPr>
            </w:pPr>
            <w:r>
              <w:rPr>
                <w:rFonts w:ascii="宋体" w:hAnsi="宋体" w:eastAsia="宋体" w:cs="宋体"/>
                <w:sz w:val="21"/>
                <w:szCs w:val="21"/>
              </w:rPr>
              <w:t>③待宰圈</w:t>
            </w:r>
            <w:r>
              <w:rPr>
                <w:rFonts w:ascii="宋体" w:hAnsi="宋体" w:eastAsia="宋体" w:cs="宋体"/>
                <w:spacing w:val="-30"/>
                <w:sz w:val="21"/>
                <w:szCs w:val="21"/>
              </w:rPr>
              <w:t>、</w:t>
            </w:r>
            <w:r>
              <w:rPr>
                <w:rFonts w:ascii="宋体" w:hAnsi="宋体" w:eastAsia="宋体" w:cs="宋体"/>
                <w:sz w:val="21"/>
                <w:szCs w:val="21"/>
              </w:rPr>
              <w:t>屠宰间设置密封结构</w:t>
            </w:r>
            <w:r>
              <w:rPr>
                <w:rFonts w:ascii="宋体" w:hAnsi="宋体" w:eastAsia="宋体" w:cs="宋体"/>
                <w:spacing w:val="-32"/>
                <w:sz w:val="21"/>
                <w:szCs w:val="21"/>
              </w:rPr>
              <w:t>，</w:t>
            </w:r>
            <w:r>
              <w:rPr>
                <w:rFonts w:ascii="宋体" w:hAnsi="宋体" w:eastAsia="宋体" w:cs="宋体"/>
                <w:sz w:val="21"/>
                <w:szCs w:val="21"/>
              </w:rPr>
              <w:t>采用机械通风 以保持良好的通风状态和清洁状态。</w:t>
            </w:r>
          </w:p>
          <w:p>
            <w:pPr>
              <w:pStyle w:val="4069"/>
              <w:spacing w:before="9" w:line="275" w:lineRule="auto"/>
              <w:ind w:left="102" w:right="56"/>
              <w:jc w:val="both"/>
              <w:rPr>
                <w:rFonts w:ascii="宋体" w:hAnsi="宋体" w:eastAsia="宋体" w:cs="宋体"/>
                <w:sz w:val="21"/>
                <w:szCs w:val="21"/>
              </w:rPr>
            </w:pPr>
            <w:r>
              <w:rPr>
                <w:rFonts w:ascii="宋体" w:hAnsi="宋体" w:eastAsia="宋体" w:cs="宋体"/>
                <w:sz w:val="21"/>
                <w:szCs w:val="21"/>
              </w:rPr>
              <w:t>④污水处理站臭气采取加盖收集，生物除臭后， 经</w:t>
            </w:r>
            <w:r>
              <w:rPr>
                <w:rFonts w:ascii="宋体" w:hAnsi="宋体" w:eastAsia="宋体" w:cs="宋体"/>
                <w:spacing w:val="-54"/>
                <w:sz w:val="21"/>
                <w:szCs w:val="21"/>
              </w:rPr>
              <w:t xml:space="preserve"> </w:t>
            </w:r>
            <w:r>
              <w:rPr>
                <w:rFonts w:ascii="Times New Roman" w:hAnsi="Times New Roman" w:eastAsia="Times New Roman" w:cs="Times New Roman"/>
                <w:spacing w:val="-1"/>
                <w:sz w:val="21"/>
                <w:szCs w:val="21"/>
              </w:rPr>
              <w:t xml:space="preserve">15m </w:t>
            </w:r>
            <w:r>
              <w:rPr>
                <w:rFonts w:ascii="宋体" w:hAnsi="宋体" w:eastAsia="宋体" w:cs="宋体"/>
                <w:sz w:val="21"/>
                <w:szCs w:val="21"/>
              </w:rPr>
              <w:t>高排气筒排放。</w:t>
            </w:r>
          </w:p>
          <w:p>
            <w:pPr>
              <w:pStyle w:val="4069"/>
              <w:spacing w:line="261" w:lineRule="exact"/>
              <w:ind w:left="102" w:right="123"/>
              <w:jc w:val="both"/>
              <w:rPr>
                <w:rFonts w:ascii="宋体" w:hAnsi="宋体" w:eastAsia="宋体" w:cs="宋体"/>
                <w:sz w:val="21"/>
                <w:szCs w:val="21"/>
              </w:rPr>
            </w:pPr>
            <w:r>
              <w:rPr>
                <w:rFonts w:ascii="宋体" w:hAnsi="宋体" w:eastAsia="宋体" w:cs="宋体"/>
                <w:spacing w:val="6"/>
                <w:sz w:val="21"/>
                <w:szCs w:val="21"/>
              </w:rPr>
              <w:t>⑤食堂油烟经油烟净化器处理后经楼顶排气筒</w:t>
            </w:r>
          </w:p>
          <w:p>
            <w:pPr>
              <w:pStyle w:val="4069"/>
              <w:spacing w:before="40" w:line="240" w:lineRule="auto"/>
              <w:ind w:left="102" w:right="3836"/>
              <w:jc w:val="both"/>
              <w:rPr>
                <w:rFonts w:ascii="宋体" w:hAnsi="宋体" w:eastAsia="宋体" w:cs="宋体"/>
                <w:sz w:val="21"/>
                <w:szCs w:val="21"/>
              </w:rPr>
            </w:pPr>
            <w:r>
              <w:rPr>
                <w:rFonts w:ascii="宋体" w:hAnsi="宋体" w:eastAsia="宋体" w:cs="宋体"/>
                <w:sz w:val="21"/>
                <w:szCs w:val="21"/>
              </w:rPr>
              <w:t>排放。</w:t>
            </w:r>
          </w:p>
          <w:p>
            <w:pPr>
              <w:pStyle w:val="4069"/>
              <w:spacing w:before="40" w:line="268" w:lineRule="auto"/>
              <w:ind w:left="102" w:right="117"/>
              <w:jc w:val="both"/>
              <w:rPr>
                <w:rFonts w:ascii="宋体" w:hAnsi="宋体" w:eastAsia="宋体" w:cs="宋体"/>
                <w:sz w:val="21"/>
                <w:szCs w:val="21"/>
              </w:rPr>
            </w:pPr>
            <w:r>
              <w:rPr>
                <w:rFonts w:ascii="宋体" w:hAnsi="宋体" w:eastAsia="宋体" w:cs="宋体"/>
                <w:sz w:val="21"/>
                <w:szCs w:val="21"/>
              </w:rPr>
              <w:t>⑥项目待宰圈</w:t>
            </w:r>
            <w:r>
              <w:rPr>
                <w:rFonts w:ascii="宋体" w:hAnsi="宋体" w:eastAsia="宋体" w:cs="宋体"/>
                <w:spacing w:val="-62"/>
                <w:sz w:val="21"/>
                <w:szCs w:val="21"/>
              </w:rPr>
              <w:t>、</w:t>
            </w:r>
            <w:r>
              <w:rPr>
                <w:rFonts w:ascii="宋体" w:hAnsi="宋体" w:eastAsia="宋体" w:cs="宋体"/>
                <w:sz w:val="21"/>
                <w:szCs w:val="21"/>
              </w:rPr>
              <w:t>屠宰区和污水处理站为边界设置</w:t>
            </w:r>
            <w:r>
              <w:rPr>
                <w:rFonts w:ascii="宋体" w:hAnsi="宋体" w:eastAsia="宋体" w:cs="宋体"/>
                <w:spacing w:val="1"/>
                <w:sz w:val="21"/>
                <w:szCs w:val="21"/>
              </w:rPr>
              <w:t>卫生防护距离</w:t>
            </w:r>
            <w:r>
              <w:rPr>
                <w:rFonts w:ascii="宋体" w:hAnsi="宋体" w:eastAsia="宋体" w:cs="宋体"/>
                <w:spacing w:val="4"/>
                <w:sz w:val="21"/>
                <w:szCs w:val="21"/>
              </w:rPr>
              <w:t>为</w:t>
            </w:r>
            <w:r>
              <w:rPr>
                <w:rFonts w:hint="eastAsia" w:ascii="宋体" w:hAnsi="宋体" w:eastAsia="宋体" w:cs="宋体"/>
                <w:spacing w:val="4"/>
                <w:sz w:val="21"/>
                <w:szCs w:val="21"/>
                <w:lang w:val="en-US" w:eastAsia="zh-CN"/>
              </w:rPr>
              <w:t>1</w:t>
            </w:r>
            <w:r>
              <w:rPr>
                <w:rFonts w:ascii="宋体" w:hAnsi="宋体" w:eastAsia="宋体" w:cs="宋体"/>
                <w:spacing w:val="4"/>
                <w:sz w:val="21"/>
                <w:szCs w:val="21"/>
              </w:rPr>
              <w:t>00m。</w:t>
            </w:r>
            <w:r>
              <w:rPr>
                <w:rFonts w:ascii="宋体" w:hAnsi="宋体" w:eastAsia="宋体" w:cs="宋体"/>
                <w:spacing w:val="1"/>
                <w:sz w:val="21"/>
                <w:szCs w:val="21"/>
              </w:rPr>
              <w:t>在卫生防护距离控制范</w:t>
            </w:r>
            <w:r>
              <w:rPr>
                <w:rFonts w:ascii="宋体" w:hAnsi="宋体" w:eastAsia="宋体" w:cs="宋体"/>
                <w:sz w:val="21"/>
                <w:szCs w:val="21"/>
              </w:rPr>
              <w:t>围内不得新建居住区</w:t>
            </w:r>
            <w:r>
              <w:rPr>
                <w:rFonts w:ascii="宋体" w:hAnsi="宋体" w:eastAsia="宋体" w:cs="宋体"/>
                <w:spacing w:val="-30"/>
                <w:sz w:val="21"/>
                <w:szCs w:val="21"/>
              </w:rPr>
              <w:t>、</w:t>
            </w:r>
            <w:r>
              <w:rPr>
                <w:rFonts w:ascii="宋体" w:hAnsi="宋体" w:eastAsia="宋体" w:cs="宋体"/>
                <w:sz w:val="21"/>
                <w:szCs w:val="21"/>
              </w:rPr>
              <w:t>医院</w:t>
            </w:r>
            <w:r>
              <w:rPr>
                <w:rFonts w:ascii="宋体" w:hAnsi="宋体" w:eastAsia="宋体" w:cs="宋体"/>
                <w:spacing w:val="-32"/>
                <w:sz w:val="21"/>
                <w:szCs w:val="21"/>
              </w:rPr>
              <w:t>、</w:t>
            </w:r>
            <w:r>
              <w:rPr>
                <w:rFonts w:ascii="宋体" w:hAnsi="宋体" w:eastAsia="宋体" w:cs="宋体"/>
                <w:sz w:val="21"/>
                <w:szCs w:val="21"/>
              </w:rPr>
              <w:t>学校等大气敏感目</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2" w:right="0"/>
              <w:jc w:val="left"/>
              <w:rPr>
                <w:rFonts w:ascii="宋体" w:hAnsi="宋体" w:eastAsia="宋体" w:cs="宋体"/>
                <w:sz w:val="21"/>
                <w:szCs w:val="21"/>
              </w:rPr>
            </w:pPr>
            <w:r>
              <w:rPr>
                <w:rFonts w:hint="eastAsia" w:ascii="宋体" w:hAnsi="宋体" w:cs="宋体"/>
                <w:sz w:val="21"/>
                <w:szCs w:val="21"/>
                <w:lang w:eastAsia="zh-CN"/>
              </w:rPr>
              <w:t>围</w:t>
            </w:r>
            <w:r>
              <w:rPr>
                <w:rFonts w:ascii="宋体" w:hAnsi="宋体" w:eastAsia="宋体" w:cs="宋体"/>
                <w:sz w:val="21"/>
                <w:szCs w:val="21"/>
              </w:rPr>
              <w:t>。</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exact"/>
        </w:trPr>
        <w:tc>
          <w:tcPr>
            <w:tcW w:w="1201" w:type="dxa"/>
            <w:vMerge w:val="continue"/>
            <w:tcBorders>
              <w:tl2br w:val="nil"/>
              <w:tr2bl w:val="nil"/>
            </w:tcBorders>
          </w:tcPr>
          <w:p/>
        </w:tc>
        <w:tc>
          <w:tcPr>
            <w:tcW w:w="4578" w:type="dxa"/>
            <w:tcBorders>
              <w:tl2br w:val="nil"/>
              <w:tr2bl w:val="nil"/>
            </w:tcBorders>
          </w:tcPr>
          <w:p>
            <w:pPr>
              <w:pStyle w:val="4069"/>
              <w:spacing w:line="277" w:lineRule="exact"/>
              <w:ind w:left="102" w:right="0"/>
              <w:jc w:val="left"/>
              <w:rPr>
                <w:rFonts w:ascii="宋体" w:hAnsi="宋体" w:eastAsia="宋体" w:cs="宋体"/>
                <w:sz w:val="21"/>
                <w:szCs w:val="21"/>
              </w:rPr>
            </w:pPr>
            <w:r>
              <w:rPr>
                <w:rFonts w:ascii="宋体" w:hAnsi="宋体" w:eastAsia="宋体" w:cs="宋体"/>
                <w:spacing w:val="4"/>
                <w:sz w:val="21"/>
                <w:szCs w:val="21"/>
              </w:rPr>
              <w:t>⑦锅炉采用燃气锅炉，经</w:t>
            </w:r>
            <w:r>
              <w:rPr>
                <w:rFonts w:ascii="宋体" w:hAnsi="宋体" w:eastAsia="宋体" w:cs="宋体"/>
                <w:spacing w:val="-50"/>
                <w:sz w:val="21"/>
                <w:szCs w:val="21"/>
              </w:rPr>
              <w:t xml:space="preserve"> </w:t>
            </w:r>
            <w:r>
              <w:rPr>
                <w:rFonts w:ascii="Times New Roman" w:hAnsi="Times New Roman" w:eastAsia="Times New Roman" w:cs="Times New Roman"/>
                <w:spacing w:val="-1"/>
                <w:sz w:val="21"/>
                <w:szCs w:val="21"/>
              </w:rPr>
              <w:t>15m</w:t>
            </w:r>
            <w:r>
              <w:rPr>
                <w:rFonts w:ascii="Times New Roman" w:hAnsi="Times New Roman" w:eastAsia="Times New Roman" w:cs="Times New Roman"/>
                <w:spacing w:val="5"/>
                <w:sz w:val="21"/>
                <w:szCs w:val="21"/>
              </w:rPr>
              <w:t xml:space="preserve"> </w:t>
            </w:r>
            <w:r>
              <w:rPr>
                <w:rFonts w:ascii="宋体" w:hAnsi="宋体" w:eastAsia="宋体" w:cs="宋体"/>
                <w:spacing w:val="4"/>
                <w:sz w:val="21"/>
                <w:szCs w:val="21"/>
              </w:rPr>
              <w:t>高排气筒高空排</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exact"/>
        </w:trPr>
        <w:tc>
          <w:tcPr>
            <w:tcW w:w="1201" w:type="dxa"/>
            <w:vMerge w:val="continue"/>
            <w:tcBorders>
              <w:tl2br w:val="nil"/>
              <w:tr2bl w:val="nil"/>
            </w:tcBorders>
          </w:tcPr>
          <w:p/>
        </w:tc>
        <w:tc>
          <w:tcPr>
            <w:tcW w:w="4578" w:type="dxa"/>
            <w:tcBorders>
              <w:tl2br w:val="nil"/>
              <w:tr2bl w:val="nil"/>
            </w:tcBorders>
          </w:tcPr>
          <w:p>
            <w:pPr>
              <w:pStyle w:val="4069"/>
              <w:spacing w:line="255" w:lineRule="exact"/>
              <w:ind w:left="102" w:right="0"/>
              <w:jc w:val="left"/>
              <w:rPr>
                <w:rFonts w:ascii="宋体" w:hAnsi="宋体" w:eastAsia="宋体" w:cs="宋体"/>
                <w:sz w:val="21"/>
                <w:szCs w:val="21"/>
              </w:rPr>
            </w:pPr>
            <w:r>
              <w:rPr>
                <w:rFonts w:ascii="宋体" w:hAnsi="宋体" w:eastAsia="宋体" w:cs="宋体"/>
                <w:sz w:val="21"/>
                <w:szCs w:val="21"/>
              </w:rPr>
              <w:t>放。</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46" w:hRule="exact"/>
        </w:trPr>
        <w:tc>
          <w:tcPr>
            <w:tcW w:w="1201" w:type="dxa"/>
            <w:tcBorders>
              <w:tl2br w:val="nil"/>
              <w:tr2bl w:val="nil"/>
            </w:tcBorders>
          </w:tcPr>
          <w:p>
            <w:pPr>
              <w:pStyle w:val="4069"/>
              <w:spacing w:before="142" w:line="275" w:lineRule="auto"/>
              <w:ind w:left="368" w:right="0" w:hanging="210"/>
              <w:jc w:val="left"/>
              <w:rPr>
                <w:rFonts w:ascii="宋体" w:hAnsi="宋体" w:eastAsia="宋体" w:cs="宋体"/>
                <w:sz w:val="21"/>
                <w:szCs w:val="21"/>
              </w:rPr>
            </w:pPr>
            <w:r>
              <w:rPr>
                <w:rFonts w:ascii="宋体" w:hAnsi="宋体" w:eastAsia="宋体" w:cs="宋体"/>
                <w:sz w:val="21"/>
                <w:szCs w:val="21"/>
              </w:rPr>
              <w:t>噪声防治 措施</w:t>
            </w:r>
          </w:p>
        </w:tc>
        <w:tc>
          <w:tcPr>
            <w:tcW w:w="4578" w:type="dxa"/>
            <w:tcBorders>
              <w:tl2br w:val="nil"/>
              <w:tr2bl w:val="nil"/>
            </w:tcBorders>
          </w:tcPr>
          <w:p>
            <w:pPr>
              <w:pStyle w:val="4069"/>
              <w:spacing w:before="142" w:line="275" w:lineRule="auto"/>
              <w:ind w:left="101" w:right="0"/>
              <w:jc w:val="left"/>
              <w:rPr>
                <w:rFonts w:ascii="宋体" w:hAnsi="宋体" w:eastAsia="宋体" w:cs="宋体"/>
                <w:sz w:val="21"/>
                <w:szCs w:val="21"/>
              </w:rPr>
            </w:pPr>
            <w:r>
              <w:rPr>
                <w:rFonts w:ascii="宋体" w:hAnsi="宋体" w:eastAsia="宋体" w:cs="宋体"/>
                <w:sz w:val="21"/>
                <w:szCs w:val="21"/>
              </w:rPr>
              <w:t>优先选用低噪音设备</w:t>
            </w:r>
            <w:r>
              <w:rPr>
                <w:rFonts w:ascii="宋体" w:hAnsi="宋体" w:eastAsia="宋体" w:cs="宋体"/>
                <w:spacing w:val="-62"/>
                <w:sz w:val="21"/>
                <w:szCs w:val="21"/>
              </w:rPr>
              <w:t>，</w:t>
            </w:r>
            <w:r>
              <w:rPr>
                <w:rFonts w:ascii="宋体" w:hAnsi="宋体" w:eastAsia="宋体" w:cs="宋体"/>
                <w:sz w:val="21"/>
                <w:szCs w:val="21"/>
              </w:rPr>
              <w:t>对噪音较大的设备设隔音 板、隔音罩、消声器等。</w:t>
            </w:r>
          </w:p>
        </w:tc>
        <w:tc>
          <w:tcPr>
            <w:tcW w:w="2749" w:type="dxa"/>
            <w:tcBorders>
              <w:tl2br w:val="nil"/>
              <w:tr2bl w:val="nil"/>
            </w:tcBorders>
          </w:tcPr>
          <w:p>
            <w:pPr>
              <w:pStyle w:val="4069"/>
              <w:spacing w:line="257" w:lineRule="exact"/>
              <w:ind w:left="108" w:right="0"/>
              <w:jc w:val="left"/>
              <w:rPr>
                <w:rFonts w:ascii="宋体" w:hAnsi="宋体" w:eastAsia="宋体" w:cs="宋体"/>
                <w:sz w:val="21"/>
                <w:szCs w:val="21"/>
              </w:rPr>
            </w:pPr>
            <w:r>
              <w:rPr>
                <w:rFonts w:ascii="宋体" w:hAnsi="宋体" w:eastAsia="宋体" w:cs="宋体"/>
                <w:sz w:val="21"/>
                <w:szCs w:val="21"/>
              </w:rPr>
              <w:t>场界噪声满足《工业企业厂</w:t>
            </w:r>
          </w:p>
          <w:p>
            <w:pPr>
              <w:pStyle w:val="4069"/>
              <w:spacing w:before="40" w:line="260" w:lineRule="auto"/>
              <w:ind w:left="1158" w:right="127" w:hanging="1023"/>
              <w:jc w:val="left"/>
              <w:rPr>
                <w:rFonts w:ascii="宋体" w:hAnsi="宋体" w:eastAsia="宋体" w:cs="宋体"/>
                <w:sz w:val="21"/>
                <w:szCs w:val="21"/>
              </w:rPr>
            </w:pPr>
            <w:r>
              <w:rPr>
                <w:rFonts w:ascii="宋体" w:hAnsi="宋体" w:eastAsia="宋体" w:cs="宋体"/>
                <w:sz w:val="21"/>
                <w:szCs w:val="21"/>
              </w:rPr>
              <w:t>界环境噪声排放标准》</w:t>
            </w:r>
            <w:r>
              <w:rPr>
                <w:rFonts w:ascii="Times New Roman" w:hAnsi="Times New Roman" w:eastAsia="Times New Roman" w:cs="Times New Roman"/>
                <w:sz w:val="21"/>
                <w:szCs w:val="21"/>
              </w:rPr>
              <w:t>2</w:t>
            </w:r>
            <w:r>
              <w:rPr>
                <w:rFonts w:ascii="Times New Roman" w:hAnsi="Times New Roman" w:eastAsia="Times New Roman" w:cs="Times New Roman"/>
                <w:spacing w:val="-1"/>
                <w:sz w:val="21"/>
                <w:szCs w:val="21"/>
              </w:rPr>
              <w:t xml:space="preserve"> </w:t>
            </w:r>
            <w:r>
              <w:rPr>
                <w:rFonts w:ascii="宋体" w:hAnsi="宋体" w:eastAsia="宋体" w:cs="宋体"/>
                <w:sz w:val="21"/>
                <w:szCs w:val="21"/>
              </w:rPr>
              <w:t>类 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4" w:hRule="exact"/>
        </w:trPr>
        <w:tc>
          <w:tcPr>
            <w:tcW w:w="1201" w:type="dxa"/>
            <w:vMerge w:val="restart"/>
            <w:tcBorders>
              <w:tl2br w:val="nil"/>
              <w:tr2bl w:val="nil"/>
            </w:tcBorders>
          </w:tcPr>
          <w:p>
            <w:pPr>
              <w:pStyle w:val="4069"/>
              <w:spacing w:before="3" w:line="100" w:lineRule="exact"/>
              <w:ind w:right="0"/>
              <w:jc w:val="left"/>
              <w:rPr>
                <w:sz w:val="10"/>
                <w:szCs w:val="1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75" w:lineRule="auto"/>
              <w:ind w:left="368" w:right="0" w:hanging="210"/>
              <w:jc w:val="left"/>
              <w:rPr>
                <w:rFonts w:ascii="宋体" w:hAnsi="宋体" w:eastAsia="宋体" w:cs="宋体"/>
                <w:sz w:val="21"/>
                <w:szCs w:val="21"/>
              </w:rPr>
            </w:pPr>
            <w:r>
              <w:rPr>
                <w:rFonts w:ascii="宋体" w:hAnsi="宋体" w:eastAsia="宋体" w:cs="宋体"/>
                <w:sz w:val="21"/>
                <w:szCs w:val="21"/>
              </w:rPr>
              <w:t>固体废物 处置</w:t>
            </w:r>
          </w:p>
        </w:tc>
        <w:tc>
          <w:tcPr>
            <w:tcW w:w="4578" w:type="dxa"/>
            <w:tcBorders>
              <w:tl2br w:val="nil"/>
              <w:tr2bl w:val="nil"/>
            </w:tcBorders>
          </w:tcPr>
          <w:p>
            <w:pPr>
              <w:pStyle w:val="4069"/>
              <w:spacing w:line="259" w:lineRule="exact"/>
              <w:ind w:left="101" w:right="0"/>
              <w:jc w:val="left"/>
              <w:rPr>
                <w:rFonts w:ascii="宋体" w:hAnsi="宋体" w:eastAsia="宋体" w:cs="宋体"/>
                <w:sz w:val="21"/>
                <w:szCs w:val="21"/>
              </w:rPr>
            </w:pPr>
            <w:r>
              <w:rPr>
                <w:rFonts w:ascii="宋体" w:hAnsi="宋体" w:eastAsia="宋体" w:cs="宋体"/>
                <w:spacing w:val="7"/>
                <w:sz w:val="21"/>
                <w:szCs w:val="21"/>
              </w:rPr>
              <w:t>①检疫不合格产品以及内脏经收集后委托遵义</w:t>
            </w:r>
          </w:p>
        </w:tc>
        <w:tc>
          <w:tcPr>
            <w:tcW w:w="2749" w:type="dxa"/>
            <w:vMerge w:val="restart"/>
            <w:tcBorders>
              <w:tl2br w:val="nil"/>
              <w:tr2bl w:val="nil"/>
            </w:tcBorders>
          </w:tcPr>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before="19" w:line="240" w:lineRule="exact"/>
              <w:ind w:right="0"/>
              <w:jc w:val="left"/>
              <w:rPr>
                <w:sz w:val="24"/>
                <w:szCs w:val="24"/>
              </w:rPr>
            </w:pPr>
          </w:p>
          <w:p>
            <w:pPr>
              <w:pStyle w:val="4069"/>
              <w:spacing w:line="240" w:lineRule="auto"/>
              <w:ind w:left="738" w:right="0"/>
              <w:jc w:val="left"/>
              <w:rPr>
                <w:rFonts w:ascii="宋体" w:hAnsi="宋体" w:eastAsia="宋体" w:cs="宋体"/>
                <w:sz w:val="21"/>
                <w:szCs w:val="21"/>
              </w:rPr>
            </w:pPr>
            <w:r>
              <w:rPr>
                <w:rFonts w:ascii="宋体" w:hAnsi="宋体" w:eastAsia="宋体" w:cs="宋体"/>
                <w:sz w:val="21"/>
                <w:szCs w:val="21"/>
              </w:rPr>
              <w:t>验收落实情况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pacing w:val="7"/>
                <w:sz w:val="21"/>
                <w:szCs w:val="21"/>
              </w:rPr>
              <w:t>市益农农业资源循环利用有限公司进行妥善处</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理。</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②畜粪</w:t>
            </w:r>
            <w:r>
              <w:rPr>
                <w:rFonts w:ascii="宋体" w:hAnsi="宋体" w:eastAsia="宋体" w:cs="宋体"/>
                <w:spacing w:val="-62"/>
                <w:sz w:val="21"/>
                <w:szCs w:val="21"/>
              </w:rPr>
              <w:t>、</w:t>
            </w:r>
            <w:r>
              <w:rPr>
                <w:rFonts w:ascii="宋体" w:hAnsi="宋体" w:eastAsia="宋体" w:cs="宋体"/>
                <w:sz w:val="21"/>
                <w:szCs w:val="21"/>
              </w:rPr>
              <w:t>屠宰过程产生的肠胃内容物等统一运至</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堆肥间暂存</w:t>
            </w:r>
            <w:r>
              <w:rPr>
                <w:rFonts w:ascii="宋体" w:hAnsi="宋体" w:eastAsia="宋体" w:cs="宋体"/>
                <w:spacing w:val="-30"/>
                <w:sz w:val="21"/>
                <w:szCs w:val="21"/>
              </w:rPr>
              <w:t>，</w:t>
            </w:r>
            <w:r>
              <w:rPr>
                <w:rFonts w:ascii="宋体" w:hAnsi="宋体" w:eastAsia="宋体" w:cs="宋体"/>
                <w:sz w:val="21"/>
                <w:szCs w:val="21"/>
              </w:rPr>
              <w:t>日产日清</w:t>
            </w:r>
            <w:r>
              <w:rPr>
                <w:rFonts w:ascii="宋体" w:hAnsi="宋体" w:eastAsia="宋体" w:cs="宋体"/>
                <w:spacing w:val="-32"/>
                <w:sz w:val="21"/>
                <w:szCs w:val="21"/>
              </w:rPr>
              <w:t>，</w:t>
            </w:r>
            <w:r>
              <w:rPr>
                <w:rFonts w:ascii="宋体" w:hAnsi="宋体" w:eastAsia="宋体" w:cs="宋体"/>
                <w:sz w:val="21"/>
                <w:szCs w:val="21"/>
              </w:rPr>
              <w:t>及时运送至遵义粒满丰</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69"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有机肥有限公司做为生产原料使用。</w:t>
            </w:r>
          </w:p>
          <w:p>
            <w:pPr>
              <w:pStyle w:val="4069"/>
              <w:spacing w:before="40" w:line="275" w:lineRule="auto"/>
              <w:ind w:left="101" w:right="117"/>
              <w:jc w:val="left"/>
              <w:rPr>
                <w:rFonts w:ascii="宋体" w:hAnsi="宋体" w:eastAsia="宋体" w:cs="宋体"/>
                <w:sz w:val="21"/>
                <w:szCs w:val="21"/>
              </w:rPr>
            </w:pPr>
            <w:r>
              <w:rPr>
                <w:rFonts w:ascii="宋体" w:hAnsi="宋体" w:eastAsia="宋体" w:cs="宋体"/>
                <w:spacing w:val="-3"/>
                <w:sz w:val="21"/>
                <w:szCs w:val="21"/>
              </w:rPr>
              <w:t>③屠宰废物如牛皮、羊皮、羊毛、蹄壳等经晾晒</w:t>
            </w:r>
            <w:r>
              <w:rPr>
                <w:rFonts w:ascii="宋体" w:hAnsi="宋体" w:eastAsia="宋体" w:cs="宋体"/>
                <w:spacing w:val="20"/>
                <w:sz w:val="21"/>
                <w:szCs w:val="21"/>
              </w:rPr>
              <w:t xml:space="preserve"> </w:t>
            </w:r>
            <w:r>
              <w:rPr>
                <w:rFonts w:ascii="宋体" w:hAnsi="宋体" w:eastAsia="宋体" w:cs="宋体"/>
                <w:sz w:val="21"/>
                <w:szCs w:val="21"/>
              </w:rPr>
              <w:t>后存储于牛羊保管圈代售或直接外售。</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pacing w:val="7"/>
                <w:sz w:val="21"/>
                <w:szCs w:val="21"/>
              </w:rPr>
              <w:t>④污水处理站固废中废动植物油由具有餐厨垃</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圾处置的资质单位进行妥善处理</w:t>
            </w:r>
            <w:r>
              <w:rPr>
                <w:rFonts w:ascii="宋体" w:hAnsi="宋体" w:eastAsia="宋体" w:cs="宋体"/>
                <w:spacing w:val="-62"/>
                <w:sz w:val="21"/>
                <w:szCs w:val="21"/>
              </w:rPr>
              <w:t>，</w:t>
            </w:r>
            <w:r>
              <w:rPr>
                <w:rFonts w:ascii="宋体" w:hAnsi="宋体" w:eastAsia="宋体" w:cs="宋体"/>
                <w:sz w:val="21"/>
                <w:szCs w:val="21"/>
              </w:rPr>
              <w:t>其余固废均清</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运至附近的生活垃圾转运站集中处理。</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pacing w:val="6"/>
                <w:sz w:val="21"/>
                <w:szCs w:val="21"/>
              </w:rPr>
              <w:t>⑤生活垃圾经袋装收集后送附近村镇生活垃圾</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转运站，由环卫部门统一清运处理。</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58" w:hRule="exact"/>
        </w:trPr>
        <w:tc>
          <w:tcPr>
            <w:tcW w:w="1201" w:type="dxa"/>
            <w:vMerge w:val="restart"/>
            <w:tcBorders>
              <w:tl2br w:val="nil"/>
              <w:tr2bl w:val="nil"/>
            </w:tcBorders>
          </w:tcPr>
          <w:p>
            <w:pPr>
              <w:pStyle w:val="4069"/>
              <w:spacing w:line="259" w:lineRule="exact"/>
              <w:ind w:left="139" w:right="164"/>
              <w:jc w:val="center"/>
              <w:rPr>
                <w:rFonts w:ascii="宋体" w:hAnsi="宋体" w:eastAsia="宋体" w:cs="宋体"/>
                <w:sz w:val="21"/>
                <w:szCs w:val="21"/>
              </w:rPr>
            </w:pPr>
            <w:r>
              <w:rPr>
                <w:rFonts w:ascii="宋体" w:hAnsi="宋体" w:eastAsia="宋体" w:cs="宋体"/>
                <w:sz w:val="21"/>
                <w:szCs w:val="21"/>
              </w:rPr>
              <w:t>风险防范</w:t>
            </w:r>
          </w:p>
          <w:p>
            <w:pPr>
              <w:pStyle w:val="4069"/>
              <w:spacing w:before="40" w:line="240" w:lineRule="auto"/>
              <w:ind w:left="139" w:right="164"/>
              <w:jc w:val="center"/>
              <w:rPr>
                <w:rFonts w:ascii="宋体" w:hAnsi="宋体" w:eastAsia="宋体" w:cs="宋体"/>
                <w:sz w:val="21"/>
                <w:szCs w:val="21"/>
              </w:rPr>
            </w:pPr>
            <w:r>
              <w:rPr>
                <w:rFonts w:ascii="宋体" w:hAnsi="宋体" w:eastAsia="宋体" w:cs="宋体"/>
                <w:sz w:val="21"/>
                <w:szCs w:val="21"/>
              </w:rPr>
              <w:t>措施</w:t>
            </w:r>
          </w:p>
        </w:tc>
        <w:tc>
          <w:tcPr>
            <w:tcW w:w="4578" w:type="dxa"/>
            <w:tcBorders>
              <w:tl2br w:val="nil"/>
              <w:tr2bl w:val="nil"/>
            </w:tcBorders>
          </w:tcPr>
          <w:p>
            <w:pPr>
              <w:pStyle w:val="4069"/>
              <w:spacing w:line="259" w:lineRule="exact"/>
              <w:ind w:left="101" w:right="0"/>
              <w:jc w:val="left"/>
              <w:rPr>
                <w:rFonts w:ascii="宋体" w:hAnsi="宋体" w:eastAsia="宋体" w:cs="宋体"/>
                <w:sz w:val="21"/>
                <w:szCs w:val="21"/>
              </w:rPr>
            </w:pPr>
            <w:r>
              <w:rPr>
                <w:rFonts w:ascii="宋体" w:hAnsi="宋体" w:eastAsia="宋体" w:cs="宋体"/>
                <w:sz w:val="21"/>
                <w:szCs w:val="21"/>
              </w:rPr>
              <w:t>①危险化学品存放区控制火源，保证基础无下沉、倾斜等异常现象，并采取防渗措施。</w:t>
            </w:r>
          </w:p>
        </w:tc>
        <w:tc>
          <w:tcPr>
            <w:tcW w:w="2749" w:type="dxa"/>
            <w:tcBorders>
              <w:tl2br w:val="nil"/>
              <w:tr2bl w:val="nil"/>
            </w:tcBorders>
          </w:tcPr>
          <w:p>
            <w:pPr>
              <w:pStyle w:val="4069"/>
              <w:spacing w:before="143" w:line="240" w:lineRule="auto"/>
              <w:ind w:left="738" w:right="0"/>
              <w:jc w:val="left"/>
              <w:rPr>
                <w:rFonts w:ascii="宋体" w:hAnsi="宋体" w:eastAsia="宋体" w:cs="宋体"/>
                <w:sz w:val="21"/>
                <w:szCs w:val="21"/>
              </w:rPr>
            </w:pPr>
            <w:r>
              <w:rPr>
                <w:rFonts w:ascii="宋体" w:hAnsi="宋体" w:eastAsia="宋体" w:cs="宋体"/>
                <w:sz w:val="21"/>
                <w:szCs w:val="21"/>
              </w:rPr>
              <w:t>验收落实情况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5" w:hRule="exact"/>
        </w:trPr>
        <w:tc>
          <w:tcPr>
            <w:tcW w:w="1201" w:type="dxa"/>
            <w:vMerge w:val="continue"/>
            <w:tcBorders>
              <w:tl2br w:val="nil"/>
              <w:tr2bl w:val="nil"/>
            </w:tcBorders>
          </w:tcPr>
          <w:p/>
        </w:tc>
        <w:tc>
          <w:tcPr>
            <w:tcW w:w="4578" w:type="dxa"/>
            <w:tcBorders>
              <w:tl2br w:val="nil"/>
              <w:tr2bl w:val="nil"/>
            </w:tcBorders>
          </w:tcPr>
          <w:p>
            <w:pPr>
              <w:pStyle w:val="4069"/>
              <w:spacing w:line="259" w:lineRule="exact"/>
              <w:ind w:left="101" w:right="0"/>
              <w:jc w:val="left"/>
              <w:rPr>
                <w:rFonts w:ascii="宋体" w:hAnsi="宋体" w:eastAsia="宋体" w:cs="宋体"/>
                <w:sz w:val="21"/>
                <w:szCs w:val="21"/>
              </w:rPr>
            </w:pPr>
            <w:r>
              <w:rPr>
                <w:rFonts w:ascii="宋体" w:hAnsi="宋体" w:eastAsia="宋体" w:cs="宋体"/>
                <w:sz w:val="21"/>
                <w:szCs w:val="21"/>
              </w:rPr>
              <w:t>②氯酸钠、盐酸储罐罐体必须分别设置围堰。</w:t>
            </w:r>
          </w:p>
        </w:tc>
        <w:tc>
          <w:tcPr>
            <w:tcW w:w="2749" w:type="dxa"/>
            <w:vMerge w:val="restart"/>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③二氧化氯发生器采取自动加药系统</w:t>
            </w:r>
            <w:r>
              <w:rPr>
                <w:rFonts w:ascii="宋体" w:hAnsi="宋体" w:eastAsia="宋体" w:cs="宋体"/>
                <w:spacing w:val="-62"/>
                <w:sz w:val="21"/>
                <w:szCs w:val="21"/>
              </w:rPr>
              <w:t>、</w:t>
            </w:r>
            <w:r>
              <w:rPr>
                <w:rFonts w:ascii="宋体" w:hAnsi="宋体" w:eastAsia="宋体" w:cs="宋体"/>
                <w:sz w:val="21"/>
                <w:szCs w:val="21"/>
              </w:rPr>
              <w:t>设置自动</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报警装置。</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④污水处理站安装废水在线监测设备</w:t>
            </w:r>
            <w:r>
              <w:rPr>
                <w:rFonts w:ascii="宋体" w:hAnsi="宋体" w:eastAsia="宋体" w:cs="宋体"/>
                <w:spacing w:val="-62"/>
                <w:sz w:val="21"/>
                <w:szCs w:val="21"/>
              </w:rPr>
              <w:t>，</w:t>
            </w:r>
            <w:r>
              <w:rPr>
                <w:rFonts w:ascii="宋体" w:hAnsi="宋体" w:eastAsia="宋体" w:cs="宋体"/>
                <w:sz w:val="21"/>
                <w:szCs w:val="21"/>
              </w:rPr>
              <w:t>建设一个</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8" w:hRule="exact"/>
        </w:trPr>
        <w:tc>
          <w:tcPr>
            <w:tcW w:w="1201" w:type="dxa"/>
            <w:vMerge w:val="continue"/>
            <w:tcBorders>
              <w:tl2br w:val="nil"/>
              <w:tr2bl w:val="nil"/>
            </w:tcBorders>
          </w:tcPr>
          <w:p/>
        </w:tc>
        <w:tc>
          <w:tcPr>
            <w:tcW w:w="4578" w:type="dxa"/>
            <w:tcBorders>
              <w:tl2br w:val="nil"/>
              <w:tr2bl w:val="nil"/>
            </w:tcBorders>
          </w:tcPr>
          <w:p>
            <w:pPr>
              <w:pStyle w:val="4069"/>
              <w:spacing w:line="277" w:lineRule="exact"/>
              <w:ind w:left="101" w:right="0"/>
              <w:jc w:val="left"/>
              <w:rPr>
                <w:rFonts w:ascii="宋体" w:hAnsi="宋体" w:eastAsia="宋体" w:cs="宋体"/>
                <w:sz w:val="21"/>
                <w:szCs w:val="21"/>
              </w:rPr>
            </w:pPr>
            <w:r>
              <w:rPr>
                <w:rFonts w:ascii="宋体" w:hAnsi="宋体" w:eastAsia="宋体" w:cs="宋体"/>
                <w:sz w:val="21"/>
                <w:szCs w:val="21"/>
              </w:rPr>
              <w:t>容积为</w:t>
            </w:r>
            <w:r>
              <w:rPr>
                <w:rFonts w:hint="eastAsia" w:ascii="宋体" w:hAnsi="宋体" w:eastAsia="宋体" w:cs="宋体"/>
                <w:sz w:val="21"/>
                <w:szCs w:val="21"/>
                <w:lang w:val="en-US" w:eastAsia="zh-CN"/>
              </w:rPr>
              <w:t>120</w:t>
            </w:r>
            <w:r>
              <w:rPr>
                <w:rFonts w:ascii="宋体" w:hAnsi="宋体" w:eastAsia="宋体" w:cs="宋体"/>
                <w:sz w:val="21"/>
                <w:szCs w:val="21"/>
              </w:rPr>
              <w:t>m</w:t>
            </w:r>
            <w:r>
              <w:rPr>
                <w:rFonts w:ascii="Times New Roman" w:hAnsi="Times New Roman" w:eastAsia="Times New Roman" w:cs="Times New Roman"/>
                <w:position w:val="7"/>
                <w:sz w:val="13"/>
                <w:szCs w:val="13"/>
              </w:rPr>
              <w:t>3</w:t>
            </w:r>
            <w:r>
              <w:rPr>
                <w:rFonts w:ascii="Times New Roman" w:hAnsi="Times New Roman" w:eastAsia="Times New Roman" w:cs="Times New Roman"/>
                <w:spacing w:val="1"/>
                <w:position w:val="7"/>
                <w:sz w:val="13"/>
                <w:szCs w:val="13"/>
              </w:rPr>
              <w:t xml:space="preserve"> </w:t>
            </w:r>
            <w:r>
              <w:rPr>
                <w:rFonts w:ascii="宋体" w:hAnsi="宋体" w:eastAsia="宋体" w:cs="宋体"/>
                <w:sz w:val="21"/>
                <w:szCs w:val="21"/>
              </w:rPr>
              <w:t>的事故应急</w:t>
            </w:r>
            <w:r>
              <w:rPr>
                <w:rFonts w:ascii="宋体" w:hAnsi="宋体" w:eastAsia="宋体" w:cs="宋体"/>
                <w:spacing w:val="-64"/>
                <w:sz w:val="21"/>
                <w:szCs w:val="21"/>
              </w:rPr>
              <w:t>池</w:t>
            </w:r>
            <w:r>
              <w:rPr>
                <w:rFonts w:ascii="宋体" w:hAnsi="宋体" w:eastAsia="宋体" w:cs="宋体"/>
                <w:sz w:val="21"/>
                <w:szCs w:val="21"/>
              </w:rPr>
              <w:t>（兼顾消防废水收集</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6" w:hRule="exact"/>
        </w:trPr>
        <w:tc>
          <w:tcPr>
            <w:tcW w:w="1201" w:type="dxa"/>
            <w:vMerge w:val="continue"/>
            <w:tcBorders>
              <w:tl2br w:val="nil"/>
              <w:tr2bl w:val="nil"/>
            </w:tcBorders>
          </w:tcPr>
          <w:p/>
        </w:tc>
        <w:tc>
          <w:tcPr>
            <w:tcW w:w="4578" w:type="dxa"/>
            <w:tcBorders>
              <w:tl2br w:val="nil"/>
              <w:tr2bl w:val="nil"/>
            </w:tcBorders>
          </w:tcPr>
          <w:p>
            <w:pPr>
              <w:pStyle w:val="4069"/>
              <w:spacing w:line="255" w:lineRule="exact"/>
              <w:ind w:left="101" w:right="0"/>
              <w:jc w:val="left"/>
              <w:rPr>
                <w:rFonts w:ascii="宋体" w:hAnsi="宋体" w:eastAsia="宋体" w:cs="宋体"/>
                <w:sz w:val="21"/>
                <w:szCs w:val="21"/>
              </w:rPr>
            </w:pPr>
            <w:r>
              <w:rPr>
                <w:rFonts w:ascii="宋体" w:hAnsi="宋体" w:eastAsia="宋体" w:cs="宋体"/>
                <w:sz w:val="21"/>
                <w:szCs w:val="21"/>
              </w:rPr>
              <w:t>池，保持空池状态）</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9"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⑤制定定点定时巡检制度。</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exact"/>
        </w:trPr>
        <w:tc>
          <w:tcPr>
            <w:tcW w:w="1201" w:type="dxa"/>
            <w:vMerge w:val="restart"/>
            <w:tcBorders>
              <w:tl2br w:val="nil"/>
              <w:tr2bl w:val="nil"/>
            </w:tcBorders>
          </w:tcPr>
          <w:p>
            <w:pPr>
              <w:pStyle w:val="4069"/>
              <w:spacing w:before="0" w:line="100" w:lineRule="exact"/>
              <w:ind w:right="0"/>
              <w:jc w:val="left"/>
              <w:rPr>
                <w:sz w:val="10"/>
                <w:szCs w:val="10"/>
              </w:rPr>
            </w:pPr>
          </w:p>
          <w:p>
            <w:pPr>
              <w:pStyle w:val="4069"/>
              <w:spacing w:line="200" w:lineRule="exact"/>
              <w:ind w:right="0"/>
              <w:jc w:val="left"/>
              <w:rPr>
                <w:sz w:val="20"/>
                <w:szCs w:val="20"/>
              </w:rPr>
            </w:pPr>
          </w:p>
          <w:p>
            <w:pPr>
              <w:pStyle w:val="4069"/>
              <w:spacing w:line="275" w:lineRule="auto"/>
              <w:ind w:left="262" w:right="0" w:hanging="105"/>
              <w:jc w:val="left"/>
              <w:rPr>
                <w:rFonts w:ascii="宋体" w:hAnsi="宋体" w:eastAsia="宋体" w:cs="宋体"/>
                <w:sz w:val="21"/>
                <w:szCs w:val="21"/>
              </w:rPr>
            </w:pPr>
            <w:r>
              <w:rPr>
                <w:rFonts w:ascii="宋体" w:hAnsi="宋体" w:eastAsia="宋体" w:cs="宋体"/>
                <w:sz w:val="21"/>
                <w:szCs w:val="21"/>
              </w:rPr>
              <w:t>环保管理 与监测</w:t>
            </w:r>
          </w:p>
        </w:tc>
        <w:tc>
          <w:tcPr>
            <w:tcW w:w="4578" w:type="dxa"/>
            <w:tcBorders>
              <w:tl2br w:val="nil"/>
              <w:tr2bl w:val="nil"/>
            </w:tcBorders>
          </w:tcPr>
          <w:p>
            <w:pPr>
              <w:pStyle w:val="4069"/>
              <w:spacing w:line="260" w:lineRule="exact"/>
              <w:ind w:left="101" w:right="0"/>
              <w:jc w:val="left"/>
              <w:rPr>
                <w:rFonts w:ascii="宋体" w:hAnsi="宋体" w:eastAsia="宋体" w:cs="宋体"/>
                <w:sz w:val="21"/>
                <w:szCs w:val="21"/>
              </w:rPr>
            </w:pPr>
            <w:r>
              <w:rPr>
                <w:rFonts w:ascii="宋体" w:hAnsi="宋体" w:eastAsia="宋体" w:cs="宋体"/>
                <w:sz w:val="21"/>
                <w:szCs w:val="21"/>
              </w:rPr>
              <w:t>①成立专门环境管理机构</w:t>
            </w:r>
            <w:r>
              <w:rPr>
                <w:rFonts w:ascii="宋体" w:hAnsi="宋体" w:eastAsia="宋体" w:cs="宋体"/>
                <w:spacing w:val="-62"/>
                <w:sz w:val="21"/>
                <w:szCs w:val="21"/>
              </w:rPr>
              <w:t>，</w:t>
            </w:r>
            <w:r>
              <w:rPr>
                <w:rFonts w:ascii="宋体" w:hAnsi="宋体" w:eastAsia="宋体" w:cs="宋体"/>
                <w:sz w:val="21"/>
                <w:szCs w:val="21"/>
              </w:rPr>
              <w:t>配备环境管理与监测</w:t>
            </w:r>
          </w:p>
        </w:tc>
        <w:tc>
          <w:tcPr>
            <w:tcW w:w="2749" w:type="dxa"/>
            <w:vMerge w:val="restart"/>
            <w:tcBorders>
              <w:tl2br w:val="nil"/>
              <w:tr2bl w:val="nil"/>
            </w:tcBorders>
          </w:tcPr>
          <w:p>
            <w:pPr>
              <w:pStyle w:val="4069"/>
              <w:spacing w:line="200" w:lineRule="exact"/>
              <w:ind w:right="0"/>
              <w:jc w:val="left"/>
              <w:rPr>
                <w:sz w:val="20"/>
                <w:szCs w:val="20"/>
              </w:rPr>
            </w:pPr>
          </w:p>
          <w:p>
            <w:pPr>
              <w:pStyle w:val="4069"/>
              <w:spacing w:before="16" w:line="240" w:lineRule="exact"/>
              <w:ind w:right="0"/>
              <w:jc w:val="left"/>
              <w:rPr>
                <w:sz w:val="24"/>
                <w:szCs w:val="24"/>
              </w:rPr>
            </w:pPr>
          </w:p>
          <w:p>
            <w:pPr>
              <w:pStyle w:val="4069"/>
              <w:spacing w:line="240" w:lineRule="auto"/>
              <w:ind w:left="737" w:right="0"/>
              <w:jc w:val="left"/>
              <w:rPr>
                <w:rFonts w:ascii="宋体" w:hAnsi="宋体" w:eastAsia="宋体" w:cs="宋体"/>
                <w:sz w:val="21"/>
                <w:szCs w:val="21"/>
              </w:rPr>
            </w:pPr>
            <w:r>
              <w:rPr>
                <w:rFonts w:ascii="宋体" w:hAnsi="宋体" w:eastAsia="宋体" w:cs="宋体"/>
                <w:sz w:val="21"/>
                <w:szCs w:val="21"/>
              </w:rPr>
              <w:t>验收落实情况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专职人员。</w:t>
            </w:r>
          </w:p>
          <w:p>
            <w:pPr>
              <w:pStyle w:val="4069"/>
              <w:spacing w:before="40" w:line="240" w:lineRule="auto"/>
              <w:ind w:left="101" w:right="0"/>
              <w:jc w:val="left"/>
              <w:rPr>
                <w:rFonts w:ascii="宋体" w:hAnsi="宋体" w:eastAsia="宋体" w:cs="宋体"/>
                <w:sz w:val="21"/>
                <w:szCs w:val="21"/>
              </w:rPr>
            </w:pPr>
            <w:r>
              <w:rPr>
                <w:rFonts w:ascii="宋体" w:hAnsi="宋体" w:eastAsia="宋体" w:cs="宋体"/>
                <w:sz w:val="21"/>
                <w:szCs w:val="21"/>
              </w:rPr>
              <w:t>②制定完善的环境管理与监测制度。</w:t>
            </w:r>
          </w:p>
        </w:tc>
        <w:tc>
          <w:tcPr>
            <w:tcW w:w="2749"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2" w:hRule="exact"/>
        </w:trPr>
        <w:tc>
          <w:tcPr>
            <w:tcW w:w="1201" w:type="dxa"/>
            <w:vMerge w:val="continue"/>
            <w:tcBorders>
              <w:tl2br w:val="nil"/>
              <w:tr2bl w:val="nil"/>
            </w:tcBorders>
          </w:tcPr>
          <w:p/>
        </w:tc>
        <w:tc>
          <w:tcPr>
            <w:tcW w:w="4578" w:type="dxa"/>
            <w:tcBorders>
              <w:tl2br w:val="nil"/>
              <w:tr2bl w:val="nil"/>
            </w:tcBorders>
          </w:tcPr>
          <w:p>
            <w:pPr>
              <w:pStyle w:val="4069"/>
              <w:spacing w:line="261" w:lineRule="exact"/>
              <w:ind w:left="101" w:right="0"/>
              <w:jc w:val="left"/>
              <w:rPr>
                <w:rFonts w:ascii="宋体" w:hAnsi="宋体" w:eastAsia="宋体" w:cs="宋体"/>
                <w:sz w:val="21"/>
                <w:szCs w:val="21"/>
              </w:rPr>
            </w:pPr>
            <w:r>
              <w:rPr>
                <w:rFonts w:ascii="宋体" w:hAnsi="宋体" w:eastAsia="宋体" w:cs="宋体"/>
                <w:sz w:val="21"/>
                <w:szCs w:val="21"/>
              </w:rPr>
              <w:t>③按计划实施环境跟踪监测计划。</w:t>
            </w:r>
          </w:p>
        </w:tc>
        <w:tc>
          <w:tcPr>
            <w:tcW w:w="2749" w:type="dxa"/>
            <w:vMerge w:val="continue"/>
            <w:tcBorders>
              <w:tl2br w:val="nil"/>
              <w:tr2bl w:val="nil"/>
            </w:tcBorders>
          </w:tcPr>
          <w:p/>
        </w:tc>
      </w:tr>
    </w:tbl>
    <w:p>
      <w:pPr>
        <w:pStyle w:val="1659"/>
      </w:pPr>
    </w:p>
    <w:p>
      <w:pPr>
        <w:pStyle w:val="4"/>
        <w:spacing w:before="240" w:after="240"/>
      </w:pPr>
      <w:bookmarkStart w:id="295" w:name="_Toc286758256"/>
      <w:bookmarkStart w:id="296" w:name="_Toc320143030"/>
      <w:bookmarkStart w:id="297" w:name="_Toc6345"/>
      <w:bookmarkStart w:id="298" w:name="_Toc271102133"/>
      <w:bookmarkStart w:id="299" w:name="_Toc320143045"/>
      <w:bookmarkStart w:id="300" w:name="_Toc124154149"/>
      <w:bookmarkStart w:id="301" w:name="_Toc124153565"/>
      <w:r>
        <w:t>建设项目环境经济损益分析</w:t>
      </w:r>
      <w:bookmarkEnd w:id="295"/>
      <w:bookmarkEnd w:id="296"/>
      <w:bookmarkEnd w:id="297"/>
    </w:p>
    <w:p>
      <w:pPr>
        <w:pStyle w:val="1659"/>
      </w:pPr>
      <w:bookmarkStart w:id="302" w:name="_Toc372115230"/>
      <w:bookmarkStart w:id="303" w:name="_Toc358110570"/>
      <w:bookmarkStart w:id="304" w:name="_Toc320143036"/>
      <w:bookmarkStart w:id="305" w:name="_Toc353348570"/>
      <w:r>
        <w:t>环境经济损益分析是对项目的经济效益、社会效益和环境效益进行分析，分 析本项目在发展经济的同时保护好环境，从而促进社会的稳定，实现三效益协调 统一和可持续发展，使项目的建设论证更加充分可靠，工程的设计和实施更加完 善，以实现社会的良性发展、经济的持续增长和环境质量的保持与改善。</w:t>
      </w:r>
    </w:p>
    <w:p>
      <w:pPr>
        <w:pStyle w:val="5"/>
        <w:spacing w:before="120" w:after="120"/>
      </w:pPr>
      <w:bookmarkStart w:id="306" w:name="_Toc320143032"/>
      <w:bookmarkStart w:id="307" w:name="_Toc318625046"/>
      <w:bookmarkStart w:id="308" w:name="_Toc372483800"/>
      <w:bookmarkStart w:id="309" w:name="_Toc10181"/>
      <w:r>
        <w:rPr>
          <w:rFonts w:hint="eastAsia"/>
          <w:lang w:eastAsia="zh-CN"/>
        </w:rPr>
        <w:t>社会、经济</w:t>
      </w:r>
      <w:r>
        <w:t>效益分析</w:t>
      </w:r>
      <w:bookmarkEnd w:id="306"/>
      <w:bookmarkEnd w:id="307"/>
      <w:bookmarkEnd w:id="308"/>
      <w:bookmarkEnd w:id="309"/>
    </w:p>
    <w:p>
      <w:pPr>
        <w:pStyle w:val="1659"/>
        <w:rPr>
          <w:rFonts w:hint="eastAsia" w:ascii="宋体" w:hAnsi="宋体" w:cs="宋体"/>
        </w:rPr>
      </w:pPr>
      <w:r>
        <w:rPr>
          <w:rFonts w:hint="eastAsia" w:ascii="宋体" w:hAnsi="宋体" w:cs="宋体"/>
        </w:rPr>
        <w:t>本项目的建设，主要有以下几方面的社会效益：</w:t>
      </w:r>
    </w:p>
    <w:p>
      <w:pPr>
        <w:pStyle w:val="1659"/>
        <w:rPr>
          <w:rFonts w:hint="eastAsia" w:ascii="宋体" w:hAnsi="宋体" w:cs="宋体"/>
        </w:rPr>
      </w:pPr>
      <w:r>
        <w:rPr>
          <w:rFonts w:hint="eastAsia" w:ascii="宋体" w:hAnsi="宋体" w:cs="宋体"/>
        </w:rPr>
        <w:t>（1）项目完成后，可为当地及周边地区市场提供优质肉品，使人们吃到放 心肉品，极大满足人们日益提高的生活水平需要。同时，项目可带动当地养殖业 发展，当地农民通过养牛来增加收入，提高生活水平。</w:t>
      </w:r>
    </w:p>
    <w:p>
      <w:pPr>
        <w:pStyle w:val="1659"/>
        <w:rPr>
          <w:rFonts w:hint="eastAsia" w:ascii="宋体" w:hAnsi="宋体" w:cs="宋体"/>
        </w:rPr>
      </w:pPr>
      <w:r>
        <w:rPr>
          <w:rFonts w:hint="eastAsia" w:ascii="宋体" w:hAnsi="宋体" w:cs="宋体"/>
        </w:rPr>
        <w:t>（2）有利于当地劳动力、水、电及原材料成本低优势转化为现实工业优势， 扩大工业经济总量；从而带动当地就业，带动劳动者收入与地方财政收入。</w:t>
      </w:r>
    </w:p>
    <w:p>
      <w:pPr>
        <w:pStyle w:val="1659"/>
        <w:rPr>
          <w:rFonts w:hint="eastAsia" w:ascii="宋体" w:hAnsi="宋体" w:cs="宋体"/>
        </w:rPr>
      </w:pPr>
      <w:r>
        <w:rPr>
          <w:rFonts w:hint="eastAsia" w:ascii="宋体" w:hAnsi="宋体" w:cs="宋体"/>
        </w:rPr>
        <w:t>（3）可有效消化部分剩余劳动力，解决剩余劳动力的出路，对促进地方就 业起到了积极的作用。</w:t>
      </w:r>
    </w:p>
    <w:p>
      <w:pPr>
        <w:pStyle w:val="1659"/>
        <w:rPr>
          <w:rFonts w:hint="eastAsia" w:ascii="宋体" w:hAnsi="宋体" w:cs="宋体"/>
        </w:rPr>
      </w:pPr>
      <w:r>
        <w:rPr>
          <w:rFonts w:hint="eastAsia" w:ascii="宋体" w:hAnsi="宋体" w:cs="宋体"/>
        </w:rPr>
        <w:t>（4）本项目完成后可解决</w:t>
      </w:r>
      <w:r>
        <w:rPr>
          <w:rFonts w:hint="eastAsia" w:ascii="宋体" w:hAnsi="宋体" w:cs="宋体"/>
          <w:lang w:eastAsia="zh-CN"/>
        </w:rPr>
        <w:t>义龙新区</w:t>
      </w:r>
      <w:r>
        <w:rPr>
          <w:rFonts w:hint="eastAsia" w:ascii="宋体" w:hAnsi="宋体" w:cs="宋体"/>
        </w:rPr>
        <w:t>城区屠宰场规模小，规范市区屠宰加工市 场，满足定点屠宰的环境保护要求，保障社会公共卫生安全，将极大程度满足市 场对肉内产品的旺盛要求。</w:t>
      </w:r>
    </w:p>
    <w:p>
      <w:pPr>
        <w:pStyle w:val="1659"/>
        <w:rPr>
          <w:rFonts w:hint="eastAsia" w:ascii="宋体" w:hAnsi="宋体" w:cs="宋体"/>
        </w:rPr>
      </w:pPr>
      <w:r>
        <w:rPr>
          <w:rFonts w:hint="eastAsia" w:ascii="宋体" w:hAnsi="宋体" w:cs="宋体"/>
        </w:rPr>
        <w:t>因此，综上所述，本项目具有良好的社会、经济效益。</w:t>
      </w:r>
    </w:p>
    <w:p>
      <w:pPr>
        <w:pStyle w:val="5"/>
        <w:spacing w:before="120" w:after="120"/>
      </w:pPr>
      <w:bookmarkStart w:id="310" w:name="_Toc320143035"/>
      <w:bookmarkStart w:id="311" w:name="_Toc372483803"/>
      <w:bookmarkStart w:id="312" w:name="_Toc286758260"/>
      <w:bookmarkStart w:id="313" w:name="_Toc3323"/>
      <w:r>
        <w:rPr>
          <w:rFonts w:hint="eastAsia"/>
          <w:lang w:eastAsia="zh-CN"/>
        </w:rPr>
        <w:t>环境、经济</w:t>
      </w:r>
      <w:r>
        <w:t>效益分析</w:t>
      </w:r>
      <w:bookmarkEnd w:id="310"/>
      <w:bookmarkEnd w:id="311"/>
      <w:bookmarkEnd w:id="312"/>
      <w:bookmarkEnd w:id="313"/>
    </w:p>
    <w:p>
      <w:pPr>
        <w:pStyle w:val="1659"/>
      </w:pPr>
      <w:r>
        <w:t>本项目的环境影响主要有以下几个方面：水环境、大气环境、声环境和生态 环境。从本报告的环境影响分析的结果可知，本项目在正常营运期间环境影响较 少，但发生事故或非正常排放时，会对周围环境造成的一定影响。但是，这些影 响造成的损失难以定量确定，下面仅作定性分析。</w:t>
      </w:r>
    </w:p>
    <w:p>
      <w:pPr>
        <w:pStyle w:val="1659"/>
      </w:pPr>
      <w:r>
        <w:t>生态破坏经济损失主要表现为项目区水土流失。但只在施工期雨季时施工工 地有很少量的水土流失，生态经济损失量很小。</w:t>
      </w:r>
    </w:p>
    <w:p>
      <w:pPr>
        <w:pStyle w:val="1659"/>
      </w:pPr>
      <w:r>
        <w:t>水体污染经济损失表现在，废水经处理后纳入</w:t>
      </w:r>
      <w:r>
        <w:rPr>
          <w:rFonts w:hint="eastAsia"/>
          <w:lang w:eastAsia="zh-CN"/>
        </w:rPr>
        <w:t>万屯镇</w:t>
      </w:r>
      <w:r>
        <w:t>污水处理</w:t>
      </w:r>
      <w:r>
        <w:rPr>
          <w:rFonts w:hint="eastAsia"/>
          <w:lang w:eastAsia="zh-CN"/>
        </w:rPr>
        <w:t>厂</w:t>
      </w:r>
      <w:r>
        <w:t>，增加了污水厂和周边水环境的处理负荷。但是根据环评分析，废水正常排放不会明显改变当地水体的水质情况。</w:t>
      </w:r>
    </w:p>
    <w:p>
      <w:pPr>
        <w:pStyle w:val="1659"/>
      </w:pPr>
      <w:r>
        <w:t>大气污染经济损失主要表现在恶臭的排放可能引起周围空气的质量略有下降，项目废气污染物排放量较少，经过大气扩散稀释后，对当地环境空气质量影响不大。</w:t>
      </w:r>
    </w:p>
    <w:p>
      <w:pPr>
        <w:pStyle w:val="1659"/>
      </w:pPr>
      <w:r>
        <w:t>噪声影响经济损失表现在噪声可能使人们听力或健康受到损伤，降低人们的 工作效率。但噪声源离村庄等敏感点较远，本项目生产期间的噪声对其不会造成 影响。</w:t>
      </w:r>
    </w:p>
    <w:p>
      <w:pPr>
        <w:pStyle w:val="1659"/>
      </w:pPr>
      <w:r>
        <w:t>总的来说，环境经济损失比较小。</w:t>
      </w:r>
    </w:p>
    <w:p>
      <w:pPr>
        <w:pStyle w:val="5"/>
        <w:spacing w:before="120" w:after="120"/>
      </w:pPr>
      <w:bookmarkStart w:id="314" w:name="_Toc372483804"/>
      <w:bookmarkStart w:id="315" w:name="_Toc8839"/>
      <w:r>
        <w:t>分析结论</w:t>
      </w:r>
      <w:bookmarkEnd w:id="314"/>
      <w:bookmarkEnd w:id="315"/>
    </w:p>
    <w:p>
      <w:pPr>
        <w:pStyle w:val="1659"/>
      </w:pPr>
      <w:r>
        <w:t>综上所述，该项目的建设具有显著的经济效益、环境效益和社会效益。</w:t>
      </w:r>
    </w:p>
    <w:p>
      <w:pPr>
        <w:adjustRightInd w:val="0"/>
        <w:snapToGrid w:val="0"/>
        <w:spacing w:line="360" w:lineRule="auto"/>
        <w:ind w:firstLine="411" w:firstLineChars="196"/>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linePitch="312" w:charSpace="0"/>
        </w:sectPr>
      </w:pPr>
    </w:p>
    <w:bookmarkEnd w:id="302"/>
    <w:bookmarkEnd w:id="303"/>
    <w:bookmarkEnd w:id="304"/>
    <w:bookmarkEnd w:id="305"/>
    <w:p>
      <w:pPr>
        <w:pStyle w:val="4"/>
        <w:spacing w:before="240" w:after="240"/>
      </w:pPr>
      <w:bookmarkStart w:id="316" w:name="_Toc24392"/>
      <w:r>
        <w:t>环境管理及监测</w:t>
      </w:r>
      <w:bookmarkEnd w:id="298"/>
      <w:bookmarkEnd w:id="299"/>
      <w:bookmarkEnd w:id="316"/>
    </w:p>
    <w:p>
      <w:pPr>
        <w:pStyle w:val="5"/>
        <w:spacing w:before="120" w:after="120"/>
      </w:pPr>
      <w:bookmarkStart w:id="317" w:name="_Toc271102134"/>
      <w:bookmarkStart w:id="318" w:name="_Toc320143046"/>
      <w:bookmarkStart w:id="319" w:name="_Toc2569"/>
      <w:r>
        <w:t>环境管理</w:t>
      </w:r>
      <w:bookmarkEnd w:id="317"/>
      <w:bookmarkEnd w:id="318"/>
      <w:r>
        <w:t>计划</w:t>
      </w:r>
      <w:bookmarkEnd w:id="319"/>
    </w:p>
    <w:p>
      <w:pPr>
        <w:pStyle w:val="6"/>
      </w:pPr>
      <w:bookmarkStart w:id="320" w:name="_Toc6957"/>
      <w:r>
        <w:t>施工期环境管理计划</w:t>
      </w:r>
      <w:bookmarkEnd w:id="320"/>
    </w:p>
    <w:p>
      <w:pPr>
        <w:pStyle w:val="1659"/>
      </w:pPr>
      <w:r>
        <w:t>根据建设项目环境监理工作管理要求，本项目需开展环境监理工作。因此，施工期间，本项目的环境管理工作拟由建设单位、环境监理单位和施工单位共同承担。</w:t>
      </w:r>
    </w:p>
    <w:p>
      <w:pPr>
        <w:pStyle w:val="1659"/>
      </w:pPr>
      <w:r>
        <w:rPr>
          <w:rFonts w:hint="eastAsia" w:ascii="宋体" w:hAnsi="宋体" w:cs="宋体"/>
        </w:rPr>
        <w:t>⑴</w:t>
      </w:r>
      <w:r>
        <w:t>建设单位环境管理职责</w:t>
      </w:r>
    </w:p>
    <w:p>
      <w:pPr>
        <w:pStyle w:val="1659"/>
      </w:pPr>
      <w:r>
        <w:t>施工期间，建设单位应设专职环境管理人员，负责工程施工期（从工程施工开始至工程竣工验收期间）的环境保护工作。具体职责包括：统筹管理施工期间的环境保护工作；制定施工期环境管理方案与计划；协调环境监理单位、施工单位依照承包合同条款、环境影响报告书及其批复意见的内容开展和落实工作；处理施工期内环境污染事故和纠纷，并及时向上级部门汇报等。</w:t>
      </w:r>
    </w:p>
    <w:p>
      <w:pPr>
        <w:pStyle w:val="1659"/>
      </w:pPr>
      <w:r>
        <w:rPr>
          <w:rFonts w:hint="eastAsia" w:ascii="宋体" w:hAnsi="宋体" w:cs="宋体"/>
        </w:rPr>
        <w:t>⑵</w:t>
      </w:r>
      <w:r>
        <w:t>环境监理单位环境管理职责</w:t>
      </w:r>
    </w:p>
    <w:p>
      <w:pPr>
        <w:pStyle w:val="1659"/>
      </w:pPr>
      <w:r>
        <w:t>施工环境监理单位接受建设单位委托，承担本项目施工期的环境监理工作，代表建设单位对施工单位的施工行为进行检查，并对污染防治和生态保护的情况进行监督，确保各项环境保护措施落实。监理单位的主要任务包括两方面，一是依据相关法律法规，对工程建设过程中污染环境、破坏生态的行为进行监督管理，使施工过程符合环保要求；二是对建设项目配套的环境保护措施进行施工监理。</w:t>
      </w:r>
    </w:p>
    <w:p>
      <w:pPr>
        <w:pStyle w:val="1659"/>
      </w:pPr>
      <w:r>
        <w:rPr>
          <w:rFonts w:hint="eastAsia" w:ascii="宋体" w:hAnsi="宋体" w:cs="宋体"/>
        </w:rPr>
        <w:t>⑶</w:t>
      </w:r>
      <w:r>
        <w:t>施工单位环境管理职责</w:t>
      </w:r>
    </w:p>
    <w:p>
      <w:pPr>
        <w:pStyle w:val="1659"/>
      </w:pPr>
      <w:r>
        <w:t>施工单位是承包合同中各项环境保护措施的执行者，并要接受建设单位、环境监理单位及有关环保管理部门的监督和管理。施工单位应设立环境保护管理机构，工程竣工并验收合格后撤消。其主要职责包括：</w:t>
      </w:r>
    </w:p>
    <w:p>
      <w:pPr>
        <w:pStyle w:val="1659"/>
      </w:pPr>
      <w:r>
        <w:t></w:t>
      </w:r>
      <w:r>
        <w:rPr>
          <w:rFonts w:hint="eastAsia" w:ascii="宋体" w:hAnsi="宋体" w:cs="宋体"/>
        </w:rPr>
        <w:t>①</w:t>
      </w:r>
      <w:r>
        <w:t>在施工前，应按照建设单位制定的环境管理方案，编制详细的“环境管理方案”，并连同施工计划一起呈报建设单位和监理单位环境管理部门，批准后方可以开工。</w:t>
      </w:r>
    </w:p>
    <w:p>
      <w:pPr>
        <w:pStyle w:val="1659"/>
      </w:pPr>
      <w:r>
        <w:t></w:t>
      </w:r>
      <w:r>
        <w:rPr>
          <w:rFonts w:hint="eastAsia" w:ascii="宋体" w:hAnsi="宋体" w:cs="宋体"/>
        </w:rPr>
        <w:t>②</w:t>
      </w:r>
      <w:r>
        <w:t>施工期间的各项活动需依据承包合同条款、环境影响报告书及其批复意见的内容严格执行，尽量减轻施工期对环境的污染；</w:t>
      </w:r>
    </w:p>
    <w:p>
      <w:pPr>
        <w:pStyle w:val="1659"/>
      </w:pPr>
      <w:r>
        <w:t></w:t>
      </w:r>
      <w:r>
        <w:rPr>
          <w:rFonts w:hint="eastAsia" w:ascii="宋体" w:hAnsi="宋体" w:cs="宋体"/>
        </w:rPr>
        <w:t>③</w:t>
      </w:r>
      <w:r>
        <w:t>定期向监理单位和建设单位汇报承包合同中各项环保条款的执行情况，并负责环保措施的建设进度、建设质量、运行和检测情况。</w:t>
      </w:r>
    </w:p>
    <w:p>
      <w:pPr>
        <w:pStyle w:val="6"/>
      </w:pPr>
      <w:bookmarkStart w:id="321" w:name="_Toc22070"/>
      <w:r>
        <w:t>运营期环境管理计划</w:t>
      </w:r>
      <w:bookmarkEnd w:id="321"/>
    </w:p>
    <w:p>
      <w:pPr>
        <w:pStyle w:val="1659"/>
      </w:pPr>
      <w:r>
        <w:t>一、</w:t>
      </w:r>
      <w:r>
        <w:rPr>
          <w:rFonts w:hint="eastAsia" w:ascii="宋体" w:hAnsi="宋体"/>
        </w:rPr>
        <w:t>建设单位</w:t>
      </w:r>
      <w:r>
        <w:rPr>
          <w:rFonts w:ascii="宋体" w:hAnsi="宋体"/>
        </w:rPr>
        <w:t>为</w:t>
      </w:r>
      <w:r>
        <w:rPr>
          <w:rFonts w:hint="eastAsia" w:ascii="宋体" w:hAnsi="宋体"/>
        </w:rPr>
        <w:t>固体废物</w:t>
      </w:r>
      <w:r>
        <w:rPr>
          <w:rFonts w:ascii="宋体" w:hAnsi="宋体"/>
        </w:rPr>
        <w:t>污染防治的责任主体</w:t>
      </w:r>
      <w:r>
        <w:rPr>
          <w:rFonts w:hint="eastAsia" w:ascii="宋体" w:hAnsi="宋体"/>
        </w:rPr>
        <w:t>，要求企业</w:t>
      </w:r>
      <w:r>
        <w:rPr>
          <w:rFonts w:ascii="宋体" w:hAnsi="宋体"/>
        </w:rPr>
        <w:t>建立风险管理及应急救援体系</w:t>
      </w:r>
      <w:r>
        <w:rPr>
          <w:rFonts w:hint="eastAsia" w:ascii="宋体" w:hAnsi="宋体"/>
        </w:rPr>
        <w:t>，执行</w:t>
      </w:r>
      <w:r>
        <w:rPr>
          <w:rFonts w:ascii="宋体" w:hAnsi="宋体"/>
        </w:rPr>
        <w:t>环境监测计划、转移联单管理制度</w:t>
      </w:r>
      <w:r>
        <w:rPr>
          <w:rFonts w:hint="eastAsia" w:ascii="宋体" w:hAnsi="宋体"/>
        </w:rPr>
        <w:t>及国家和省有关转移管理的相关规定</w:t>
      </w:r>
      <w:r>
        <w:rPr>
          <w:rFonts w:ascii="宋体" w:hAnsi="宋体"/>
        </w:rPr>
        <w:t>、处置过程安全操作规程、人员培训考核制度、档案管理制度、处置全过程管理制度等。</w:t>
      </w:r>
    </w:p>
    <w:p>
      <w:pPr>
        <w:pStyle w:val="1659"/>
      </w:pPr>
      <w:r>
        <w:rPr>
          <w:rFonts w:hint="eastAsia"/>
        </w:rPr>
        <w:t>二</w:t>
      </w:r>
      <w:r>
        <w:t>、</w:t>
      </w:r>
      <w:r>
        <w:rPr>
          <w:rFonts w:hint="eastAsia" w:ascii="宋体" w:hAnsi="宋体"/>
        </w:rPr>
        <w:t>建设单位应通过危险废物动态管理信息系统进行危险废物申报登记。将危险废物的实际产生、贮存、利用、处置等情况纳入生产记录，建立危险废物管理台账和企业内部产生和收集、贮存、转移等部门危险废物交接制度。</w:t>
      </w:r>
    </w:p>
    <w:p>
      <w:pPr>
        <w:adjustRightInd w:val="0"/>
        <w:snapToGrid w:val="0"/>
        <w:spacing w:line="360" w:lineRule="auto"/>
        <w:ind w:firstLine="480" w:firstLineChars="200"/>
        <w:jc w:val="left"/>
        <w:rPr>
          <w:rFonts w:ascii="宋体" w:hAnsi="宋体"/>
          <w:sz w:val="24"/>
        </w:rPr>
      </w:pPr>
      <w:r>
        <w:rPr>
          <w:rFonts w:hint="eastAsia" w:ascii="宋体" w:hAnsi="宋体"/>
          <w:sz w:val="24"/>
        </w:rPr>
        <w:t>三、</w:t>
      </w:r>
      <w:r>
        <w:rPr>
          <w:rFonts w:ascii="宋体" w:hAnsi="宋体"/>
          <w:sz w:val="24"/>
        </w:rPr>
        <w:t>规范建设危险废物贮存场所</w:t>
      </w:r>
      <w:r>
        <w:rPr>
          <w:rFonts w:hint="eastAsia" w:ascii="宋体" w:hAnsi="宋体"/>
          <w:sz w:val="24"/>
        </w:rPr>
        <w:t>并按照要求设置警告标志，</w:t>
      </w:r>
      <w:r>
        <w:rPr>
          <w:rFonts w:ascii="宋体" w:hAnsi="宋体"/>
          <w:sz w:val="24"/>
        </w:rPr>
        <w:t>危废包装、容器和贮存场所应按照《危险废物贮存污染控制标准》</w:t>
      </w:r>
      <w:r>
        <w:rPr>
          <w:rFonts w:hint="eastAsia" w:ascii="宋体" w:hAnsi="宋体"/>
          <w:sz w:val="24"/>
        </w:rPr>
        <w:t>（GB18597-2001）</w:t>
      </w:r>
      <w:r>
        <w:rPr>
          <w:rFonts w:ascii="宋体" w:hAnsi="宋体"/>
          <w:sz w:val="24"/>
        </w:rPr>
        <w:t>有关要求张贴标识</w:t>
      </w:r>
      <w:r>
        <w:rPr>
          <w:rFonts w:hint="eastAsia" w:ascii="宋体" w:hAnsi="宋体"/>
          <w:sz w:val="24"/>
        </w:rPr>
        <w:t>。</w:t>
      </w:r>
    </w:p>
    <w:p>
      <w:pPr>
        <w:pStyle w:val="1659"/>
        <w:jc w:val="left"/>
      </w:pPr>
      <w:r>
        <w:rPr>
          <w:rFonts w:ascii="宋体" w:hAnsi="宋体"/>
        </w:rPr>
        <w:t>项目建成后，应按照省、市环保局的要求加强对企业的环境管理，要建立健全的企</w:t>
      </w:r>
      <w:r>
        <w:t>业环保监督和管理制度。</w:t>
      </w:r>
    </w:p>
    <w:p>
      <w:pPr>
        <w:pStyle w:val="1659"/>
      </w:pPr>
      <w:r>
        <w:rPr>
          <w:rFonts w:hint="eastAsia"/>
        </w:rPr>
        <w:t>四</w:t>
      </w:r>
      <w:r>
        <w:t>、加强培训、提高人员素质</w:t>
      </w:r>
      <w:r>
        <w:rPr>
          <w:rFonts w:hint="eastAsia"/>
        </w:rPr>
        <w:t>，</w:t>
      </w:r>
      <w:r>
        <w:t>整顿环境，防范环境风险</w:t>
      </w:r>
      <w:r>
        <w:rPr>
          <w:rFonts w:hint="eastAsia"/>
        </w:rPr>
        <w:t>，</w:t>
      </w:r>
      <w:r>
        <w:t>规范贮存，防止二次污染</w:t>
      </w:r>
      <w:r>
        <w:rPr>
          <w:rFonts w:hint="eastAsia"/>
        </w:rPr>
        <w:t>，</w:t>
      </w:r>
      <w:r>
        <w:t>加强监测，排放稳定达标</w:t>
      </w:r>
      <w:r>
        <w:rPr>
          <w:rFonts w:hint="eastAsia"/>
        </w:rPr>
        <w:t>，</w:t>
      </w:r>
      <w:r>
        <w:t>合法经营，杜绝违法行为。</w:t>
      </w:r>
    </w:p>
    <w:p>
      <w:pPr>
        <w:pStyle w:val="1659"/>
      </w:pPr>
      <w:r>
        <w:rPr>
          <w:rFonts w:hint="eastAsia"/>
        </w:rPr>
        <w:t>环境管理机构设置和环保制度建立如下：</w:t>
      </w:r>
    </w:p>
    <w:p>
      <w:pPr>
        <w:pStyle w:val="1659"/>
      </w:pPr>
      <w:r>
        <w:t>（1）环境管理机构设置</w:t>
      </w:r>
    </w:p>
    <w:p>
      <w:pPr>
        <w:pStyle w:val="1659"/>
      </w:pPr>
      <w:r>
        <w:t>为确保项目建设与当地环境保护的协调发展，必须建立专门的环境管理机构，配备专职保员，负责企业内日常的环境管理、执法监督工作。</w:t>
      </w:r>
    </w:p>
    <w:p>
      <w:pPr>
        <w:pStyle w:val="1659"/>
      </w:pPr>
      <w:r>
        <w:t>根据环境保护要求，制定年度环保计划和指标，把环保指标以责任书的形式层层分解到各责任部门，推动企业把环保指标列入承包合同和岗位责任制中，建立起自我监控机制。</w:t>
      </w:r>
    </w:p>
    <w:p>
      <w:pPr>
        <w:pStyle w:val="1659"/>
      </w:pPr>
      <w:r>
        <w:t>（2）环保制度建设</w:t>
      </w:r>
    </w:p>
    <w:p>
      <w:pPr>
        <w:pStyle w:val="1659"/>
      </w:pPr>
      <w:r>
        <w:rPr>
          <w:rFonts w:hint="eastAsia" w:ascii="宋体" w:hAnsi="宋体" w:cs="宋体"/>
        </w:rPr>
        <w:t>①</w:t>
      </w:r>
      <w:r>
        <w:t>报告制度</w:t>
      </w:r>
    </w:p>
    <w:p>
      <w:pPr>
        <w:pStyle w:val="1659"/>
      </w:pPr>
      <w:r>
        <w:t>凡实施排污许可证制度的排污单位，应执行月报制度。月报内容主要为污染治理设施的运行情况、污染物排放情况以及污染事故或污染纠纷等，具体要求应按省环保厅制定的重要企业月报表实施。</w:t>
      </w:r>
    </w:p>
    <w:p>
      <w:pPr>
        <w:pStyle w:val="1659"/>
      </w:pPr>
      <w:r>
        <w:t>企业排污发生重大变化、污染治理设施改变或企业改、扩建等都必须向当地环保部门申报，改、扩建项目，必须按《建设项目环境保护管理条例》、《关于加强建设项目环境保护管理的若干规定》的要求，报请有审批权限的环保部门审批。</w:t>
      </w:r>
    </w:p>
    <w:p>
      <w:pPr>
        <w:pStyle w:val="1659"/>
      </w:pPr>
      <w:r>
        <w:rPr>
          <w:rFonts w:hint="eastAsia" w:ascii="宋体" w:hAnsi="宋体" w:cs="宋体"/>
        </w:rPr>
        <w:t>②</w:t>
      </w:r>
      <w:r>
        <w:t>污染治理设施的管理、监控制度</w:t>
      </w:r>
    </w:p>
    <w:p>
      <w:pPr>
        <w:pStyle w:val="1659"/>
      </w:pPr>
      <w:r>
        <w:t>项目建成后，必须确保污染处理设施长期、稳定、有效地运行，不得擅自拆除或者闲置污染处理设施，不得故意不正常使用污染处理设施。污染处理设施的管理必须与生产经营活动一起纳入公司日常管理工作的范畴，落实责任人、操作人员、维修人员、运行经费、设备的备品备件、化学药品和其他原辅材料。同时要建立岗位责任制、制定操作规程、建立管理台帐，对危险废物进厂、存放、处理以及设备运行情况进行日常记录。</w:t>
      </w:r>
    </w:p>
    <w:p>
      <w:pPr>
        <w:pStyle w:val="1659"/>
      </w:pPr>
      <w:r>
        <w:rPr>
          <w:rFonts w:hint="eastAsia" w:ascii="宋体" w:hAnsi="宋体" w:cs="宋体"/>
        </w:rPr>
        <w:t>③</w:t>
      </w:r>
      <w:r>
        <w:t>环保奖惩条例</w:t>
      </w:r>
    </w:p>
    <w:p>
      <w:pPr>
        <w:pStyle w:val="1659"/>
      </w:pPr>
      <w:r>
        <w:t>本项目建设期以及建成后，各级管理人员都应树立保护环境的思想，公司设置环境保护奖惩条例。对爱护环保设施、节能降耗、改善环境者实行奖励；对环保观念淡薄，不按环保要求管理，造成环境设施损坏、环境污染及资源和能源浪费者一律予以重罚。</w:t>
      </w:r>
    </w:p>
    <w:p>
      <w:pPr>
        <w:pStyle w:val="1659"/>
      </w:pPr>
      <w:r>
        <w:rPr>
          <w:rFonts w:hint="eastAsia" w:ascii="宋体" w:hAnsi="宋体" w:cs="宋体"/>
        </w:rPr>
        <w:t>④</w:t>
      </w:r>
      <w:r>
        <w:t>其它制度</w:t>
      </w:r>
    </w:p>
    <w:p>
      <w:pPr>
        <w:pStyle w:val="1659"/>
      </w:pPr>
      <w:r>
        <w:t>本项目建成后，除上述一般企业均须有的通用规章制度外，还必须制定以下几个方面的制度：</w:t>
      </w:r>
    </w:p>
    <w:p>
      <w:pPr>
        <w:pStyle w:val="1659"/>
      </w:pPr>
      <w:r>
        <w:t>风险事故应急救援制度；</w:t>
      </w:r>
    </w:p>
    <w:p>
      <w:pPr>
        <w:pStyle w:val="1659"/>
      </w:pPr>
      <w:r>
        <w:t>危险废物安全处置有关的规章制度，包括安全操作规程、岗位责任制、车辆设备保养维修等规章制度；</w:t>
      </w:r>
    </w:p>
    <w:p>
      <w:pPr>
        <w:pStyle w:val="1659"/>
      </w:pPr>
      <w:r>
        <w:t>工业危险废物处置全过程的管理制度；</w:t>
      </w:r>
    </w:p>
    <w:p>
      <w:pPr>
        <w:pStyle w:val="1659"/>
      </w:pPr>
      <w:r>
        <w:t>转移联单管理制度；</w:t>
      </w:r>
    </w:p>
    <w:p>
      <w:pPr>
        <w:pStyle w:val="1659"/>
      </w:pPr>
      <w:r>
        <w:t>职业健康、安全、环保管理体系（HSE）；</w:t>
      </w:r>
    </w:p>
    <w:p>
      <w:pPr>
        <w:pStyle w:val="1659"/>
      </w:pPr>
      <w:r>
        <w:t>参加环保主管部门的培训制度；</w:t>
      </w:r>
    </w:p>
    <w:p>
      <w:pPr>
        <w:pStyle w:val="1659"/>
      </w:pPr>
      <w:r>
        <w:t>档案管理制度。</w:t>
      </w:r>
    </w:p>
    <w:p>
      <w:pPr>
        <w:pStyle w:val="1659"/>
      </w:pPr>
      <w:r>
        <w:t>配备环保公益宣传的场所和设施。建立参观通道，可使参观者对危险废物进厂至处置结束有全过程了解，并设立展板介绍危险废物处置技术和环保要求。</w:t>
      </w:r>
    </w:p>
    <w:p>
      <w:pPr>
        <w:pStyle w:val="6"/>
      </w:pPr>
      <w:bookmarkStart w:id="322" w:name="_Toc12717"/>
      <w:r>
        <w:t>环境监理</w:t>
      </w:r>
      <w:bookmarkEnd w:id="322"/>
    </w:p>
    <w:p>
      <w:pPr>
        <w:pStyle w:val="1659"/>
      </w:pPr>
      <w:r>
        <w:t>本项目属于危险废物处置项目，应对项目的设计、施工、试生产阶段进行环境监理，确保严格执行建设项目环境保护“三同时”制度，确保各项环保措施的落实。</w:t>
      </w:r>
    </w:p>
    <w:p>
      <w:pPr>
        <w:pStyle w:val="1659"/>
      </w:pPr>
      <w:r>
        <w:t>项目施工期环境监理方案应特别注重以下二个方面：</w:t>
      </w:r>
    </w:p>
    <w:p>
      <w:pPr>
        <w:pStyle w:val="1659"/>
      </w:pPr>
      <w:r>
        <w:t>1、严格按照环评要求落实项目环境保护工程和配套污染治理设施、环境安全应急措施的建设；</w:t>
      </w:r>
    </w:p>
    <w:p>
      <w:pPr>
        <w:pStyle w:val="1659"/>
      </w:pPr>
      <w:r>
        <w:t>2、危险废物贮存场所应严格按照《危险废物贮存污染控制标准》（GB18597-2001）相关要求，切实做好防渗措施。</w:t>
      </w:r>
    </w:p>
    <w:p>
      <w:pPr>
        <w:pStyle w:val="5"/>
        <w:spacing w:before="120" w:after="120"/>
      </w:pPr>
      <w:bookmarkStart w:id="323" w:name="_Toc230454918"/>
      <w:bookmarkStart w:id="324" w:name="_Toc134937660"/>
      <w:bookmarkStart w:id="325" w:name="_Toc226514688"/>
      <w:bookmarkStart w:id="326" w:name="_Toc140427552"/>
      <w:bookmarkStart w:id="327" w:name="_Toc225517041"/>
      <w:bookmarkStart w:id="328" w:name="_Toc225515723"/>
      <w:bookmarkStart w:id="329" w:name="_Toc320143050"/>
      <w:bookmarkStart w:id="330" w:name="_Toc225882536"/>
      <w:bookmarkStart w:id="331" w:name="_Toc69826554"/>
      <w:bookmarkStart w:id="332" w:name="_Toc157235654"/>
      <w:bookmarkStart w:id="333" w:name="_Toc225317569"/>
      <w:bookmarkStart w:id="334" w:name="_Toc271102140"/>
      <w:bookmarkStart w:id="335" w:name="_Toc151883225"/>
      <w:bookmarkStart w:id="336" w:name="_Toc12743"/>
      <w:r>
        <w:t>环境监测计划</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pPr>
        <w:pStyle w:val="6"/>
      </w:pPr>
      <w:bookmarkStart w:id="337" w:name="_Toc318183100"/>
      <w:bookmarkStart w:id="338" w:name="_Toc320143051"/>
      <w:bookmarkStart w:id="339" w:name="_Toc4459"/>
      <w:r>
        <w:t>施工期环境监测</w:t>
      </w:r>
      <w:bookmarkEnd w:id="337"/>
      <w:r>
        <w:t>计划</w:t>
      </w:r>
      <w:bookmarkEnd w:id="338"/>
      <w:bookmarkEnd w:id="339"/>
    </w:p>
    <w:p>
      <w:pPr>
        <w:pStyle w:val="1659"/>
      </w:pPr>
      <w:r>
        <w:t>对施工期的环境进行监测，便于了解工程在施工过程中对环境造成的影响程度，并采取相应措施使影响减至最小。</w:t>
      </w:r>
    </w:p>
    <w:p>
      <w:pPr>
        <w:pStyle w:val="1659"/>
      </w:pPr>
      <w:r>
        <w:t>(1)水质监测</w:t>
      </w:r>
    </w:p>
    <w:p>
      <w:pPr>
        <w:pStyle w:val="1659"/>
      </w:pPr>
      <w:r>
        <w:t>施工期对污水排放口水质进行监测，每季监测1次，连续监测2天。监测因子：COD、SS、氨氮、总磷、石油类。</w:t>
      </w:r>
    </w:p>
    <w:p>
      <w:pPr>
        <w:pStyle w:val="1659"/>
      </w:pPr>
      <w:r>
        <w:t>(2)大气监测</w:t>
      </w:r>
    </w:p>
    <w:p>
      <w:pPr>
        <w:pStyle w:val="1659"/>
      </w:pPr>
      <w:r>
        <w:t>在施工现场布置2～3个大气监测点，每季监测1次，连续监测2天。监测因子：TSP。</w:t>
      </w:r>
    </w:p>
    <w:p>
      <w:pPr>
        <w:pStyle w:val="1659"/>
      </w:pPr>
      <w:r>
        <w:t>(3)噪声监测</w:t>
      </w:r>
    </w:p>
    <w:p>
      <w:pPr>
        <w:pStyle w:val="1659"/>
      </w:pPr>
      <w:r>
        <w:t>在施工场地四周和施工车辆经过的道口共设置5～6个噪声监测点，每月监测1天，昼、夜间各监测1次，监测因子为等效A声级dB(A)。</w:t>
      </w:r>
    </w:p>
    <w:p>
      <w:pPr>
        <w:pStyle w:val="6"/>
      </w:pPr>
      <w:bookmarkStart w:id="340" w:name="_Toc271102141"/>
      <w:bookmarkStart w:id="341" w:name="_Toc320143052"/>
      <w:bookmarkStart w:id="342" w:name="_Toc19542"/>
      <w:r>
        <w:t>运营期环境监测计划</w:t>
      </w:r>
      <w:bookmarkEnd w:id="340"/>
      <w:bookmarkEnd w:id="341"/>
      <w:bookmarkEnd w:id="342"/>
    </w:p>
    <w:p>
      <w:pPr>
        <w:adjustRightInd w:val="0"/>
        <w:snapToGrid w:val="0"/>
        <w:spacing w:line="360" w:lineRule="auto"/>
        <w:ind w:firstLine="480" w:firstLineChars="200"/>
        <w:jc w:val="left"/>
        <w:rPr>
          <w:rFonts w:ascii="宋体" w:hAnsi="宋体"/>
          <w:sz w:val="24"/>
        </w:rPr>
      </w:pPr>
      <w:r>
        <w:rPr>
          <w:rFonts w:hint="eastAsia" w:ascii="宋体" w:hAnsi="宋体"/>
          <w:sz w:val="24"/>
        </w:rPr>
        <w:t>按国家和省有关规定制定监测计划，开展自行监测工作，定期将监测结果上报当地环保部门并向社会公布。应当按照环境保护主管部门的要求和国家环境监测技术规范及相关标准，对生产使用过程中产生的特征污染物的排放情况进行监测；不具备自行监测能力的，可以委托环境保护主管部门所属的环境监测机构或者经省级环境保护主管部门认定的环境检测机构实施监测。配套建设烟气排放在线监测系统，并与环保部门联网。</w:t>
      </w:r>
    </w:p>
    <w:p>
      <w:pPr>
        <w:pStyle w:val="1659"/>
        <w:rPr>
          <w:kern w:val="0"/>
        </w:rPr>
      </w:pPr>
      <w:r>
        <w:rPr>
          <w:kern w:val="0"/>
        </w:rPr>
        <w:t>环境监测计划见表1</w:t>
      </w:r>
      <w:r>
        <w:rPr>
          <w:rFonts w:hint="eastAsia"/>
          <w:kern w:val="0"/>
          <w:lang w:val="en-US" w:eastAsia="zh-CN"/>
        </w:rPr>
        <w:t>1</w:t>
      </w:r>
      <w:r>
        <w:rPr>
          <w:kern w:val="0"/>
        </w:rPr>
        <w:t>.2-1。</w:t>
      </w:r>
    </w:p>
    <w:p>
      <w:pPr>
        <w:pStyle w:val="1656"/>
      </w:pPr>
      <w:r>
        <w:t>表1</w:t>
      </w:r>
      <w:r>
        <w:rPr>
          <w:rFonts w:hint="eastAsia"/>
          <w:lang w:val="en-US" w:eastAsia="zh-CN"/>
        </w:rPr>
        <w:t>1</w:t>
      </w:r>
      <w:r>
        <w:t xml:space="preserve">.2-1  </w:t>
      </w:r>
      <w:r>
        <w:rPr>
          <w:rFonts w:hint="eastAsia"/>
          <w:lang w:eastAsia="zh-CN"/>
        </w:rPr>
        <w:t>营运期</w:t>
      </w:r>
      <w:r>
        <w:t>环境监测计划</w:t>
      </w:r>
    </w:p>
    <w:tbl>
      <w:tblPr>
        <w:tblStyle w:val="88"/>
        <w:tblpPr w:leftFromText="180" w:rightFromText="180" w:vertAnchor="text" w:horzAnchor="page" w:tblpX="1699" w:tblpY="89"/>
        <w:tblOverlap w:val="never"/>
        <w:tblW w:w="0" w:type="auto"/>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83"/>
        <w:gridCol w:w="2300"/>
        <w:gridCol w:w="1363"/>
        <w:gridCol w:w="1787"/>
        <w:gridCol w:w="1028"/>
        <w:gridCol w:w="10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exact"/>
        </w:trPr>
        <w:tc>
          <w:tcPr>
            <w:tcW w:w="3283" w:type="dxa"/>
            <w:gridSpan w:val="2"/>
            <w:tcBorders>
              <w:tl2br w:val="nil"/>
              <w:tr2bl w:val="nil"/>
            </w:tcBorders>
          </w:tcPr>
          <w:p>
            <w:pPr>
              <w:pStyle w:val="4069"/>
              <w:spacing w:before="4" w:line="240" w:lineRule="auto"/>
              <w:ind w:left="17" w:right="0"/>
              <w:jc w:val="center"/>
              <w:rPr>
                <w:rFonts w:ascii="宋体" w:hAnsi="宋体" w:eastAsia="宋体" w:cs="宋体"/>
                <w:sz w:val="21"/>
                <w:szCs w:val="21"/>
              </w:rPr>
            </w:pPr>
            <w:r>
              <w:rPr>
                <w:rFonts w:ascii="宋体" w:hAnsi="宋体" w:eastAsia="宋体" w:cs="宋体"/>
                <w:sz w:val="21"/>
                <w:szCs w:val="21"/>
              </w:rPr>
              <w:t>监测项目</w:t>
            </w:r>
          </w:p>
        </w:tc>
        <w:tc>
          <w:tcPr>
            <w:tcW w:w="1363" w:type="dxa"/>
            <w:tcBorders>
              <w:tl2br w:val="nil"/>
              <w:tr2bl w:val="nil"/>
            </w:tcBorders>
          </w:tcPr>
          <w:p>
            <w:pPr>
              <w:pStyle w:val="4069"/>
              <w:spacing w:before="4" w:line="240" w:lineRule="auto"/>
              <w:ind w:left="255" w:right="0"/>
              <w:jc w:val="left"/>
              <w:rPr>
                <w:rFonts w:ascii="宋体" w:hAnsi="宋体" w:eastAsia="宋体" w:cs="宋体"/>
                <w:sz w:val="21"/>
                <w:szCs w:val="21"/>
              </w:rPr>
            </w:pPr>
            <w:r>
              <w:rPr>
                <w:rFonts w:ascii="宋体" w:hAnsi="宋体" w:eastAsia="宋体" w:cs="宋体"/>
                <w:sz w:val="21"/>
                <w:szCs w:val="21"/>
              </w:rPr>
              <w:t>监测点位</w:t>
            </w:r>
          </w:p>
        </w:tc>
        <w:tc>
          <w:tcPr>
            <w:tcW w:w="1787" w:type="dxa"/>
            <w:tcBorders>
              <w:tl2br w:val="nil"/>
              <w:tr2bl w:val="nil"/>
            </w:tcBorders>
          </w:tcPr>
          <w:p>
            <w:pPr>
              <w:pStyle w:val="4069"/>
              <w:spacing w:before="4" w:line="240" w:lineRule="auto"/>
              <w:ind w:left="152" w:right="0"/>
              <w:jc w:val="left"/>
              <w:rPr>
                <w:rFonts w:ascii="宋体" w:hAnsi="宋体" w:eastAsia="宋体" w:cs="宋体"/>
                <w:sz w:val="21"/>
                <w:szCs w:val="21"/>
              </w:rPr>
            </w:pPr>
            <w:r>
              <w:rPr>
                <w:rFonts w:ascii="宋体" w:hAnsi="宋体" w:eastAsia="宋体" w:cs="宋体"/>
                <w:sz w:val="21"/>
                <w:szCs w:val="21"/>
              </w:rPr>
              <w:t>监测时间、频次</w:t>
            </w:r>
          </w:p>
        </w:tc>
        <w:tc>
          <w:tcPr>
            <w:tcW w:w="1028" w:type="dxa"/>
            <w:tcBorders>
              <w:tl2br w:val="nil"/>
              <w:tr2bl w:val="nil"/>
            </w:tcBorders>
          </w:tcPr>
          <w:p>
            <w:pPr>
              <w:pStyle w:val="4069"/>
              <w:spacing w:before="4" w:line="240" w:lineRule="auto"/>
              <w:ind w:left="88" w:right="0"/>
              <w:jc w:val="left"/>
              <w:rPr>
                <w:rFonts w:ascii="宋体" w:hAnsi="宋体" w:eastAsia="宋体" w:cs="宋体"/>
                <w:sz w:val="21"/>
                <w:szCs w:val="21"/>
              </w:rPr>
            </w:pPr>
            <w:r>
              <w:rPr>
                <w:rFonts w:ascii="宋体" w:hAnsi="宋体" w:eastAsia="宋体" w:cs="宋体"/>
                <w:sz w:val="21"/>
                <w:szCs w:val="21"/>
              </w:rPr>
              <w:t>实施机构</w:t>
            </w:r>
          </w:p>
        </w:tc>
        <w:tc>
          <w:tcPr>
            <w:tcW w:w="1043" w:type="dxa"/>
            <w:tcBorders>
              <w:tl2br w:val="nil"/>
              <w:tr2bl w:val="nil"/>
            </w:tcBorders>
          </w:tcPr>
          <w:p>
            <w:pPr>
              <w:pStyle w:val="4069"/>
              <w:spacing w:before="4" w:line="240" w:lineRule="auto"/>
              <w:ind w:left="82" w:right="0"/>
              <w:jc w:val="left"/>
              <w:rPr>
                <w:rFonts w:ascii="宋体" w:hAnsi="宋体" w:eastAsia="宋体" w:cs="宋体"/>
                <w:sz w:val="21"/>
                <w:szCs w:val="21"/>
              </w:rPr>
            </w:pPr>
            <w:r>
              <w:rPr>
                <w:rFonts w:ascii="宋体" w:hAnsi="宋体" w:eastAsia="宋体" w:cs="宋体"/>
                <w:sz w:val="21"/>
                <w:szCs w:val="21"/>
              </w:rPr>
              <w:t>监督机构</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4" w:hRule="exact"/>
        </w:trPr>
        <w:tc>
          <w:tcPr>
            <w:tcW w:w="983" w:type="dxa"/>
            <w:tcBorders>
              <w:tl2br w:val="nil"/>
              <w:tr2bl w:val="nil"/>
            </w:tcBorders>
          </w:tcPr>
          <w:p>
            <w:pPr>
              <w:pStyle w:val="4069"/>
              <w:spacing w:line="200" w:lineRule="exact"/>
              <w:ind w:right="0"/>
              <w:jc w:val="left"/>
              <w:rPr>
                <w:sz w:val="20"/>
                <w:szCs w:val="20"/>
              </w:rPr>
            </w:pPr>
          </w:p>
          <w:p>
            <w:pPr>
              <w:pStyle w:val="4069"/>
              <w:spacing w:before="18" w:line="240" w:lineRule="exact"/>
              <w:ind w:right="0"/>
              <w:jc w:val="left"/>
              <w:rPr>
                <w:sz w:val="24"/>
                <w:szCs w:val="24"/>
              </w:rPr>
            </w:pPr>
          </w:p>
          <w:p>
            <w:pPr>
              <w:pStyle w:val="4069"/>
              <w:spacing w:line="240" w:lineRule="auto"/>
              <w:ind w:left="279" w:right="0"/>
              <w:jc w:val="left"/>
              <w:rPr>
                <w:rFonts w:ascii="宋体" w:hAnsi="宋体" w:eastAsia="宋体" w:cs="宋体"/>
                <w:sz w:val="21"/>
                <w:szCs w:val="21"/>
              </w:rPr>
            </w:pPr>
            <w:r>
              <w:rPr>
                <w:rFonts w:ascii="宋体" w:hAnsi="宋体" w:eastAsia="宋体" w:cs="宋体"/>
                <w:sz w:val="21"/>
                <w:szCs w:val="21"/>
              </w:rPr>
              <w:t>废水</w:t>
            </w:r>
          </w:p>
        </w:tc>
        <w:tc>
          <w:tcPr>
            <w:tcW w:w="2300" w:type="dxa"/>
            <w:tcBorders>
              <w:tl2br w:val="nil"/>
              <w:tr2bl w:val="nil"/>
            </w:tcBorders>
          </w:tcPr>
          <w:p>
            <w:pPr>
              <w:pStyle w:val="4069"/>
              <w:spacing w:before="143" w:line="258" w:lineRule="auto"/>
              <w:ind w:left="26" w:right="26"/>
              <w:jc w:val="center"/>
              <w:rPr>
                <w:rFonts w:ascii="宋体" w:hAnsi="宋体" w:eastAsia="宋体" w:cs="宋体"/>
                <w:sz w:val="21"/>
                <w:szCs w:val="21"/>
              </w:rPr>
            </w:pPr>
            <w:r>
              <w:rPr>
                <w:rFonts w:ascii="Times New Roman" w:hAnsi="Times New Roman" w:eastAsia="Times New Roman" w:cs="Times New Roman"/>
                <w:spacing w:val="-1"/>
                <w:position w:val="2"/>
                <w:sz w:val="21"/>
                <w:szCs w:val="21"/>
              </w:rPr>
              <w:t>pH</w:t>
            </w:r>
            <w:r>
              <w:rPr>
                <w:rFonts w:ascii="宋体" w:hAnsi="宋体" w:eastAsia="宋体" w:cs="宋体"/>
                <w:spacing w:val="-1"/>
                <w:position w:val="2"/>
                <w:sz w:val="21"/>
                <w:szCs w:val="21"/>
              </w:rPr>
              <w:t>（无量纲）、</w:t>
            </w:r>
            <w:r>
              <w:rPr>
                <w:rFonts w:ascii="Times New Roman" w:hAnsi="Times New Roman" w:eastAsia="Times New Roman" w:cs="Times New Roman"/>
                <w:spacing w:val="-1"/>
                <w:position w:val="2"/>
                <w:sz w:val="21"/>
                <w:szCs w:val="21"/>
              </w:rPr>
              <w:t>BOD</w:t>
            </w:r>
            <w:r>
              <w:rPr>
                <w:rFonts w:ascii="Times New Roman" w:hAnsi="Times New Roman" w:eastAsia="Times New Roman" w:cs="Times New Roman"/>
                <w:spacing w:val="-1"/>
                <w:sz w:val="13"/>
                <w:szCs w:val="13"/>
              </w:rPr>
              <w:t>5</w:t>
            </w:r>
            <w:r>
              <w:rPr>
                <w:rFonts w:ascii="宋体" w:hAnsi="宋体" w:eastAsia="宋体" w:cs="宋体"/>
                <w:spacing w:val="-1"/>
                <w:position w:val="2"/>
                <w:sz w:val="21"/>
                <w:szCs w:val="21"/>
              </w:rPr>
              <w:t>、</w:t>
            </w:r>
            <w:r>
              <w:rPr>
                <w:rFonts w:ascii="宋体" w:hAnsi="宋体" w:eastAsia="宋体" w:cs="宋体"/>
                <w:spacing w:val="21"/>
                <w:position w:val="2"/>
                <w:sz w:val="21"/>
                <w:szCs w:val="21"/>
              </w:rPr>
              <w:t xml:space="preserve"> </w:t>
            </w:r>
            <w:r>
              <w:rPr>
                <w:rFonts w:ascii="Times New Roman" w:hAnsi="Times New Roman" w:eastAsia="Times New Roman" w:cs="Times New Roman"/>
                <w:spacing w:val="-1"/>
                <w:position w:val="2"/>
                <w:sz w:val="21"/>
                <w:szCs w:val="21"/>
              </w:rPr>
              <w:t>COD</w:t>
            </w:r>
            <w:r>
              <w:rPr>
                <w:rFonts w:ascii="Times New Roman" w:hAnsi="Times New Roman" w:eastAsia="Times New Roman" w:cs="Times New Roman"/>
                <w:spacing w:val="-1"/>
                <w:sz w:val="13"/>
                <w:szCs w:val="13"/>
              </w:rPr>
              <w:t>cr</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NH</w:t>
            </w:r>
            <w:r>
              <w:rPr>
                <w:rFonts w:ascii="Times New Roman" w:hAnsi="Times New Roman" w:eastAsia="Times New Roman" w:cs="Times New Roman"/>
                <w:spacing w:val="-1"/>
                <w:sz w:val="13"/>
                <w:szCs w:val="13"/>
              </w:rPr>
              <w:t>3</w:t>
            </w:r>
            <w:r>
              <w:rPr>
                <w:rFonts w:ascii="Times New Roman" w:hAnsi="Times New Roman" w:eastAsia="Times New Roman" w:cs="Times New Roman"/>
                <w:spacing w:val="-1"/>
                <w:position w:val="2"/>
                <w:sz w:val="21"/>
                <w:szCs w:val="21"/>
              </w:rPr>
              <w:t>-N</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SS</w:t>
            </w:r>
            <w:r>
              <w:rPr>
                <w:rFonts w:ascii="宋体" w:hAnsi="宋体" w:eastAsia="宋体" w:cs="宋体"/>
                <w:spacing w:val="-1"/>
                <w:position w:val="2"/>
                <w:sz w:val="21"/>
                <w:szCs w:val="21"/>
              </w:rPr>
              <w:t>、动</w:t>
            </w:r>
            <w:r>
              <w:rPr>
                <w:rFonts w:ascii="宋体" w:hAnsi="宋体" w:eastAsia="宋体" w:cs="宋体"/>
                <w:spacing w:val="29"/>
                <w:position w:val="2"/>
                <w:sz w:val="21"/>
                <w:szCs w:val="21"/>
              </w:rPr>
              <w:t xml:space="preserve"> </w:t>
            </w:r>
            <w:r>
              <w:rPr>
                <w:rFonts w:ascii="宋体" w:hAnsi="宋体" w:eastAsia="宋体" w:cs="宋体"/>
                <w:sz w:val="21"/>
                <w:szCs w:val="21"/>
              </w:rPr>
              <w:t>植物油、大肠菌群数</w:t>
            </w:r>
          </w:p>
        </w:tc>
        <w:tc>
          <w:tcPr>
            <w:tcW w:w="1363" w:type="dxa"/>
            <w:tcBorders>
              <w:tl2br w:val="nil"/>
              <w:tr2bl w:val="nil"/>
            </w:tcBorders>
          </w:tcPr>
          <w:p>
            <w:pPr>
              <w:pStyle w:val="4069"/>
              <w:spacing w:before="2" w:line="100" w:lineRule="exact"/>
              <w:ind w:right="0"/>
              <w:jc w:val="left"/>
              <w:rPr>
                <w:sz w:val="10"/>
                <w:szCs w:val="10"/>
              </w:rPr>
            </w:pPr>
          </w:p>
          <w:p>
            <w:pPr>
              <w:pStyle w:val="4069"/>
              <w:spacing w:line="200" w:lineRule="exact"/>
              <w:ind w:right="0"/>
              <w:jc w:val="left"/>
              <w:rPr>
                <w:sz w:val="20"/>
                <w:szCs w:val="20"/>
              </w:rPr>
            </w:pPr>
          </w:p>
          <w:p>
            <w:pPr>
              <w:pStyle w:val="4069"/>
              <w:spacing w:line="275" w:lineRule="auto"/>
              <w:ind w:left="465" w:right="48" w:hanging="420"/>
              <w:jc w:val="left"/>
              <w:rPr>
                <w:rFonts w:ascii="宋体" w:hAnsi="宋体" w:eastAsia="宋体" w:cs="宋体"/>
                <w:sz w:val="21"/>
                <w:szCs w:val="21"/>
              </w:rPr>
            </w:pPr>
            <w:r>
              <w:rPr>
                <w:rFonts w:ascii="宋体" w:hAnsi="宋体" w:eastAsia="宋体" w:cs="宋体"/>
                <w:sz w:val="21"/>
                <w:szCs w:val="21"/>
              </w:rPr>
              <w:t>污水处理站出 水口</w:t>
            </w:r>
          </w:p>
        </w:tc>
        <w:tc>
          <w:tcPr>
            <w:tcW w:w="1787" w:type="dxa"/>
            <w:tcBorders>
              <w:tl2br w:val="nil"/>
              <w:tr2bl w:val="nil"/>
            </w:tcBorders>
          </w:tcPr>
          <w:p>
            <w:pPr>
              <w:pStyle w:val="4069"/>
              <w:spacing w:before="145" w:line="275" w:lineRule="auto"/>
              <w:ind w:left="46" w:right="50"/>
              <w:jc w:val="center"/>
              <w:rPr>
                <w:rFonts w:ascii="宋体" w:hAnsi="宋体" w:eastAsia="宋体" w:cs="宋体"/>
                <w:sz w:val="21"/>
                <w:szCs w:val="21"/>
              </w:rPr>
            </w:pPr>
            <w:r>
              <w:rPr>
                <w:rFonts w:ascii="宋体" w:hAnsi="宋体" w:eastAsia="宋体" w:cs="宋体"/>
                <w:sz w:val="21"/>
                <w:szCs w:val="21"/>
              </w:rPr>
              <w:t>根据环保税法及排 污许可确定监测方 法及频次</w:t>
            </w:r>
          </w:p>
        </w:tc>
        <w:tc>
          <w:tcPr>
            <w:tcW w:w="1028" w:type="dxa"/>
            <w:vMerge w:val="restart"/>
            <w:tcBorders>
              <w:tl2br w:val="nil"/>
              <w:tr2bl w:val="nil"/>
            </w:tcBorders>
          </w:tcPr>
          <w:p>
            <w:pPr>
              <w:pStyle w:val="4069"/>
              <w:spacing w:before="1" w:line="100" w:lineRule="exact"/>
              <w:ind w:right="0"/>
              <w:jc w:val="left"/>
              <w:rPr>
                <w:sz w:val="10"/>
                <w:szCs w:val="1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75" w:lineRule="auto"/>
              <w:ind w:left="88" w:right="90"/>
              <w:jc w:val="both"/>
              <w:rPr>
                <w:rFonts w:ascii="宋体" w:hAnsi="宋体" w:eastAsia="宋体" w:cs="宋体"/>
                <w:sz w:val="21"/>
                <w:szCs w:val="21"/>
              </w:rPr>
            </w:pPr>
            <w:r>
              <w:rPr>
                <w:rFonts w:ascii="宋体" w:hAnsi="宋体" w:eastAsia="宋体" w:cs="宋体"/>
                <w:sz w:val="21"/>
                <w:szCs w:val="21"/>
              </w:rPr>
              <w:t>委托当地 有资质的 环境监测 单位进行</w:t>
            </w:r>
          </w:p>
        </w:tc>
        <w:tc>
          <w:tcPr>
            <w:tcW w:w="1043" w:type="dxa"/>
            <w:vMerge w:val="restart"/>
            <w:tcBorders>
              <w:tl2br w:val="nil"/>
              <w:tr2bl w:val="nil"/>
            </w:tcBorders>
          </w:tcPr>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line="200" w:lineRule="exact"/>
              <w:ind w:right="0"/>
              <w:jc w:val="left"/>
              <w:rPr>
                <w:sz w:val="20"/>
                <w:szCs w:val="20"/>
              </w:rPr>
            </w:pPr>
          </w:p>
          <w:p>
            <w:pPr>
              <w:pStyle w:val="4069"/>
              <w:spacing w:before="13" w:line="200" w:lineRule="exact"/>
              <w:ind w:right="0"/>
              <w:jc w:val="left"/>
              <w:rPr>
                <w:sz w:val="20"/>
                <w:szCs w:val="20"/>
              </w:rPr>
            </w:pPr>
          </w:p>
          <w:p>
            <w:pPr>
              <w:pStyle w:val="4069"/>
              <w:spacing w:line="275" w:lineRule="auto"/>
              <w:ind w:left="398" w:right="100" w:hanging="316"/>
              <w:jc w:val="left"/>
              <w:rPr>
                <w:rFonts w:ascii="宋体" w:hAnsi="宋体" w:eastAsia="宋体" w:cs="宋体"/>
                <w:sz w:val="21"/>
                <w:szCs w:val="21"/>
              </w:rPr>
            </w:pPr>
            <w:r>
              <w:rPr>
                <w:rFonts w:ascii="宋体" w:hAnsi="宋体" w:eastAsia="宋体" w:cs="宋体"/>
                <w:sz w:val="21"/>
                <w:szCs w:val="21"/>
              </w:rPr>
              <w:t>地方环保 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62" w:hRule="exact"/>
        </w:trPr>
        <w:tc>
          <w:tcPr>
            <w:tcW w:w="983" w:type="dxa"/>
            <w:tcBorders>
              <w:tl2br w:val="nil"/>
              <w:tr2bl w:val="nil"/>
            </w:tcBorders>
          </w:tcPr>
          <w:p>
            <w:pPr>
              <w:pStyle w:val="4069"/>
              <w:spacing w:line="200" w:lineRule="exact"/>
              <w:ind w:right="0"/>
              <w:jc w:val="left"/>
              <w:rPr>
                <w:sz w:val="20"/>
                <w:szCs w:val="20"/>
              </w:rPr>
            </w:pPr>
          </w:p>
          <w:p>
            <w:pPr>
              <w:pStyle w:val="4069"/>
              <w:spacing w:before="18" w:line="240" w:lineRule="exact"/>
              <w:ind w:right="0"/>
              <w:jc w:val="left"/>
              <w:rPr>
                <w:sz w:val="24"/>
                <w:szCs w:val="24"/>
              </w:rPr>
            </w:pPr>
          </w:p>
          <w:p>
            <w:pPr>
              <w:pStyle w:val="4069"/>
              <w:spacing w:line="240" w:lineRule="auto"/>
              <w:ind w:left="279" w:right="0"/>
              <w:jc w:val="left"/>
              <w:rPr>
                <w:rFonts w:ascii="宋体" w:hAnsi="宋体" w:eastAsia="宋体" w:cs="宋体"/>
                <w:sz w:val="21"/>
                <w:szCs w:val="21"/>
              </w:rPr>
            </w:pPr>
            <w:r>
              <w:rPr>
                <w:rFonts w:ascii="宋体" w:hAnsi="宋体" w:eastAsia="宋体" w:cs="宋体"/>
                <w:sz w:val="21"/>
                <w:szCs w:val="21"/>
              </w:rPr>
              <w:t>大气</w:t>
            </w:r>
          </w:p>
        </w:tc>
        <w:tc>
          <w:tcPr>
            <w:tcW w:w="2300" w:type="dxa"/>
            <w:tcBorders>
              <w:tl2br w:val="nil"/>
              <w:tr2bl w:val="nil"/>
            </w:tcBorders>
          </w:tcPr>
          <w:p>
            <w:pPr>
              <w:pStyle w:val="4069"/>
              <w:spacing w:line="220" w:lineRule="exact"/>
              <w:ind w:right="0"/>
              <w:jc w:val="left"/>
              <w:rPr>
                <w:sz w:val="22"/>
                <w:szCs w:val="22"/>
              </w:rPr>
            </w:pPr>
          </w:p>
          <w:p>
            <w:pPr>
              <w:pStyle w:val="4069"/>
              <w:spacing w:before="14" w:line="220" w:lineRule="exact"/>
              <w:ind w:right="0"/>
              <w:jc w:val="left"/>
              <w:rPr>
                <w:sz w:val="22"/>
                <w:szCs w:val="22"/>
              </w:rPr>
            </w:pPr>
          </w:p>
          <w:p>
            <w:pPr>
              <w:pStyle w:val="4069"/>
              <w:spacing w:line="240" w:lineRule="auto"/>
              <w:ind w:left="686" w:right="0"/>
              <w:jc w:val="left"/>
              <w:rPr>
                <w:rFonts w:ascii="Times New Roman" w:hAnsi="Times New Roman" w:eastAsia="Times New Roman" w:cs="Times New Roman"/>
                <w:sz w:val="13"/>
                <w:szCs w:val="13"/>
              </w:rPr>
            </w:pPr>
            <w:r>
              <w:rPr>
                <w:rFonts w:ascii="Times New Roman" w:hAnsi="Times New Roman" w:eastAsia="Times New Roman" w:cs="Times New Roman"/>
                <w:spacing w:val="-1"/>
                <w:position w:val="2"/>
                <w:sz w:val="21"/>
                <w:szCs w:val="21"/>
              </w:rPr>
              <w:t>H</w:t>
            </w:r>
            <w:r>
              <w:rPr>
                <w:rFonts w:ascii="Times New Roman" w:hAnsi="Times New Roman" w:eastAsia="Times New Roman" w:cs="Times New Roman"/>
                <w:spacing w:val="-1"/>
                <w:sz w:val="13"/>
                <w:szCs w:val="13"/>
              </w:rPr>
              <w:t>2</w:t>
            </w:r>
            <w:r>
              <w:rPr>
                <w:rFonts w:ascii="Times New Roman" w:hAnsi="Times New Roman" w:eastAsia="Times New Roman" w:cs="Times New Roman"/>
                <w:spacing w:val="-1"/>
                <w:position w:val="2"/>
                <w:sz w:val="21"/>
                <w:szCs w:val="21"/>
              </w:rPr>
              <w:t>S</w:t>
            </w:r>
            <w:r>
              <w:rPr>
                <w:rFonts w:ascii="宋体" w:hAnsi="宋体" w:eastAsia="宋体" w:cs="宋体"/>
                <w:spacing w:val="-1"/>
                <w:position w:val="2"/>
                <w:sz w:val="21"/>
                <w:szCs w:val="21"/>
              </w:rPr>
              <w:t>、</w:t>
            </w:r>
            <w:r>
              <w:rPr>
                <w:rFonts w:ascii="Times New Roman" w:hAnsi="Times New Roman" w:eastAsia="Times New Roman" w:cs="Times New Roman"/>
                <w:spacing w:val="-1"/>
                <w:position w:val="2"/>
                <w:sz w:val="21"/>
                <w:szCs w:val="21"/>
              </w:rPr>
              <w:t>NH</w:t>
            </w:r>
            <w:r>
              <w:rPr>
                <w:rFonts w:ascii="Times New Roman" w:hAnsi="Times New Roman" w:eastAsia="Times New Roman" w:cs="Times New Roman"/>
                <w:spacing w:val="-1"/>
                <w:sz w:val="13"/>
                <w:szCs w:val="13"/>
              </w:rPr>
              <w:t>3</w:t>
            </w:r>
          </w:p>
        </w:tc>
        <w:tc>
          <w:tcPr>
            <w:tcW w:w="1363" w:type="dxa"/>
            <w:tcBorders>
              <w:tl2br w:val="nil"/>
              <w:tr2bl w:val="nil"/>
            </w:tcBorders>
          </w:tcPr>
          <w:p>
            <w:pPr>
              <w:pStyle w:val="4069"/>
              <w:spacing w:line="261" w:lineRule="exact"/>
              <w:ind w:right="3"/>
              <w:jc w:val="center"/>
              <w:rPr>
                <w:rFonts w:ascii="宋体" w:hAnsi="宋体" w:eastAsia="宋体" w:cs="宋体"/>
                <w:sz w:val="21"/>
                <w:szCs w:val="21"/>
              </w:rPr>
            </w:pPr>
            <w:r>
              <w:rPr>
                <w:rFonts w:ascii="宋体" w:hAnsi="宋体" w:eastAsia="宋体" w:cs="宋体"/>
                <w:sz w:val="21"/>
                <w:szCs w:val="21"/>
              </w:rPr>
              <w:t>项目所在地</w:t>
            </w:r>
          </w:p>
          <w:p>
            <w:pPr>
              <w:pStyle w:val="4069"/>
              <w:spacing w:before="40" w:line="268" w:lineRule="auto"/>
              <w:ind w:right="0" w:hanging="2"/>
              <w:jc w:val="center"/>
              <w:rPr>
                <w:rFonts w:ascii="宋体" w:hAnsi="宋体" w:eastAsia="宋体" w:cs="宋体"/>
                <w:sz w:val="21"/>
                <w:szCs w:val="21"/>
              </w:rPr>
            </w:pPr>
            <w:r>
              <w:rPr>
                <w:rFonts w:ascii="宋体" w:hAnsi="宋体" w:eastAsia="宋体" w:cs="宋体"/>
                <w:sz w:val="21"/>
                <w:szCs w:val="21"/>
              </w:rPr>
              <w:t>上风向、场地 内</w:t>
            </w:r>
            <w:r>
              <w:rPr>
                <w:rFonts w:ascii="宋体" w:hAnsi="宋体" w:eastAsia="宋体" w:cs="宋体"/>
                <w:spacing w:val="-66"/>
                <w:sz w:val="21"/>
                <w:szCs w:val="21"/>
              </w:rPr>
              <w:t>、</w:t>
            </w:r>
            <w:r>
              <w:rPr>
                <w:rFonts w:ascii="宋体" w:hAnsi="宋体" w:eastAsia="宋体" w:cs="宋体"/>
                <w:sz w:val="21"/>
                <w:szCs w:val="21"/>
              </w:rPr>
              <w:t>下风向各</w:t>
            </w:r>
            <w:r>
              <w:rPr>
                <w:rFonts w:ascii="宋体" w:hAnsi="宋体" w:eastAsia="宋体" w:cs="宋体"/>
                <w:spacing w:val="-51"/>
                <w:sz w:val="21"/>
                <w:szCs w:val="21"/>
              </w:rPr>
              <w:t xml:space="preserve"> </w:t>
            </w:r>
            <w:r>
              <w:rPr>
                <w:rFonts w:ascii="Times New Roman" w:hAnsi="Times New Roman" w:eastAsia="Times New Roman" w:cs="Times New Roman"/>
                <w:sz w:val="21"/>
                <w:szCs w:val="21"/>
              </w:rPr>
              <w:t xml:space="preserve">1 </w:t>
            </w:r>
            <w:r>
              <w:rPr>
                <w:rFonts w:ascii="宋体" w:hAnsi="宋体" w:eastAsia="宋体" w:cs="宋体"/>
                <w:sz w:val="21"/>
                <w:szCs w:val="21"/>
              </w:rPr>
              <w:t>个</w:t>
            </w:r>
          </w:p>
        </w:tc>
        <w:tc>
          <w:tcPr>
            <w:tcW w:w="1787" w:type="dxa"/>
            <w:tcBorders>
              <w:tl2br w:val="nil"/>
              <w:tr2bl w:val="nil"/>
            </w:tcBorders>
          </w:tcPr>
          <w:p>
            <w:pPr>
              <w:pStyle w:val="4069"/>
              <w:spacing w:before="145" w:line="275" w:lineRule="auto"/>
              <w:ind w:left="46" w:right="50"/>
              <w:jc w:val="center"/>
              <w:rPr>
                <w:rFonts w:ascii="宋体" w:hAnsi="宋体" w:eastAsia="宋体" w:cs="宋体"/>
                <w:sz w:val="21"/>
                <w:szCs w:val="21"/>
              </w:rPr>
            </w:pPr>
            <w:r>
              <w:rPr>
                <w:rFonts w:ascii="宋体" w:hAnsi="宋体" w:eastAsia="宋体" w:cs="宋体"/>
                <w:sz w:val="21"/>
                <w:szCs w:val="21"/>
              </w:rPr>
              <w:t>根据环保税法及排 污许可确定监测方 法及频次</w:t>
            </w:r>
          </w:p>
        </w:tc>
        <w:tc>
          <w:tcPr>
            <w:tcW w:w="1028" w:type="dxa"/>
            <w:vMerge w:val="continue"/>
            <w:tcBorders>
              <w:tl2br w:val="nil"/>
              <w:tr2bl w:val="nil"/>
            </w:tcBorders>
          </w:tcPr>
          <w:p/>
        </w:tc>
        <w:tc>
          <w:tcPr>
            <w:tcW w:w="1043" w:type="dxa"/>
            <w:vMerge w:val="continue"/>
            <w:tcBorders>
              <w:tl2br w:val="nil"/>
              <w:tr2bl w:val="nil"/>
            </w:tcBorders>
          </w:tc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83" w:hRule="exact"/>
        </w:trPr>
        <w:tc>
          <w:tcPr>
            <w:tcW w:w="983" w:type="dxa"/>
            <w:tcBorders>
              <w:tl2br w:val="nil"/>
              <w:tr2bl w:val="nil"/>
            </w:tcBorders>
          </w:tcPr>
          <w:p>
            <w:pPr>
              <w:pStyle w:val="4069"/>
              <w:spacing w:before="6" w:line="100" w:lineRule="exact"/>
              <w:ind w:right="0"/>
              <w:jc w:val="left"/>
              <w:rPr>
                <w:sz w:val="10"/>
                <w:szCs w:val="10"/>
              </w:rPr>
            </w:pPr>
          </w:p>
          <w:p>
            <w:pPr>
              <w:pStyle w:val="4069"/>
              <w:spacing w:line="200" w:lineRule="exact"/>
              <w:ind w:right="0"/>
              <w:jc w:val="left"/>
              <w:rPr>
                <w:sz w:val="20"/>
                <w:szCs w:val="20"/>
              </w:rPr>
            </w:pPr>
          </w:p>
          <w:p>
            <w:pPr>
              <w:pStyle w:val="4069"/>
              <w:spacing w:line="240" w:lineRule="auto"/>
              <w:ind w:left="279" w:right="0"/>
              <w:jc w:val="left"/>
              <w:rPr>
                <w:rFonts w:ascii="宋体" w:hAnsi="宋体" w:eastAsia="宋体" w:cs="宋体"/>
                <w:sz w:val="21"/>
                <w:szCs w:val="21"/>
              </w:rPr>
            </w:pPr>
            <w:r>
              <w:rPr>
                <w:rFonts w:ascii="宋体" w:hAnsi="宋体" w:eastAsia="宋体" w:cs="宋体"/>
                <w:sz w:val="21"/>
                <w:szCs w:val="21"/>
              </w:rPr>
              <w:t>噪声</w:t>
            </w:r>
          </w:p>
        </w:tc>
        <w:tc>
          <w:tcPr>
            <w:tcW w:w="2300" w:type="dxa"/>
            <w:tcBorders>
              <w:tl2br w:val="nil"/>
              <w:tr2bl w:val="nil"/>
            </w:tcBorders>
          </w:tcPr>
          <w:p>
            <w:pPr>
              <w:pStyle w:val="4069"/>
              <w:spacing w:before="2" w:line="150" w:lineRule="exact"/>
              <w:ind w:right="0"/>
              <w:jc w:val="left"/>
              <w:rPr>
                <w:sz w:val="15"/>
                <w:szCs w:val="15"/>
              </w:rPr>
            </w:pPr>
          </w:p>
          <w:p>
            <w:pPr>
              <w:pStyle w:val="4069"/>
              <w:spacing w:line="200" w:lineRule="exact"/>
              <w:ind w:right="0"/>
              <w:jc w:val="left"/>
              <w:rPr>
                <w:sz w:val="20"/>
                <w:szCs w:val="20"/>
              </w:rPr>
            </w:pPr>
          </w:p>
          <w:p>
            <w:pPr>
              <w:pStyle w:val="4069"/>
              <w:spacing w:line="240" w:lineRule="auto"/>
              <w:ind w:right="0"/>
              <w:jc w:val="center"/>
              <w:rPr>
                <w:rFonts w:ascii="Times New Roman" w:hAnsi="Times New Roman" w:eastAsia="Times New Roman" w:cs="Times New Roman"/>
                <w:sz w:val="21"/>
                <w:szCs w:val="21"/>
              </w:rPr>
            </w:pPr>
            <w:r>
              <w:rPr>
                <w:rFonts w:ascii="Times New Roman"/>
                <w:sz w:val="21"/>
              </w:rPr>
              <w:t>LAeq</w:t>
            </w:r>
          </w:p>
        </w:tc>
        <w:tc>
          <w:tcPr>
            <w:tcW w:w="1363" w:type="dxa"/>
            <w:tcBorders>
              <w:tl2br w:val="nil"/>
              <w:tr2bl w:val="nil"/>
            </w:tcBorders>
          </w:tcPr>
          <w:p>
            <w:pPr>
              <w:pStyle w:val="4069"/>
              <w:spacing w:before="150" w:line="275" w:lineRule="auto"/>
              <w:ind w:left="361" w:right="0" w:hanging="316"/>
              <w:jc w:val="left"/>
              <w:rPr>
                <w:rFonts w:ascii="宋体" w:hAnsi="宋体" w:eastAsia="宋体" w:cs="宋体"/>
                <w:sz w:val="21"/>
                <w:szCs w:val="21"/>
              </w:rPr>
            </w:pPr>
            <w:r>
              <w:rPr>
                <w:rFonts w:ascii="宋体" w:hAnsi="宋体" w:eastAsia="宋体" w:cs="宋体"/>
                <w:sz w:val="21"/>
                <w:szCs w:val="21"/>
              </w:rPr>
              <w:t>四周厂界外各 设</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Times New Roman" w:hAnsi="Times New Roman" w:eastAsia="Times New Roman" w:cs="Times New Roman"/>
                <w:spacing w:val="-1"/>
                <w:sz w:val="21"/>
                <w:szCs w:val="21"/>
              </w:rPr>
              <w:t xml:space="preserve"> </w:t>
            </w:r>
            <w:r>
              <w:rPr>
                <w:rFonts w:ascii="宋体" w:hAnsi="宋体" w:eastAsia="宋体" w:cs="宋体"/>
                <w:sz w:val="21"/>
                <w:szCs w:val="21"/>
              </w:rPr>
              <w:t>个</w:t>
            </w:r>
          </w:p>
        </w:tc>
        <w:tc>
          <w:tcPr>
            <w:tcW w:w="1787" w:type="dxa"/>
            <w:tcBorders>
              <w:tl2br w:val="nil"/>
              <w:tr2bl w:val="nil"/>
            </w:tcBorders>
          </w:tcPr>
          <w:p>
            <w:pPr>
              <w:pStyle w:val="4069"/>
              <w:spacing w:line="266" w:lineRule="exact"/>
              <w:ind w:left="46" w:right="0"/>
              <w:jc w:val="left"/>
              <w:rPr>
                <w:rFonts w:ascii="宋体" w:hAnsi="宋体" w:eastAsia="宋体" w:cs="宋体"/>
                <w:sz w:val="21"/>
                <w:szCs w:val="21"/>
              </w:rPr>
            </w:pPr>
            <w:r>
              <w:rPr>
                <w:rFonts w:ascii="宋体" w:hAnsi="宋体" w:eastAsia="宋体" w:cs="宋体"/>
                <w:sz w:val="21"/>
                <w:szCs w:val="21"/>
              </w:rPr>
              <w:t>根据环保税法及排</w:t>
            </w:r>
          </w:p>
          <w:p>
            <w:pPr>
              <w:pStyle w:val="4069"/>
              <w:spacing w:before="40" w:line="275" w:lineRule="auto"/>
              <w:ind w:left="466" w:right="50" w:hanging="420"/>
              <w:jc w:val="left"/>
              <w:rPr>
                <w:rFonts w:ascii="宋体" w:hAnsi="宋体" w:eastAsia="宋体" w:cs="宋体"/>
                <w:sz w:val="21"/>
                <w:szCs w:val="21"/>
              </w:rPr>
            </w:pPr>
            <w:r>
              <w:rPr>
                <w:rFonts w:ascii="宋体" w:hAnsi="宋体" w:eastAsia="宋体" w:cs="宋体"/>
                <w:sz w:val="21"/>
                <w:szCs w:val="21"/>
              </w:rPr>
              <w:t>污许可确定监测方 法及频次</w:t>
            </w:r>
          </w:p>
        </w:tc>
        <w:tc>
          <w:tcPr>
            <w:tcW w:w="1028" w:type="dxa"/>
            <w:vMerge w:val="continue"/>
            <w:tcBorders>
              <w:tl2br w:val="nil"/>
              <w:tr2bl w:val="nil"/>
            </w:tcBorders>
          </w:tcPr>
          <w:p/>
        </w:tc>
        <w:tc>
          <w:tcPr>
            <w:tcW w:w="1043" w:type="dxa"/>
            <w:vMerge w:val="continue"/>
            <w:tcBorders>
              <w:tl2br w:val="nil"/>
              <w:tr2bl w:val="nil"/>
            </w:tcBorders>
          </w:tcPr>
          <w:p/>
        </w:tc>
      </w:tr>
    </w:tbl>
    <w:p>
      <w:pPr>
        <w:pStyle w:val="1192"/>
        <w:ind w:firstLine="480"/>
      </w:pPr>
    </w:p>
    <w:p>
      <w:pPr>
        <w:pStyle w:val="6"/>
      </w:pPr>
      <w:bookmarkStart w:id="343" w:name="_Toc24829"/>
      <w:r>
        <w:rPr>
          <w:rFonts w:hint="eastAsia"/>
          <w:lang w:eastAsia="zh-CN"/>
        </w:rPr>
        <w:t>环境监测管理</w:t>
      </w:r>
      <w:bookmarkEnd w:id="343"/>
    </w:p>
    <w:p>
      <w:pPr>
        <w:pStyle w:val="1659"/>
      </w:pPr>
      <w:r>
        <w:t>（1）监测人员应经过培训后方可上岗或在当地环境监测部门技术人员的指 导下进行监测工作，以保证监测数据的有效性。</w:t>
      </w:r>
    </w:p>
    <w:p>
      <w:pPr>
        <w:pStyle w:val="1659"/>
      </w:pPr>
      <w:r>
        <w:t>（2）提供的监测数据应当具有代表性、完整性、准确性、可比性。</w:t>
      </w:r>
    </w:p>
    <w:p>
      <w:pPr>
        <w:pStyle w:val="1659"/>
      </w:pPr>
      <w:r>
        <w:t>（3）建立原始记录、监测分析以及试验数据的数据档案库。</w:t>
      </w:r>
    </w:p>
    <w:p>
      <w:pPr>
        <w:pStyle w:val="1659"/>
      </w:pPr>
      <w:r>
        <w:t>（4）取得的各种数据应有专人保管，监测数据及试验分析数据原始记录应至少保存一年以上。监测采样、分析方法及质控参照地方环境监测部门有关规定执行。</w:t>
      </w:r>
    </w:p>
    <w:p>
      <w:pPr>
        <w:pStyle w:val="5"/>
        <w:spacing w:before="120" w:after="120"/>
      </w:pPr>
      <w:bookmarkStart w:id="344" w:name="_Toc6658"/>
      <w:r>
        <w:rPr>
          <w:rFonts w:hint="eastAsia"/>
          <w:lang w:eastAsia="zh-CN"/>
        </w:rPr>
        <w:t>“三同时”竣工验收内容</w:t>
      </w:r>
      <w:bookmarkEnd w:id="344"/>
    </w:p>
    <w:p>
      <w:pPr>
        <w:pStyle w:val="1659"/>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425" w:num="1"/>
          <w:docGrid w:linePitch="312" w:charSpace="0"/>
        </w:sectPr>
      </w:pPr>
      <w:bookmarkStart w:id="345" w:name="_Toc271102088"/>
      <w:bookmarkStart w:id="346" w:name="_Toc264742123"/>
      <w:bookmarkStart w:id="347" w:name="_Toc320143017"/>
    </w:p>
    <w:tbl>
      <w:tblPr>
        <w:tblStyle w:val="88"/>
        <w:tblW w:w="14129" w:type="dxa"/>
        <w:tblInd w:w="10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85"/>
        <w:gridCol w:w="1187"/>
        <w:gridCol w:w="5100"/>
        <w:gridCol w:w="5725"/>
        <w:gridCol w:w="13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exact"/>
        </w:trPr>
        <w:tc>
          <w:tcPr>
            <w:tcW w:w="785" w:type="dxa"/>
            <w:tcBorders>
              <w:tl2br w:val="nil"/>
              <w:tr2bl w:val="nil"/>
            </w:tcBorders>
          </w:tcPr>
          <w:p>
            <w:pPr>
              <w:pStyle w:val="4069"/>
              <w:spacing w:before="4" w:line="240" w:lineRule="auto"/>
              <w:ind w:left="166" w:right="0"/>
              <w:jc w:val="left"/>
              <w:rPr>
                <w:rFonts w:ascii="宋体" w:hAnsi="宋体" w:eastAsia="宋体" w:cs="宋体"/>
                <w:sz w:val="21"/>
                <w:szCs w:val="21"/>
              </w:rPr>
            </w:pPr>
            <w:r>
              <w:rPr>
                <w:rFonts w:ascii="宋体" w:hAnsi="宋体" w:eastAsia="宋体" w:cs="宋体"/>
                <w:spacing w:val="1"/>
                <w:sz w:val="21"/>
                <w:szCs w:val="21"/>
              </w:rPr>
              <w:t>序号</w:t>
            </w:r>
          </w:p>
        </w:tc>
        <w:tc>
          <w:tcPr>
            <w:tcW w:w="1187" w:type="dxa"/>
            <w:tcBorders>
              <w:tl2br w:val="nil"/>
              <w:tr2bl w:val="nil"/>
            </w:tcBorders>
          </w:tcPr>
          <w:p>
            <w:pPr>
              <w:pStyle w:val="4069"/>
              <w:spacing w:before="4" w:line="240" w:lineRule="auto"/>
              <w:ind w:left="377" w:right="0"/>
              <w:jc w:val="left"/>
              <w:rPr>
                <w:rFonts w:ascii="宋体" w:hAnsi="宋体" w:eastAsia="宋体" w:cs="宋体"/>
                <w:sz w:val="21"/>
                <w:szCs w:val="21"/>
              </w:rPr>
            </w:pPr>
            <w:r>
              <w:rPr>
                <w:rFonts w:ascii="宋体" w:hAnsi="宋体" w:eastAsia="宋体" w:cs="宋体"/>
                <w:spacing w:val="1"/>
                <w:sz w:val="21"/>
                <w:szCs w:val="21"/>
              </w:rPr>
              <w:t>项目</w:t>
            </w:r>
          </w:p>
        </w:tc>
        <w:tc>
          <w:tcPr>
            <w:tcW w:w="5100" w:type="dxa"/>
            <w:tcBorders>
              <w:tl2br w:val="nil"/>
              <w:tr2bl w:val="nil"/>
            </w:tcBorders>
          </w:tcPr>
          <w:p>
            <w:pPr>
              <w:pStyle w:val="4069"/>
              <w:spacing w:before="4" w:line="240" w:lineRule="auto"/>
              <w:ind w:left="1495" w:right="0"/>
              <w:jc w:val="left"/>
              <w:rPr>
                <w:rFonts w:ascii="宋体" w:hAnsi="宋体" w:eastAsia="宋体" w:cs="宋体"/>
                <w:sz w:val="21"/>
                <w:szCs w:val="21"/>
              </w:rPr>
            </w:pPr>
            <w:r>
              <w:rPr>
                <w:rFonts w:ascii="宋体" w:hAnsi="宋体" w:eastAsia="宋体" w:cs="宋体"/>
                <w:sz w:val="21"/>
                <w:szCs w:val="21"/>
              </w:rPr>
              <w:t>报告书提出的环保措施</w:t>
            </w:r>
          </w:p>
        </w:tc>
        <w:tc>
          <w:tcPr>
            <w:tcW w:w="5725" w:type="dxa"/>
            <w:tcBorders>
              <w:tl2br w:val="nil"/>
              <w:tr2bl w:val="nil"/>
            </w:tcBorders>
          </w:tcPr>
          <w:p>
            <w:pPr>
              <w:pStyle w:val="4069"/>
              <w:spacing w:before="4" w:line="240" w:lineRule="auto"/>
              <w:ind w:left="3" w:right="0"/>
              <w:jc w:val="center"/>
              <w:rPr>
                <w:rFonts w:ascii="宋体" w:hAnsi="宋体" w:eastAsia="宋体" w:cs="宋体"/>
                <w:sz w:val="21"/>
                <w:szCs w:val="21"/>
              </w:rPr>
            </w:pPr>
            <w:r>
              <w:rPr>
                <w:rFonts w:ascii="宋体" w:hAnsi="宋体" w:eastAsia="宋体" w:cs="宋体"/>
                <w:sz w:val="21"/>
                <w:szCs w:val="21"/>
              </w:rPr>
              <w:t>应验收主要内容</w:t>
            </w:r>
          </w:p>
        </w:tc>
        <w:tc>
          <w:tcPr>
            <w:tcW w:w="1332" w:type="dxa"/>
            <w:tcBorders>
              <w:tl2br w:val="nil"/>
              <w:tr2bl w:val="nil"/>
            </w:tcBorders>
          </w:tcPr>
          <w:p>
            <w:pPr>
              <w:pStyle w:val="4069"/>
              <w:spacing w:before="4" w:line="240" w:lineRule="auto"/>
              <w:ind w:left="135" w:right="0"/>
              <w:jc w:val="left"/>
              <w:rPr>
                <w:rFonts w:ascii="宋体" w:hAnsi="宋体" w:eastAsia="宋体" w:cs="宋体"/>
                <w:sz w:val="21"/>
                <w:szCs w:val="21"/>
              </w:rPr>
            </w:pPr>
            <w:r>
              <w:rPr>
                <w:rFonts w:ascii="宋体" w:hAnsi="宋体" w:eastAsia="宋体" w:cs="宋体"/>
                <w:sz w:val="21"/>
                <w:szCs w:val="21"/>
              </w:rPr>
              <w:t>应验收时间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121" w:hRule="exact"/>
        </w:trPr>
        <w:tc>
          <w:tcPr>
            <w:tcW w:w="785" w:type="dxa"/>
            <w:vMerge w:val="restart"/>
            <w:tcBorders>
              <w:tl2br w:val="nil"/>
              <w:tr2bl w:val="nil"/>
            </w:tcBorders>
          </w:tcPr>
          <w:p>
            <w:pPr>
              <w:pStyle w:val="4069"/>
              <w:spacing w:line="240" w:lineRule="auto"/>
              <w:ind w:right="10"/>
              <w:jc w:val="both"/>
              <w:rPr>
                <w:rFonts w:ascii="Times New Roman" w:hAnsi="Times New Roman" w:eastAsia="Times New Roman" w:cs="Times New Roman"/>
                <w:sz w:val="21"/>
                <w:szCs w:val="21"/>
              </w:rPr>
            </w:pPr>
            <w:r>
              <w:rPr>
                <w:rFonts w:ascii="Times New Roman"/>
                <w:sz w:val="21"/>
              </w:rPr>
              <w:t>1</w:t>
            </w:r>
          </w:p>
        </w:tc>
        <w:tc>
          <w:tcPr>
            <w:tcW w:w="1187" w:type="dxa"/>
            <w:vMerge w:val="restart"/>
            <w:tcBorders>
              <w:tl2br w:val="nil"/>
              <w:tr2bl w:val="nil"/>
            </w:tcBorders>
          </w:tcPr>
          <w:p>
            <w:pPr>
              <w:pStyle w:val="4069"/>
              <w:spacing w:line="275" w:lineRule="auto"/>
              <w:ind w:right="0"/>
              <w:jc w:val="left"/>
              <w:rPr>
                <w:rFonts w:ascii="宋体" w:hAnsi="宋体" w:eastAsia="宋体" w:cs="宋体"/>
                <w:sz w:val="21"/>
                <w:szCs w:val="21"/>
              </w:rPr>
            </w:pPr>
            <w:r>
              <w:rPr>
                <w:rFonts w:ascii="宋体" w:hAnsi="宋体" w:eastAsia="宋体" w:cs="宋体"/>
                <w:sz w:val="21"/>
                <w:szCs w:val="21"/>
              </w:rPr>
              <w:t>污水处理设施</w:t>
            </w:r>
          </w:p>
        </w:tc>
        <w:tc>
          <w:tcPr>
            <w:tcW w:w="5100" w:type="dxa"/>
            <w:tcBorders>
              <w:tl2br w:val="nil"/>
              <w:tr2bl w:val="nil"/>
            </w:tcBorders>
          </w:tcPr>
          <w:p>
            <w:pPr>
              <w:pStyle w:val="4069"/>
              <w:spacing w:line="269" w:lineRule="exact"/>
              <w:ind w:right="0"/>
              <w:jc w:val="left"/>
              <w:rPr>
                <w:rFonts w:ascii="宋体" w:hAnsi="宋体" w:eastAsia="宋体" w:cs="宋体"/>
                <w:sz w:val="21"/>
                <w:szCs w:val="21"/>
              </w:rPr>
            </w:pPr>
            <w:r>
              <w:rPr>
                <w:rFonts w:ascii="宋体" w:hAnsi="宋体" w:eastAsia="宋体" w:cs="宋体"/>
                <w:sz w:val="21"/>
                <w:szCs w:val="21"/>
              </w:rPr>
              <w:t>厂区生活污水经隔油池、化粪池预处理后同屠宰 废水一同进入自建污水处理站处理达《《肉类加工工</w:t>
            </w:r>
            <w:r>
              <w:rPr>
                <w:rFonts w:ascii="宋体" w:hAnsi="宋体" w:eastAsia="宋体" w:cs="宋体"/>
                <w:spacing w:val="-1"/>
                <w:sz w:val="21"/>
                <w:szCs w:val="21"/>
              </w:rPr>
              <w:t>业水污染物排放标准》（</w:t>
            </w:r>
            <w:r>
              <w:rPr>
                <w:rFonts w:ascii="Times New Roman" w:hAnsi="Times New Roman" w:eastAsia="Times New Roman" w:cs="Times New Roman"/>
                <w:spacing w:val="-1"/>
                <w:sz w:val="21"/>
                <w:szCs w:val="21"/>
              </w:rPr>
              <w:t>GB13457-1992</w:t>
            </w:r>
            <w:r>
              <w:rPr>
                <w:rFonts w:ascii="宋体" w:hAnsi="宋体" w:eastAsia="宋体" w:cs="宋体"/>
                <w:spacing w:val="-1"/>
                <w:sz w:val="21"/>
                <w:szCs w:val="21"/>
              </w:rPr>
              <w:t>）表</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3</w:t>
            </w:r>
            <w:r>
              <w:rPr>
                <w:rFonts w:ascii="宋体" w:hAnsi="宋体" w:eastAsia="宋体" w:cs="宋体"/>
                <w:sz w:val="21"/>
                <w:szCs w:val="21"/>
              </w:rPr>
              <w:t>中</w:t>
            </w:r>
            <w:r>
              <w:rPr>
                <w:rFonts w:hint="eastAsia" w:ascii="宋体" w:hAnsi="宋体" w:cs="宋体"/>
                <w:sz w:val="21"/>
                <w:szCs w:val="21"/>
                <w:lang w:eastAsia="zh-CN"/>
              </w:rPr>
              <w:t>一</w:t>
            </w:r>
            <w:r>
              <w:rPr>
                <w:rFonts w:ascii="宋体" w:hAnsi="宋体" w:eastAsia="宋体" w:cs="宋体"/>
                <w:sz w:val="21"/>
                <w:szCs w:val="21"/>
              </w:rPr>
              <w:t>级标准后排入市政污水管网</w:t>
            </w:r>
            <w:r>
              <w:rPr>
                <w:rFonts w:ascii="宋体" w:hAnsi="宋体" w:eastAsia="宋体" w:cs="宋体"/>
                <w:spacing w:val="-58"/>
                <w:sz w:val="21"/>
                <w:szCs w:val="21"/>
              </w:rPr>
              <w:t>，</w:t>
            </w:r>
            <w:r>
              <w:rPr>
                <w:rFonts w:ascii="宋体" w:hAnsi="宋体" w:eastAsia="宋体" w:cs="宋体"/>
                <w:sz w:val="21"/>
                <w:szCs w:val="21"/>
              </w:rPr>
              <w:t>重点控制</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pH</w:t>
            </w:r>
            <w:r>
              <w:rPr>
                <w:rFonts w:ascii="宋体" w:hAnsi="宋体" w:eastAsia="宋体" w:cs="宋体"/>
                <w:spacing w:val="-59"/>
                <w:sz w:val="21"/>
                <w:szCs w:val="21"/>
              </w:rPr>
              <w:t>、</w:t>
            </w:r>
            <w:r>
              <w:rPr>
                <w:rFonts w:ascii="Times New Roman" w:hAnsi="Times New Roman" w:eastAsia="Times New Roman" w:cs="Times New Roman"/>
                <w:spacing w:val="-1"/>
                <w:sz w:val="21"/>
                <w:szCs w:val="21"/>
              </w:rPr>
              <w:t>COD</w:t>
            </w:r>
            <w:r>
              <w:rPr>
                <w:rFonts w:ascii="宋体" w:hAnsi="宋体" w:eastAsia="宋体" w:cs="宋体"/>
                <w:spacing w:val="-57"/>
                <w:sz w:val="21"/>
                <w:szCs w:val="21"/>
              </w:rPr>
              <w:t>、</w:t>
            </w:r>
            <w:r>
              <w:rPr>
                <w:rFonts w:ascii="宋体" w:hAnsi="宋体" w:eastAsia="宋体" w:cs="宋体"/>
                <w:sz w:val="21"/>
                <w:szCs w:val="21"/>
              </w:rPr>
              <w:t>氨氮、</w:t>
            </w:r>
            <w:r>
              <w:rPr>
                <w:rFonts w:ascii="Times New Roman" w:hAnsi="Times New Roman" w:eastAsia="Times New Roman" w:cs="Times New Roman"/>
                <w:spacing w:val="-2"/>
                <w:sz w:val="21"/>
                <w:szCs w:val="21"/>
              </w:rPr>
              <w:t>T</w:t>
            </w:r>
            <w:r>
              <w:rPr>
                <w:rFonts w:ascii="Times New Roman" w:hAnsi="Times New Roman" w:eastAsia="Times New Roman" w:cs="Times New Roman"/>
                <w:spacing w:val="1"/>
                <w:sz w:val="21"/>
                <w:szCs w:val="21"/>
              </w:rPr>
              <w:t>P</w:t>
            </w:r>
            <w:r>
              <w:rPr>
                <w:rFonts w:ascii="宋体" w:hAnsi="宋体" w:eastAsia="宋体" w:cs="宋体"/>
                <w:spacing w:val="-87"/>
                <w:sz w:val="21"/>
                <w:szCs w:val="21"/>
              </w:rPr>
              <w:t>；</w:t>
            </w:r>
            <w:r>
              <w:rPr>
                <w:rFonts w:ascii="宋体" w:hAnsi="宋体" w:eastAsia="宋体" w:cs="宋体"/>
                <w:sz w:val="21"/>
                <w:szCs w:val="21"/>
              </w:rPr>
              <w:t>经预处理达标的废水纳入</w:t>
            </w:r>
            <w:r>
              <w:rPr>
                <w:rFonts w:hint="eastAsia" w:ascii="宋体" w:hAnsi="宋体" w:cs="宋体"/>
                <w:sz w:val="21"/>
                <w:szCs w:val="21"/>
                <w:lang w:eastAsia="zh-CN"/>
              </w:rPr>
              <w:t>万屯镇</w:t>
            </w:r>
            <w:r>
              <w:rPr>
                <w:rFonts w:ascii="宋体" w:hAnsi="宋体" w:eastAsia="宋体" w:cs="宋体"/>
                <w:sz w:val="21"/>
                <w:szCs w:val="21"/>
              </w:rPr>
              <w:t>污水处理厂</w:t>
            </w:r>
            <w:r>
              <w:rPr>
                <w:rFonts w:hint="eastAsia" w:ascii="宋体" w:hAnsi="宋体" w:cs="宋体"/>
                <w:sz w:val="21"/>
                <w:szCs w:val="21"/>
                <w:lang w:eastAsia="zh-CN"/>
              </w:rPr>
              <w:t>。</w:t>
            </w:r>
          </w:p>
        </w:tc>
        <w:tc>
          <w:tcPr>
            <w:tcW w:w="5725" w:type="dxa"/>
            <w:vMerge w:val="restart"/>
            <w:tcBorders>
              <w:tl2br w:val="nil"/>
              <w:tr2bl w:val="nil"/>
            </w:tcBorders>
          </w:tcPr>
          <w:p>
            <w:pPr>
              <w:pStyle w:val="4069"/>
              <w:spacing w:line="275" w:lineRule="exact"/>
              <w:ind w:right="0"/>
              <w:jc w:val="left"/>
              <w:rPr>
                <w:rFonts w:ascii="宋体" w:hAnsi="宋体" w:eastAsia="宋体" w:cs="宋体"/>
                <w:sz w:val="21"/>
                <w:szCs w:val="21"/>
              </w:rPr>
            </w:pPr>
            <w:r>
              <w:rPr>
                <w:rFonts w:ascii="宋体" w:hAnsi="宋体" w:eastAsia="宋体" w:cs="宋体"/>
                <w:sz w:val="21"/>
                <w:szCs w:val="21"/>
              </w:rPr>
              <w:t>厂区污水处理站</w:t>
            </w:r>
            <w:r>
              <w:rPr>
                <w:rFonts w:ascii="宋体" w:hAnsi="宋体" w:eastAsia="宋体" w:cs="宋体"/>
                <w:spacing w:val="-54"/>
                <w:sz w:val="21"/>
                <w:szCs w:val="21"/>
              </w:rPr>
              <w:t xml:space="preserve"> </w:t>
            </w:r>
            <w:r>
              <w:rPr>
                <w:rFonts w:ascii="Times New Roman" w:hAnsi="Times New Roman" w:eastAsia="Times New Roman" w:cs="Times New Roman"/>
                <w:sz w:val="21"/>
                <w:szCs w:val="21"/>
              </w:rPr>
              <w:t>1</w:t>
            </w:r>
            <w:r>
              <w:rPr>
                <w:rFonts w:ascii="宋体" w:hAnsi="宋体" w:eastAsia="宋体" w:cs="宋体"/>
                <w:spacing w:val="-27"/>
                <w:sz w:val="21"/>
                <w:szCs w:val="21"/>
              </w:rPr>
              <w:t>座</w:t>
            </w:r>
            <w:r>
              <w:rPr>
                <w:rFonts w:ascii="宋体" w:hAnsi="宋体" w:eastAsia="宋体" w:cs="宋体"/>
                <w:spacing w:val="-2"/>
                <w:sz w:val="21"/>
                <w:szCs w:val="21"/>
              </w:rPr>
              <w:t>（</w:t>
            </w:r>
            <w:r>
              <w:rPr>
                <w:rFonts w:ascii="宋体" w:hAnsi="宋体" w:eastAsia="宋体" w:cs="宋体"/>
                <w:sz w:val="21"/>
                <w:szCs w:val="21"/>
              </w:rPr>
              <w:t>规</w:t>
            </w:r>
            <w:r>
              <w:rPr>
                <w:rFonts w:ascii="宋体" w:hAnsi="宋体" w:eastAsia="宋体" w:cs="宋体"/>
                <w:spacing w:val="-1"/>
                <w:sz w:val="21"/>
                <w:szCs w:val="21"/>
              </w:rPr>
              <w:t>模</w:t>
            </w:r>
            <w:r>
              <w:rPr>
                <w:rFonts w:hint="eastAsia" w:ascii="宋体" w:hAnsi="宋体" w:eastAsia="宋体" w:cs="宋体"/>
                <w:spacing w:val="-1"/>
                <w:sz w:val="21"/>
                <w:szCs w:val="21"/>
                <w:lang w:val="en-US" w:eastAsia="zh-CN"/>
              </w:rPr>
              <w:t>55</w:t>
            </w:r>
            <w:r>
              <w:rPr>
                <w:rFonts w:ascii="宋体" w:hAnsi="宋体" w:eastAsia="宋体" w:cs="宋体"/>
                <w:spacing w:val="-1"/>
                <w:sz w:val="21"/>
                <w:szCs w:val="21"/>
              </w:rPr>
              <w:t>m</w:t>
            </w:r>
            <w:r>
              <w:rPr>
                <w:rFonts w:ascii="Times New Roman" w:hAnsi="Times New Roman" w:eastAsia="Times New Roman" w:cs="Times New Roman"/>
                <w:spacing w:val="-1"/>
                <w:position w:val="7"/>
                <w:sz w:val="13"/>
                <w:szCs w:val="13"/>
              </w:rPr>
              <w:t>3</w:t>
            </w:r>
            <w:r>
              <w:rPr>
                <w:rFonts w:ascii="Times New Roman" w:hAnsi="Times New Roman" w:eastAsia="Times New Roman" w:cs="Times New Roman"/>
                <w:spacing w:val="1"/>
                <w:sz w:val="21"/>
                <w:szCs w:val="21"/>
              </w:rPr>
              <w:t>/</w:t>
            </w:r>
            <w:r>
              <w:rPr>
                <w:rFonts w:ascii="Times New Roman" w:hAnsi="Times New Roman" w:eastAsia="Times New Roman" w:cs="Times New Roman"/>
                <w:spacing w:val="-2"/>
                <w:sz w:val="21"/>
                <w:szCs w:val="21"/>
              </w:rPr>
              <w:t>d</w:t>
            </w:r>
            <w:r>
              <w:rPr>
                <w:rFonts w:ascii="宋体" w:hAnsi="宋体" w:eastAsia="宋体" w:cs="宋体"/>
                <w:spacing w:val="-28"/>
                <w:sz w:val="21"/>
                <w:szCs w:val="21"/>
              </w:rPr>
              <w:t>，</w:t>
            </w:r>
            <w:r>
              <w:rPr>
                <w:rFonts w:ascii="宋体" w:hAnsi="宋体" w:eastAsia="宋体" w:cs="宋体"/>
                <w:sz w:val="21"/>
                <w:szCs w:val="21"/>
              </w:rPr>
              <w:t>工艺采</w:t>
            </w:r>
            <w:r>
              <w:rPr>
                <w:rFonts w:ascii="宋体" w:hAnsi="宋体" w:eastAsia="宋体" w:cs="宋体"/>
                <w:spacing w:val="-28"/>
                <w:sz w:val="21"/>
                <w:szCs w:val="21"/>
              </w:rPr>
              <w:t>用</w:t>
            </w:r>
            <w:r>
              <w:rPr>
                <w:rFonts w:ascii="宋体" w:hAnsi="宋体" w:eastAsia="宋体" w:cs="宋体"/>
                <w:sz w:val="21"/>
                <w:szCs w:val="21"/>
              </w:rPr>
              <w:t>“格栅预</w:t>
            </w:r>
          </w:p>
          <w:p>
            <w:pPr>
              <w:pStyle w:val="4069"/>
              <w:spacing w:line="271" w:lineRule="exact"/>
              <w:ind w:left="117" w:right="0"/>
              <w:jc w:val="left"/>
              <w:rPr>
                <w:rFonts w:ascii="宋体" w:hAnsi="宋体" w:eastAsia="宋体" w:cs="宋体"/>
                <w:sz w:val="21"/>
                <w:szCs w:val="21"/>
              </w:rPr>
            </w:pPr>
            <w:r>
              <w:rPr>
                <w:rFonts w:ascii="宋体" w:hAnsi="宋体" w:eastAsia="宋体" w:cs="宋体"/>
                <w:spacing w:val="-1"/>
                <w:sz w:val="21"/>
                <w:szCs w:val="21"/>
              </w:rPr>
              <w:t>处理</w:t>
            </w:r>
            <w:r>
              <w:rPr>
                <w:rFonts w:ascii="Times New Roman" w:hAnsi="Times New Roman" w:eastAsia="Times New Roman" w:cs="Times New Roman"/>
                <w:spacing w:val="-1"/>
                <w:sz w:val="21"/>
                <w:szCs w:val="21"/>
              </w:rPr>
              <w:t>+</w:t>
            </w:r>
            <w:r>
              <w:rPr>
                <w:rFonts w:ascii="宋体" w:hAnsi="宋体" w:eastAsia="宋体" w:cs="宋体"/>
                <w:spacing w:val="-1"/>
                <w:sz w:val="21"/>
                <w:szCs w:val="21"/>
              </w:rPr>
              <w:t>沉砂隔油</w:t>
            </w:r>
            <w:r>
              <w:rPr>
                <w:rFonts w:ascii="Times New Roman" w:hAnsi="Times New Roman" w:eastAsia="Times New Roman" w:cs="Times New Roman"/>
                <w:spacing w:val="-1"/>
                <w:sz w:val="21"/>
                <w:szCs w:val="21"/>
              </w:rPr>
              <w:t>+</w:t>
            </w:r>
            <w:r>
              <w:rPr>
                <w:rFonts w:ascii="宋体" w:hAnsi="宋体" w:eastAsia="宋体" w:cs="宋体"/>
                <w:spacing w:val="-1"/>
                <w:sz w:val="21"/>
                <w:szCs w:val="21"/>
              </w:rPr>
              <w:t>调节</w:t>
            </w:r>
            <w:r>
              <w:rPr>
                <w:rFonts w:ascii="Times New Roman" w:hAnsi="Times New Roman" w:eastAsia="Times New Roman" w:cs="Times New Roman"/>
                <w:spacing w:val="-1"/>
                <w:sz w:val="21"/>
                <w:szCs w:val="21"/>
              </w:rPr>
              <w:t>+</w:t>
            </w:r>
            <w:r>
              <w:rPr>
                <w:rFonts w:ascii="宋体" w:hAnsi="宋体" w:eastAsia="宋体" w:cs="宋体"/>
                <w:spacing w:val="-1"/>
                <w:sz w:val="21"/>
                <w:szCs w:val="21"/>
              </w:rPr>
              <w:t>气浮</w:t>
            </w:r>
            <w:r>
              <w:rPr>
                <w:rFonts w:ascii="Times New Roman" w:hAnsi="Times New Roman" w:eastAsia="Times New Roman" w:cs="Times New Roman"/>
                <w:spacing w:val="-1"/>
                <w:sz w:val="21"/>
                <w:szCs w:val="21"/>
              </w:rPr>
              <w:t>+</w:t>
            </w:r>
            <w:r>
              <w:rPr>
                <w:rFonts w:ascii="宋体" w:hAnsi="宋体" w:eastAsia="宋体" w:cs="宋体"/>
                <w:spacing w:val="-1"/>
                <w:sz w:val="21"/>
                <w:szCs w:val="21"/>
              </w:rPr>
              <w:t>水解酸化</w:t>
            </w:r>
            <w:r>
              <w:rPr>
                <w:rFonts w:ascii="Times New Roman" w:hAnsi="Times New Roman" w:eastAsia="Times New Roman" w:cs="Times New Roman"/>
                <w:spacing w:val="-1"/>
                <w:sz w:val="21"/>
                <w:szCs w:val="21"/>
              </w:rPr>
              <w:t>+</w:t>
            </w:r>
            <w:r>
              <w:rPr>
                <w:rFonts w:ascii="宋体" w:hAnsi="宋体" w:eastAsia="宋体" w:cs="宋体"/>
                <w:spacing w:val="-1"/>
                <w:sz w:val="21"/>
                <w:szCs w:val="21"/>
              </w:rPr>
              <w:t>接触氧（</w:t>
            </w:r>
            <w:r>
              <w:rPr>
                <w:rFonts w:ascii="Times New Roman" w:hAnsi="Times New Roman" w:eastAsia="Times New Roman" w:cs="Times New Roman"/>
                <w:spacing w:val="-1"/>
                <w:sz w:val="21"/>
                <w:szCs w:val="21"/>
              </w:rPr>
              <w:t>A/O</w:t>
            </w:r>
            <w:r>
              <w:rPr>
                <w:rFonts w:ascii="宋体" w:hAnsi="宋体" w:eastAsia="宋体" w:cs="宋体"/>
                <w:spacing w:val="-1"/>
                <w:sz w:val="21"/>
                <w:szCs w:val="21"/>
              </w:rPr>
              <w:t>）</w:t>
            </w:r>
            <w:r>
              <w:rPr>
                <w:rFonts w:ascii="Times New Roman" w:hAnsi="Times New Roman" w:eastAsia="Times New Roman" w:cs="Times New Roman"/>
                <w:spacing w:val="-1"/>
                <w:sz w:val="21"/>
                <w:szCs w:val="21"/>
              </w:rPr>
              <w:t>+</w:t>
            </w:r>
            <w:r>
              <w:rPr>
                <w:rFonts w:ascii="宋体" w:hAnsi="宋体" w:eastAsia="宋体" w:cs="宋体"/>
                <w:spacing w:val="-1"/>
                <w:sz w:val="21"/>
                <w:szCs w:val="21"/>
              </w:rPr>
              <w:t>二级</w:t>
            </w:r>
          </w:p>
          <w:p>
            <w:pPr>
              <w:pStyle w:val="4069"/>
              <w:spacing w:before="24" w:line="263" w:lineRule="auto"/>
              <w:ind w:left="103" w:right="-3"/>
              <w:jc w:val="left"/>
              <w:rPr>
                <w:rFonts w:hint="eastAsia" w:ascii="宋体" w:hAnsi="宋体" w:eastAsia="宋体" w:cs="宋体"/>
                <w:sz w:val="21"/>
                <w:szCs w:val="21"/>
                <w:lang w:eastAsia="zh-CN"/>
              </w:rPr>
            </w:pPr>
            <w:r>
              <w:rPr>
                <w:rFonts w:ascii="宋体" w:hAnsi="宋体" w:eastAsia="宋体" w:cs="宋体"/>
                <w:spacing w:val="-3"/>
                <w:sz w:val="21"/>
                <w:szCs w:val="21"/>
              </w:rPr>
              <w:t>沉淀</w:t>
            </w:r>
            <w:r>
              <w:rPr>
                <w:rFonts w:ascii="Times New Roman" w:hAnsi="Times New Roman" w:eastAsia="Times New Roman" w:cs="Times New Roman"/>
                <w:spacing w:val="-3"/>
                <w:sz w:val="21"/>
                <w:szCs w:val="21"/>
              </w:rPr>
              <w:t>+</w:t>
            </w:r>
            <w:r>
              <w:rPr>
                <w:rFonts w:ascii="宋体" w:hAnsi="宋体" w:eastAsia="宋体" w:cs="宋体"/>
                <w:spacing w:val="-3"/>
                <w:sz w:val="21"/>
                <w:szCs w:val="21"/>
              </w:rPr>
              <w:t>消毒”、在线监测设备</w:t>
            </w:r>
            <w:r>
              <w:rPr>
                <w:rFonts w:ascii="Times New Roman" w:hAnsi="Times New Roman" w:eastAsia="Times New Roman" w:cs="Times New Roman"/>
                <w:sz w:val="21"/>
                <w:szCs w:val="21"/>
              </w:rPr>
              <w:t>1</w:t>
            </w:r>
            <w:r>
              <w:rPr>
                <w:rFonts w:ascii="宋体" w:hAnsi="宋体" w:eastAsia="宋体" w:cs="宋体"/>
                <w:spacing w:val="-4"/>
                <w:sz w:val="21"/>
                <w:szCs w:val="21"/>
              </w:rPr>
              <w:t>套）、事故应急池</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宋体" w:hAnsi="宋体" w:eastAsia="宋体" w:cs="宋体"/>
                <w:spacing w:val="-4"/>
                <w:sz w:val="21"/>
                <w:szCs w:val="21"/>
              </w:rPr>
              <w:t>个（容积</w:t>
            </w:r>
            <w:r>
              <w:rPr>
                <w:rFonts w:ascii="宋体" w:hAnsi="宋体" w:eastAsia="宋体" w:cs="宋体"/>
                <w:sz w:val="21"/>
                <w:szCs w:val="21"/>
              </w:rPr>
              <w:t>为</w:t>
            </w:r>
            <w:r>
              <w:rPr>
                <w:rFonts w:ascii="宋体" w:hAnsi="宋体" w:eastAsia="宋体" w:cs="宋体"/>
                <w:spacing w:val="-54"/>
                <w:sz w:val="21"/>
                <w:szCs w:val="21"/>
              </w:rPr>
              <w:t xml:space="preserve"> </w:t>
            </w:r>
            <w:r>
              <w:rPr>
                <w:rFonts w:hint="eastAsia" w:ascii="Times New Roman" w:hAnsi="Times New Roman" w:eastAsia="宋体" w:cs="Times New Roman"/>
                <w:sz w:val="21"/>
                <w:szCs w:val="21"/>
                <w:lang w:val="en-US" w:eastAsia="zh-CN"/>
              </w:rPr>
              <w:t>120</w:t>
            </w:r>
            <w:r>
              <w:rPr>
                <w:rFonts w:ascii="Times New Roman" w:hAnsi="Times New Roman" w:eastAsia="Times New Roman" w:cs="Times New Roman"/>
                <w:spacing w:val="-2"/>
                <w:sz w:val="21"/>
                <w:szCs w:val="21"/>
              </w:rPr>
              <w:t>m</w:t>
            </w:r>
            <w:r>
              <w:rPr>
                <w:rFonts w:ascii="Times New Roman" w:hAnsi="Times New Roman" w:eastAsia="Times New Roman" w:cs="Times New Roman"/>
                <w:position w:val="7"/>
                <w:sz w:val="13"/>
                <w:szCs w:val="13"/>
              </w:rPr>
              <w:t>3</w:t>
            </w:r>
            <w:r>
              <w:rPr>
                <w:rFonts w:ascii="宋体" w:hAnsi="宋体" w:eastAsia="宋体" w:cs="宋体"/>
                <w:spacing w:val="-44"/>
                <w:sz w:val="21"/>
                <w:szCs w:val="21"/>
              </w:rPr>
              <w:t>，</w:t>
            </w:r>
            <w:r>
              <w:rPr>
                <w:rFonts w:ascii="宋体" w:hAnsi="宋体" w:eastAsia="宋体" w:cs="宋体"/>
                <w:sz w:val="21"/>
                <w:szCs w:val="21"/>
              </w:rPr>
              <w:t>防渗防腐</w:t>
            </w:r>
            <w:r>
              <w:rPr>
                <w:rFonts w:ascii="宋体" w:hAnsi="宋体" w:eastAsia="宋体" w:cs="宋体"/>
                <w:spacing w:val="-44"/>
                <w:sz w:val="21"/>
                <w:szCs w:val="21"/>
              </w:rPr>
              <w:t>，</w:t>
            </w:r>
            <w:r>
              <w:rPr>
                <w:rFonts w:ascii="宋体" w:hAnsi="宋体" w:eastAsia="宋体" w:cs="宋体"/>
                <w:sz w:val="21"/>
                <w:szCs w:val="21"/>
              </w:rPr>
              <w:t>兼顾消防废水收集池</w:t>
            </w:r>
            <w:r>
              <w:rPr>
                <w:rFonts w:ascii="宋体" w:hAnsi="宋体" w:eastAsia="宋体" w:cs="宋体"/>
                <w:spacing w:val="-44"/>
                <w:sz w:val="21"/>
                <w:szCs w:val="21"/>
              </w:rPr>
              <w:t>，</w:t>
            </w:r>
            <w:r>
              <w:rPr>
                <w:rFonts w:ascii="宋体" w:hAnsi="宋体" w:eastAsia="宋体" w:cs="宋体"/>
                <w:sz w:val="21"/>
                <w:szCs w:val="21"/>
              </w:rPr>
              <w:t>保持空池状态</w:t>
            </w:r>
            <w:r>
              <w:rPr>
                <w:rFonts w:ascii="宋体" w:hAnsi="宋体" w:eastAsia="宋体" w:cs="宋体"/>
                <w:spacing w:val="-105"/>
                <w:sz w:val="21"/>
                <w:szCs w:val="21"/>
              </w:rPr>
              <w:t>）</w:t>
            </w:r>
            <w:r>
              <w:rPr>
                <w:rFonts w:ascii="宋体" w:hAnsi="宋体" w:eastAsia="宋体" w:cs="宋体"/>
                <w:sz w:val="21"/>
                <w:szCs w:val="21"/>
              </w:rPr>
              <w:t>、厂内管道建设，防渗防腐，从厂区自建污水管道接入市政污水管网</w:t>
            </w:r>
            <w:r>
              <w:rPr>
                <w:rFonts w:ascii="宋体" w:hAnsi="宋体" w:eastAsia="宋体" w:cs="宋体"/>
                <w:spacing w:val="-106"/>
                <w:sz w:val="21"/>
                <w:szCs w:val="21"/>
              </w:rPr>
              <w:t>；</w:t>
            </w:r>
            <w:r>
              <w:rPr>
                <w:rFonts w:ascii="宋体" w:hAnsi="宋体" w:eastAsia="宋体" w:cs="宋体"/>
                <w:spacing w:val="-4"/>
                <w:sz w:val="21"/>
                <w:szCs w:val="21"/>
              </w:rPr>
              <w:t>，污水处理站排出废水</w:t>
            </w:r>
            <w:r>
              <w:rPr>
                <w:rFonts w:ascii="宋体" w:hAnsi="宋体" w:eastAsia="宋体" w:cs="宋体"/>
                <w:spacing w:val="-1"/>
                <w:sz w:val="21"/>
                <w:szCs w:val="21"/>
              </w:rPr>
              <w:t>达《肉类加工工业水污染物排放标准》（</w:t>
            </w:r>
            <w:r>
              <w:rPr>
                <w:rFonts w:ascii="Times New Roman" w:hAnsi="Times New Roman" w:eastAsia="Times New Roman" w:cs="Times New Roman"/>
                <w:spacing w:val="-1"/>
                <w:sz w:val="21"/>
                <w:szCs w:val="21"/>
              </w:rPr>
              <w:t>GB13457-1992</w:t>
            </w:r>
            <w:r>
              <w:rPr>
                <w:rFonts w:ascii="宋体" w:hAnsi="宋体" w:eastAsia="宋体" w:cs="宋体"/>
                <w:spacing w:val="-1"/>
                <w:sz w:val="21"/>
                <w:szCs w:val="21"/>
              </w:rPr>
              <w:t>）</w:t>
            </w:r>
            <w:r>
              <w:rPr>
                <w:rFonts w:hint="eastAsia" w:ascii="宋体" w:hAnsi="宋体" w:cs="宋体"/>
                <w:spacing w:val="-1"/>
                <w:sz w:val="21"/>
                <w:szCs w:val="21"/>
                <w:lang w:eastAsia="zh-CN"/>
              </w:rPr>
              <w:t>一级标准。</w:t>
            </w:r>
          </w:p>
        </w:tc>
        <w:tc>
          <w:tcPr>
            <w:tcW w:w="1332" w:type="dxa"/>
            <w:vMerge w:val="restart"/>
            <w:tcBorders>
              <w:tl2br w:val="nil"/>
              <w:tr2bl w:val="nil"/>
            </w:tcBorders>
          </w:tcPr>
          <w:p>
            <w:pPr>
              <w:pStyle w:val="4069"/>
              <w:spacing w:line="240" w:lineRule="auto"/>
              <w:ind w:right="0"/>
              <w:jc w:val="left"/>
              <w:rPr>
                <w:rFonts w:ascii="宋体" w:hAnsi="宋体" w:eastAsia="宋体" w:cs="宋体"/>
                <w:sz w:val="21"/>
                <w:szCs w:val="21"/>
              </w:rPr>
            </w:pPr>
            <w:r>
              <w:rPr>
                <w:rFonts w:ascii="宋体" w:hAnsi="宋体" w:eastAsia="宋体" w:cs="宋体"/>
                <w:sz w:val="21"/>
                <w:szCs w:val="21"/>
              </w:rPr>
              <w:t>营运期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14" w:hRule="exact"/>
        </w:trPr>
        <w:tc>
          <w:tcPr>
            <w:tcW w:w="785" w:type="dxa"/>
            <w:tcBorders>
              <w:tl2br w:val="nil"/>
              <w:tr2bl w:val="nil"/>
            </w:tcBorders>
          </w:tcPr>
          <w:p>
            <w:pPr>
              <w:pStyle w:val="4069"/>
              <w:spacing w:line="240" w:lineRule="auto"/>
              <w:ind w:right="10"/>
              <w:jc w:val="both"/>
              <w:rPr>
                <w:rFonts w:ascii="Times New Roman" w:hAnsi="Times New Roman" w:eastAsia="Times New Roman" w:cs="Times New Roman"/>
                <w:sz w:val="21"/>
                <w:szCs w:val="21"/>
              </w:rPr>
            </w:pPr>
            <w:r>
              <w:rPr>
                <w:rFonts w:ascii="Times New Roman"/>
                <w:sz w:val="21"/>
              </w:rPr>
              <w:t>2</w:t>
            </w:r>
          </w:p>
        </w:tc>
        <w:tc>
          <w:tcPr>
            <w:tcW w:w="1187" w:type="dxa"/>
            <w:tcBorders>
              <w:tl2br w:val="nil"/>
              <w:tr2bl w:val="nil"/>
            </w:tcBorders>
          </w:tcPr>
          <w:p>
            <w:pPr>
              <w:pStyle w:val="4069"/>
              <w:spacing w:line="275" w:lineRule="auto"/>
              <w:ind w:right="0"/>
              <w:jc w:val="left"/>
              <w:rPr>
                <w:rFonts w:ascii="宋体" w:hAnsi="宋体" w:eastAsia="宋体" w:cs="宋体"/>
                <w:sz w:val="21"/>
                <w:szCs w:val="21"/>
              </w:rPr>
            </w:pPr>
            <w:r>
              <w:rPr>
                <w:rFonts w:ascii="宋体" w:hAnsi="宋体" w:eastAsia="宋体" w:cs="宋体"/>
                <w:sz w:val="21"/>
                <w:szCs w:val="21"/>
              </w:rPr>
              <w:t>大气污染防治措施</w:t>
            </w:r>
          </w:p>
        </w:tc>
        <w:tc>
          <w:tcPr>
            <w:tcW w:w="5100" w:type="dxa"/>
            <w:tcBorders>
              <w:tl2br w:val="nil"/>
              <w:tr2bl w:val="nil"/>
            </w:tcBorders>
          </w:tcPr>
          <w:p>
            <w:pPr>
              <w:pStyle w:val="4069"/>
              <w:spacing w:line="259" w:lineRule="exact"/>
              <w:ind w:right="0"/>
              <w:jc w:val="left"/>
              <w:rPr>
                <w:rFonts w:ascii="宋体" w:hAnsi="宋体" w:eastAsia="宋体" w:cs="宋体"/>
                <w:sz w:val="21"/>
                <w:szCs w:val="21"/>
              </w:rPr>
            </w:pPr>
            <w:r>
              <w:rPr>
                <w:rFonts w:ascii="宋体" w:hAnsi="宋体" w:eastAsia="宋体" w:cs="宋体"/>
                <w:sz w:val="21"/>
                <w:szCs w:val="21"/>
              </w:rPr>
              <w:t>待宰圈、屠宰区采取封闭式结构，采用机械通风以保持良好的通风状态和清洁状态，并用活性炭吸附排气中的臭气，待宰圈内采用过氧化氢和高锰酸钾等强氧化剂和杀菌剂清除微生物产生的恶臭物质，并在待宰圈、屠宰区四周建设绿化带吸收部分臭气，进一步降低恶臭对环境的影响。屠宰间需满足相应洁净度要求</w:t>
            </w:r>
            <w:r>
              <w:rPr>
                <w:rFonts w:ascii="宋体" w:hAnsi="宋体" w:eastAsia="宋体" w:cs="宋体"/>
                <w:spacing w:val="-26"/>
                <w:sz w:val="21"/>
                <w:szCs w:val="21"/>
              </w:rPr>
              <w:t>，</w:t>
            </w:r>
            <w:r>
              <w:rPr>
                <w:rFonts w:ascii="宋体" w:hAnsi="宋体" w:eastAsia="宋体" w:cs="宋体"/>
                <w:sz w:val="21"/>
                <w:szCs w:val="21"/>
              </w:rPr>
              <w:t>按</w:t>
            </w:r>
            <w:r>
              <w:rPr>
                <w:rFonts w:ascii="宋体" w:hAnsi="宋体" w:eastAsia="宋体" w:cs="宋体"/>
                <w:spacing w:val="-24"/>
                <w:sz w:val="21"/>
                <w:szCs w:val="21"/>
              </w:rPr>
              <w:t>照</w:t>
            </w:r>
            <w:r>
              <w:rPr>
                <w:rFonts w:ascii="宋体" w:hAnsi="宋体" w:eastAsia="宋体" w:cs="宋体"/>
                <w:sz w:val="21"/>
                <w:szCs w:val="21"/>
              </w:rPr>
              <w:t>《食品企业通用卫生规范</w:t>
            </w:r>
            <w:r>
              <w:rPr>
                <w:rFonts w:ascii="宋体" w:hAnsi="宋体" w:eastAsia="宋体" w:cs="宋体"/>
                <w:spacing w:val="-48"/>
                <w:sz w:val="21"/>
                <w:szCs w:val="21"/>
              </w:rPr>
              <w:t>》</w:t>
            </w:r>
            <w:r>
              <w:rPr>
                <w:rFonts w:ascii="宋体" w:hAnsi="宋体" w:eastAsia="宋体" w:cs="宋体"/>
                <w:sz w:val="21"/>
                <w:szCs w:val="21"/>
              </w:rPr>
              <w:t>（</w:t>
            </w:r>
            <w:r>
              <w:rPr>
                <w:rFonts w:ascii="Times New Roman" w:hAnsi="Times New Roman" w:eastAsia="Times New Roman" w:cs="Times New Roman"/>
                <w:spacing w:val="-1"/>
                <w:sz w:val="21"/>
                <w:szCs w:val="21"/>
              </w:rPr>
              <w:t>GB</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2"/>
                <w:sz w:val="21"/>
                <w:szCs w:val="21"/>
              </w:rPr>
              <w:t>4</w:t>
            </w:r>
            <w:r>
              <w:rPr>
                <w:rFonts w:ascii="Times New Roman" w:hAnsi="Times New Roman" w:eastAsia="Times New Roman" w:cs="Times New Roman"/>
                <w:spacing w:val="1"/>
                <w:sz w:val="21"/>
                <w:szCs w:val="21"/>
              </w:rPr>
              <w:t>8</w:t>
            </w:r>
            <w:r>
              <w:rPr>
                <w:rFonts w:ascii="Times New Roman" w:hAnsi="Times New Roman" w:eastAsia="Times New Roman" w:cs="Times New Roman"/>
                <w:spacing w:val="-2"/>
                <w:sz w:val="21"/>
                <w:szCs w:val="21"/>
              </w:rPr>
              <w:t>8</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1"/>
                <w:sz w:val="21"/>
                <w:szCs w:val="21"/>
              </w:rPr>
              <w:t>-</w:t>
            </w:r>
            <w:r>
              <w:rPr>
                <w:rFonts w:ascii="Times New Roman" w:hAnsi="Times New Roman" w:eastAsia="Times New Roman" w:cs="Times New Roman"/>
                <w:sz w:val="21"/>
                <w:szCs w:val="21"/>
              </w:rPr>
              <w:t>9</w:t>
            </w:r>
            <w:r>
              <w:rPr>
                <w:rFonts w:ascii="Times New Roman" w:hAnsi="Times New Roman" w:eastAsia="Times New Roman" w:cs="Times New Roman"/>
                <w:spacing w:val="-2"/>
                <w:sz w:val="21"/>
                <w:szCs w:val="21"/>
              </w:rPr>
              <w:t>4</w:t>
            </w:r>
            <w:r>
              <w:rPr>
                <w:rFonts w:ascii="宋体" w:hAnsi="宋体" w:eastAsia="宋体" w:cs="宋体"/>
                <w:sz w:val="21"/>
                <w:szCs w:val="21"/>
              </w:rPr>
              <w:t>）要求进行建设。食堂设置油烟净化器及排放管道，油</w:t>
            </w:r>
            <w:r>
              <w:rPr>
                <w:rFonts w:ascii="宋体" w:hAnsi="宋体" w:eastAsia="宋体" w:cs="宋体"/>
                <w:spacing w:val="-1"/>
                <w:sz w:val="21"/>
                <w:szCs w:val="21"/>
              </w:rPr>
              <w:t>烟处理达饮食业油烟排放标准</w:t>
            </w:r>
            <w:r>
              <w:rPr>
                <w:rFonts w:ascii="Times New Roman" w:hAnsi="Times New Roman" w:eastAsia="Times New Roman" w:cs="Times New Roman"/>
                <w:spacing w:val="-1"/>
                <w:sz w:val="21"/>
                <w:szCs w:val="21"/>
              </w:rPr>
              <w:t>(GB18483-2001)</w:t>
            </w:r>
            <w:r>
              <w:rPr>
                <w:rFonts w:ascii="宋体" w:hAnsi="宋体" w:eastAsia="宋体" w:cs="宋体"/>
                <w:spacing w:val="-1"/>
                <w:sz w:val="21"/>
                <w:szCs w:val="21"/>
              </w:rPr>
              <w:t>后高空</w:t>
            </w:r>
            <w:r>
              <w:rPr>
                <w:rFonts w:ascii="宋体" w:hAnsi="宋体" w:eastAsia="宋体" w:cs="宋体"/>
                <w:sz w:val="21"/>
                <w:szCs w:val="21"/>
              </w:rPr>
              <w:t>排放；污水处理站臭气密闭收集后采用生物除臭装置净化后排放；锅炉废气经</w:t>
            </w:r>
            <w:r>
              <w:rPr>
                <w:rFonts w:ascii="宋体" w:hAnsi="宋体" w:eastAsia="宋体" w:cs="宋体"/>
                <w:spacing w:val="-55"/>
                <w:sz w:val="21"/>
                <w:szCs w:val="21"/>
              </w:rPr>
              <w:t xml:space="preserve"> </w:t>
            </w:r>
            <w:r>
              <w:rPr>
                <w:rFonts w:ascii="Times New Roman" w:hAnsi="Times New Roman" w:eastAsia="Times New Roman" w:cs="Times New Roman"/>
                <w:spacing w:val="-1"/>
                <w:sz w:val="21"/>
                <w:szCs w:val="21"/>
              </w:rPr>
              <w:t xml:space="preserve">15m </w:t>
            </w:r>
            <w:r>
              <w:rPr>
                <w:rFonts w:ascii="宋体" w:hAnsi="宋体" w:eastAsia="宋体" w:cs="宋体"/>
                <w:sz w:val="21"/>
                <w:szCs w:val="21"/>
              </w:rPr>
              <w:t>排气筒排放。</w:t>
            </w:r>
          </w:p>
        </w:tc>
        <w:tc>
          <w:tcPr>
            <w:tcW w:w="5725" w:type="dxa"/>
            <w:tcBorders>
              <w:tl2br w:val="nil"/>
              <w:tr2bl w:val="nil"/>
            </w:tcBorders>
          </w:tcPr>
          <w:p>
            <w:pPr>
              <w:pStyle w:val="4069"/>
              <w:spacing w:line="240" w:lineRule="auto"/>
              <w:ind w:right="0"/>
              <w:jc w:val="left"/>
              <w:rPr>
                <w:rFonts w:ascii="宋体" w:hAnsi="宋体" w:eastAsia="宋体" w:cs="宋体"/>
                <w:sz w:val="21"/>
                <w:szCs w:val="21"/>
              </w:rPr>
            </w:pPr>
            <w:r>
              <w:rPr>
                <w:rFonts w:ascii="宋体" w:hAnsi="宋体" w:eastAsia="宋体" w:cs="宋体"/>
                <w:sz w:val="21"/>
                <w:szCs w:val="21"/>
              </w:rPr>
              <w:t>屠宰区通风，设置排风扇若干，厂区绿化情况，绿化率</w:t>
            </w:r>
            <w:r>
              <w:rPr>
                <w:rFonts w:ascii="Times New Roman" w:hAnsi="Times New Roman" w:eastAsia="Times New Roman" w:cs="Times New Roman"/>
                <w:spacing w:val="-2"/>
                <w:sz w:val="21"/>
                <w:szCs w:val="21"/>
              </w:rPr>
              <w:t>35%</w:t>
            </w:r>
            <w:r>
              <w:rPr>
                <w:rFonts w:ascii="宋体" w:hAnsi="宋体" w:eastAsia="宋体" w:cs="宋体"/>
                <w:spacing w:val="-2"/>
                <w:sz w:val="21"/>
                <w:szCs w:val="21"/>
              </w:rPr>
              <w:t>；食堂设置油烟净化器（净化效率</w:t>
            </w:r>
            <w:r>
              <w:rPr>
                <w:rFonts w:ascii="宋体" w:hAnsi="宋体" w:eastAsia="宋体" w:cs="宋体"/>
                <w:spacing w:val="-55"/>
                <w:sz w:val="21"/>
                <w:szCs w:val="21"/>
              </w:rPr>
              <w:t xml:space="preserve"> </w:t>
            </w:r>
            <w:r>
              <w:rPr>
                <w:rFonts w:ascii="Times New Roman" w:hAnsi="Times New Roman" w:eastAsia="Times New Roman" w:cs="Times New Roman"/>
                <w:spacing w:val="-3"/>
                <w:sz w:val="21"/>
                <w:szCs w:val="21"/>
              </w:rPr>
              <w:t>75%</w:t>
            </w:r>
            <w:r>
              <w:rPr>
                <w:rFonts w:ascii="宋体" w:hAnsi="宋体" w:eastAsia="宋体" w:cs="宋体"/>
                <w:spacing w:val="-3"/>
                <w:sz w:val="21"/>
                <w:szCs w:val="21"/>
              </w:rPr>
              <w:t>），楼顶设有</w:t>
            </w:r>
            <w:r>
              <w:rPr>
                <w:rFonts w:ascii="Times New Roman" w:hAnsi="Times New Roman" w:eastAsia="Times New Roman" w:cs="Times New Roman"/>
                <w:spacing w:val="-1"/>
                <w:sz w:val="21"/>
                <w:szCs w:val="21"/>
              </w:rPr>
              <w:t>2m</w:t>
            </w:r>
            <w:r>
              <w:rPr>
                <w:rFonts w:ascii="宋体" w:hAnsi="宋体" w:eastAsia="宋体" w:cs="宋体"/>
                <w:sz w:val="21"/>
                <w:szCs w:val="21"/>
              </w:rPr>
              <w:t>高排气筒</w:t>
            </w:r>
            <w:r>
              <w:rPr>
                <w:rFonts w:ascii="宋体" w:hAnsi="宋体" w:eastAsia="宋体" w:cs="宋体"/>
                <w:spacing w:val="-41"/>
                <w:sz w:val="21"/>
                <w:szCs w:val="21"/>
              </w:rPr>
              <w:t>，</w:t>
            </w:r>
            <w:r>
              <w:rPr>
                <w:rFonts w:ascii="宋体" w:hAnsi="宋体" w:eastAsia="宋体" w:cs="宋体"/>
                <w:spacing w:val="-2"/>
                <w:sz w:val="21"/>
                <w:szCs w:val="21"/>
              </w:rPr>
              <w:t>《</w:t>
            </w:r>
            <w:r>
              <w:rPr>
                <w:rFonts w:ascii="宋体" w:hAnsi="宋体" w:eastAsia="宋体" w:cs="宋体"/>
                <w:sz w:val="21"/>
                <w:szCs w:val="21"/>
              </w:rPr>
              <w:t>饮食业油烟排放标准</w:t>
            </w:r>
            <w:r>
              <w:rPr>
                <w:rFonts w:ascii="宋体" w:hAnsi="宋体" w:eastAsia="宋体" w:cs="宋体"/>
                <w:spacing w:val="-40"/>
                <w:sz w:val="21"/>
                <w:szCs w:val="21"/>
              </w:rPr>
              <w:t>》</w:t>
            </w:r>
            <w:r>
              <w:rPr>
                <w:rFonts w:ascii="宋体" w:hAnsi="宋体" w:eastAsia="宋体" w:cs="宋体"/>
                <w:spacing w:val="-2"/>
                <w:sz w:val="21"/>
                <w:szCs w:val="21"/>
              </w:rPr>
              <w:t>（</w:t>
            </w:r>
            <w:r>
              <w:rPr>
                <w:rFonts w:ascii="Times New Roman" w:hAnsi="Times New Roman" w:eastAsia="Times New Roman" w:cs="Times New Roman"/>
                <w:spacing w:val="-1"/>
                <w:sz w:val="21"/>
                <w:szCs w:val="21"/>
              </w:rPr>
              <w:t>G</w:t>
            </w:r>
            <w:r>
              <w:rPr>
                <w:rFonts w:ascii="Times New Roman" w:hAnsi="Times New Roman" w:eastAsia="Times New Roman" w:cs="Times New Roman"/>
                <w:sz w:val="21"/>
                <w:szCs w:val="21"/>
              </w:rPr>
              <w:t>B18</w:t>
            </w:r>
            <w:r>
              <w:rPr>
                <w:rFonts w:ascii="Times New Roman" w:hAnsi="Times New Roman" w:eastAsia="Times New Roman" w:cs="Times New Roman"/>
                <w:spacing w:val="-1"/>
                <w:sz w:val="21"/>
                <w:szCs w:val="21"/>
              </w:rPr>
              <w:t>4</w:t>
            </w:r>
            <w:r>
              <w:rPr>
                <w:rFonts w:ascii="Times New Roman" w:hAnsi="Times New Roman" w:eastAsia="Times New Roman" w:cs="Times New Roman"/>
                <w:sz w:val="21"/>
                <w:szCs w:val="21"/>
              </w:rPr>
              <w:t>8</w:t>
            </w:r>
            <w:r>
              <w:rPr>
                <w:rFonts w:ascii="Times New Roman" w:hAnsi="Times New Roman" w:eastAsia="Times New Roman" w:cs="Times New Roman"/>
                <w:spacing w:val="-1"/>
                <w:sz w:val="21"/>
                <w:szCs w:val="21"/>
              </w:rPr>
              <w:t>3</w:t>
            </w:r>
            <w:r>
              <w:rPr>
                <w:rFonts w:ascii="Times New Roman" w:hAnsi="Times New Roman" w:eastAsia="Times New Roman" w:cs="Times New Roman"/>
                <w:sz w:val="21"/>
                <w:szCs w:val="21"/>
              </w:rPr>
              <w:t>-</w:t>
            </w:r>
            <w:r>
              <w:rPr>
                <w:rFonts w:ascii="Times New Roman" w:hAnsi="Times New Roman" w:eastAsia="Times New Roman" w:cs="Times New Roman"/>
                <w:spacing w:val="1"/>
                <w:sz w:val="21"/>
                <w:szCs w:val="21"/>
              </w:rPr>
              <w:t>2</w:t>
            </w:r>
            <w:r>
              <w:rPr>
                <w:rFonts w:ascii="Times New Roman" w:hAnsi="Times New Roman" w:eastAsia="Times New Roman" w:cs="Times New Roman"/>
                <w:spacing w:val="-2"/>
                <w:sz w:val="21"/>
                <w:szCs w:val="21"/>
              </w:rPr>
              <w:t>0</w:t>
            </w:r>
            <w:r>
              <w:rPr>
                <w:rFonts w:ascii="Times New Roman" w:hAnsi="Times New Roman" w:eastAsia="Times New Roman" w:cs="Times New Roman"/>
                <w:spacing w:val="1"/>
                <w:sz w:val="21"/>
                <w:szCs w:val="21"/>
              </w:rPr>
              <w:t>0</w:t>
            </w:r>
            <w:r>
              <w:rPr>
                <w:rFonts w:ascii="Times New Roman" w:hAnsi="Times New Roman" w:eastAsia="Times New Roman" w:cs="Times New Roman"/>
                <w:spacing w:val="-2"/>
                <w:sz w:val="21"/>
                <w:szCs w:val="21"/>
              </w:rPr>
              <w:t>1</w:t>
            </w:r>
            <w:r>
              <w:rPr>
                <w:rFonts w:ascii="宋体" w:hAnsi="宋体" w:eastAsia="宋体" w:cs="宋体"/>
                <w:spacing w:val="-21"/>
                <w:sz w:val="21"/>
                <w:szCs w:val="21"/>
              </w:rPr>
              <w:t>）</w:t>
            </w:r>
            <w:r>
              <w:rPr>
                <w:rFonts w:ascii="宋体" w:hAnsi="宋体" w:eastAsia="宋体" w:cs="宋体"/>
                <w:sz w:val="21"/>
                <w:szCs w:val="21"/>
              </w:rPr>
              <w:t>中型；</w:t>
            </w:r>
            <w:r>
              <w:rPr>
                <w:rFonts w:ascii="宋体" w:hAnsi="宋体" w:eastAsia="宋体" w:cs="宋体"/>
                <w:spacing w:val="-1"/>
                <w:sz w:val="21"/>
                <w:szCs w:val="21"/>
              </w:rPr>
              <w:t>发电机废气净化装置机排风系统；锅炉废气经</w:t>
            </w:r>
            <w:r>
              <w:rPr>
                <w:rFonts w:ascii="宋体" w:hAnsi="宋体" w:eastAsia="宋体" w:cs="宋体"/>
                <w:spacing w:val="-54"/>
                <w:sz w:val="21"/>
                <w:szCs w:val="21"/>
              </w:rPr>
              <w:t xml:space="preserve"> </w:t>
            </w:r>
            <w:r>
              <w:rPr>
                <w:rFonts w:ascii="Times New Roman" w:hAnsi="Times New Roman" w:eastAsia="Times New Roman" w:cs="Times New Roman"/>
                <w:spacing w:val="-1"/>
                <w:sz w:val="21"/>
                <w:szCs w:val="21"/>
              </w:rPr>
              <w:t xml:space="preserve">15m </w:t>
            </w:r>
            <w:r>
              <w:rPr>
                <w:rFonts w:ascii="宋体" w:hAnsi="宋体" w:eastAsia="宋体" w:cs="宋体"/>
                <w:sz w:val="21"/>
                <w:szCs w:val="21"/>
              </w:rPr>
              <w:t>排气筒高</w:t>
            </w:r>
            <w:r>
              <w:rPr>
                <w:rFonts w:ascii="宋体" w:hAnsi="宋体" w:eastAsia="宋体" w:cs="宋体"/>
                <w:spacing w:val="-1"/>
                <w:sz w:val="21"/>
                <w:szCs w:val="21"/>
              </w:rPr>
              <w:t>空排放，达《锅炉大气污染物排放标准》（</w:t>
            </w:r>
            <w:r>
              <w:rPr>
                <w:rFonts w:ascii="Times New Roman" w:hAnsi="Times New Roman" w:eastAsia="Times New Roman" w:cs="Times New Roman"/>
                <w:spacing w:val="-1"/>
                <w:sz w:val="21"/>
                <w:szCs w:val="21"/>
              </w:rPr>
              <w:t>GB13271-2014</w:t>
            </w:r>
            <w:r>
              <w:rPr>
                <w:rFonts w:ascii="宋体" w:hAnsi="宋体" w:eastAsia="宋体" w:cs="宋体"/>
                <w:spacing w:val="-1"/>
                <w:sz w:val="21"/>
                <w:szCs w:val="21"/>
              </w:rPr>
              <w:t>）</w:t>
            </w:r>
            <w:r>
              <w:rPr>
                <w:rFonts w:ascii="宋体" w:hAnsi="宋体" w:eastAsia="宋体" w:cs="宋体"/>
                <w:sz w:val="21"/>
                <w:szCs w:val="21"/>
              </w:rPr>
              <w:t>表</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2</w:t>
            </w:r>
            <w:r>
              <w:rPr>
                <w:rFonts w:ascii="宋体" w:hAnsi="宋体" w:eastAsia="宋体" w:cs="宋体"/>
                <w:sz w:val="21"/>
                <w:szCs w:val="21"/>
              </w:rPr>
              <w:t>中的标准；污水处理站臭气密闭收集后采用生物除臭装</w:t>
            </w:r>
            <w:r>
              <w:rPr>
                <w:rFonts w:ascii="宋体" w:hAnsi="宋体" w:eastAsia="宋体" w:cs="宋体"/>
                <w:spacing w:val="-1"/>
                <w:sz w:val="21"/>
                <w:szCs w:val="21"/>
              </w:rPr>
              <w:t>置净化后排放，</w:t>
            </w:r>
            <w:r>
              <w:rPr>
                <w:rFonts w:ascii="Times New Roman" w:hAnsi="Times New Roman" w:eastAsia="Times New Roman" w:cs="Times New Roman"/>
                <w:spacing w:val="-1"/>
                <w:sz w:val="21"/>
                <w:szCs w:val="21"/>
              </w:rPr>
              <w:t>15m</w:t>
            </w:r>
            <w:r>
              <w:rPr>
                <w:rFonts w:ascii="Times New Roman" w:hAnsi="Times New Roman" w:eastAsia="Times New Roman" w:cs="Times New Roman"/>
                <w:spacing w:val="-4"/>
                <w:sz w:val="21"/>
                <w:szCs w:val="21"/>
              </w:rPr>
              <w:t xml:space="preserve"> </w:t>
            </w:r>
            <w:r>
              <w:rPr>
                <w:rFonts w:ascii="宋体" w:hAnsi="宋体" w:eastAsia="宋体" w:cs="宋体"/>
                <w:sz w:val="21"/>
                <w:szCs w:val="21"/>
              </w:rPr>
              <w:t>高排气筒排放。</w:t>
            </w:r>
          </w:p>
        </w:tc>
        <w:tc>
          <w:tcPr>
            <w:tcW w:w="1332" w:type="dxa"/>
            <w:tcBorders>
              <w:tl2br w:val="nil"/>
              <w:tr2bl w:val="nil"/>
            </w:tcBorders>
          </w:tcPr>
          <w:p>
            <w:pPr>
              <w:pStyle w:val="4069"/>
              <w:spacing w:line="240" w:lineRule="auto"/>
              <w:ind w:right="0"/>
              <w:jc w:val="left"/>
              <w:rPr>
                <w:rFonts w:ascii="宋体" w:hAnsi="宋体" w:eastAsia="宋体" w:cs="宋体"/>
                <w:sz w:val="21"/>
                <w:szCs w:val="21"/>
              </w:rPr>
            </w:pPr>
            <w:r>
              <w:rPr>
                <w:rFonts w:ascii="宋体" w:hAnsi="宋体" w:eastAsia="宋体" w:cs="宋体"/>
                <w:sz w:val="21"/>
                <w:szCs w:val="21"/>
              </w:rPr>
              <w:t>营运期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7" w:hRule="exact"/>
        </w:trPr>
        <w:tc>
          <w:tcPr>
            <w:tcW w:w="785" w:type="dxa"/>
            <w:tcBorders>
              <w:tl2br w:val="nil"/>
              <w:tr2bl w:val="nil"/>
            </w:tcBorders>
          </w:tcPr>
          <w:p>
            <w:pPr>
              <w:pStyle w:val="4069"/>
              <w:spacing w:before="6" w:line="140" w:lineRule="exact"/>
              <w:ind w:right="0"/>
              <w:jc w:val="left"/>
              <w:rPr>
                <w:sz w:val="14"/>
                <w:szCs w:val="14"/>
              </w:rPr>
            </w:pPr>
          </w:p>
          <w:p>
            <w:pPr>
              <w:pStyle w:val="4069"/>
              <w:spacing w:line="200" w:lineRule="exact"/>
              <w:ind w:right="0"/>
              <w:jc w:val="left"/>
              <w:rPr>
                <w:sz w:val="20"/>
                <w:szCs w:val="20"/>
              </w:rPr>
            </w:pPr>
          </w:p>
          <w:p>
            <w:pPr>
              <w:pStyle w:val="4069"/>
              <w:spacing w:line="240" w:lineRule="auto"/>
              <w:ind w:right="10"/>
              <w:jc w:val="center"/>
              <w:rPr>
                <w:rFonts w:ascii="Times New Roman" w:hAnsi="Times New Roman" w:eastAsia="Times New Roman" w:cs="Times New Roman"/>
                <w:sz w:val="21"/>
                <w:szCs w:val="21"/>
              </w:rPr>
            </w:pPr>
            <w:r>
              <w:rPr>
                <w:rFonts w:ascii="Times New Roman"/>
                <w:sz w:val="21"/>
              </w:rPr>
              <w:t>3</w:t>
            </w:r>
          </w:p>
        </w:tc>
        <w:tc>
          <w:tcPr>
            <w:tcW w:w="1187" w:type="dxa"/>
            <w:tcBorders>
              <w:tl2br w:val="nil"/>
              <w:tr2bl w:val="nil"/>
            </w:tcBorders>
          </w:tcPr>
          <w:p>
            <w:pPr>
              <w:pStyle w:val="4069"/>
              <w:spacing w:before="144" w:line="275" w:lineRule="auto"/>
              <w:ind w:left="102" w:right="62"/>
              <w:jc w:val="left"/>
              <w:rPr>
                <w:rFonts w:ascii="宋体" w:hAnsi="宋体" w:eastAsia="宋体" w:cs="宋体"/>
                <w:sz w:val="21"/>
                <w:szCs w:val="21"/>
              </w:rPr>
            </w:pPr>
            <w:r>
              <w:rPr>
                <w:rFonts w:ascii="宋体" w:hAnsi="宋体" w:eastAsia="宋体" w:cs="宋体"/>
                <w:spacing w:val="43"/>
                <w:sz w:val="21"/>
                <w:szCs w:val="21"/>
              </w:rPr>
              <w:t>噪声防</w:t>
            </w:r>
            <w:r>
              <w:rPr>
                <w:rFonts w:ascii="宋体" w:hAnsi="宋体" w:eastAsia="宋体" w:cs="宋体"/>
                <w:sz w:val="21"/>
                <w:szCs w:val="21"/>
              </w:rPr>
              <w:t>治措施</w:t>
            </w:r>
          </w:p>
        </w:tc>
        <w:tc>
          <w:tcPr>
            <w:tcW w:w="5100" w:type="dxa"/>
            <w:tcBorders>
              <w:tl2br w:val="nil"/>
              <w:tr2bl w:val="nil"/>
            </w:tcBorders>
          </w:tcPr>
          <w:p>
            <w:pPr>
              <w:pStyle w:val="4069"/>
              <w:spacing w:line="241" w:lineRule="exact"/>
              <w:ind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pacing w:val="-1"/>
                <w:sz w:val="21"/>
                <w:szCs w:val="21"/>
              </w:rPr>
              <w:t>1</w:t>
            </w:r>
            <w:r>
              <w:rPr>
                <w:rFonts w:ascii="宋体" w:hAnsi="宋体" w:eastAsia="宋体" w:cs="宋体"/>
                <w:spacing w:val="-27"/>
                <w:sz w:val="21"/>
                <w:szCs w:val="21"/>
              </w:rPr>
              <w:t>）</w:t>
            </w:r>
            <w:r>
              <w:rPr>
                <w:rFonts w:ascii="宋体" w:hAnsi="宋体" w:eastAsia="宋体" w:cs="宋体"/>
                <w:sz w:val="21"/>
                <w:szCs w:val="21"/>
              </w:rPr>
              <w:t>所有产噪设备均安装于室内</w:t>
            </w:r>
            <w:r>
              <w:rPr>
                <w:rFonts w:ascii="宋体" w:hAnsi="宋体" w:eastAsia="宋体" w:cs="宋体"/>
                <w:spacing w:val="-24"/>
                <w:sz w:val="21"/>
                <w:szCs w:val="21"/>
              </w:rPr>
              <w:t>，</w:t>
            </w:r>
            <w:r>
              <w:rPr>
                <w:rFonts w:ascii="宋体" w:hAnsi="宋体" w:eastAsia="宋体" w:cs="宋体"/>
                <w:sz w:val="21"/>
                <w:szCs w:val="21"/>
              </w:rPr>
              <w:t>利用墙体隔声减小噪声对外环境的影响；（</w:t>
            </w:r>
            <w:r>
              <w:rPr>
                <w:rFonts w:ascii="Times New Roman" w:hAnsi="Times New Roman" w:eastAsia="Times New Roman" w:cs="Times New Roman"/>
                <w:sz w:val="21"/>
                <w:szCs w:val="21"/>
              </w:rPr>
              <w:t>2</w:t>
            </w:r>
            <w:r>
              <w:rPr>
                <w:rFonts w:ascii="宋体" w:hAnsi="宋体" w:eastAsia="宋体" w:cs="宋体"/>
                <w:sz w:val="21"/>
                <w:szCs w:val="21"/>
              </w:rPr>
              <w:t>）选型上使用国内先进的低噪声设备；</w:t>
            </w:r>
            <w:r>
              <w:rPr>
                <w:rFonts w:ascii="宋体" w:hAnsi="宋体" w:eastAsia="宋体" w:cs="宋体"/>
                <w:spacing w:val="-1"/>
                <w:sz w:val="21"/>
                <w:szCs w:val="21"/>
              </w:rPr>
              <w:t>（</w:t>
            </w:r>
            <w:r>
              <w:rPr>
                <w:rFonts w:ascii="Times New Roman" w:hAnsi="Times New Roman" w:eastAsia="Times New Roman" w:cs="Times New Roman"/>
                <w:spacing w:val="-1"/>
                <w:sz w:val="21"/>
                <w:szCs w:val="21"/>
              </w:rPr>
              <w:t>3</w:t>
            </w:r>
            <w:r>
              <w:rPr>
                <w:rFonts w:ascii="宋体" w:hAnsi="宋体" w:eastAsia="宋体" w:cs="宋体"/>
                <w:spacing w:val="-1"/>
                <w:sz w:val="21"/>
                <w:szCs w:val="21"/>
              </w:rPr>
              <w:t>）空压机、引风机等安装时设置减震垫；</w:t>
            </w:r>
            <w:r>
              <w:rPr>
                <w:rFonts w:ascii="宋体" w:hAnsi="宋体" w:eastAsia="宋体" w:cs="宋体"/>
                <w:sz w:val="21"/>
                <w:szCs w:val="21"/>
              </w:rPr>
              <w:t>（</w:t>
            </w:r>
            <w:r>
              <w:rPr>
                <w:rFonts w:ascii="Times New Roman" w:hAnsi="Times New Roman" w:eastAsia="Times New Roman" w:cs="Times New Roman"/>
                <w:spacing w:val="-1"/>
                <w:sz w:val="21"/>
                <w:szCs w:val="21"/>
              </w:rPr>
              <w:t>4</w:t>
            </w:r>
            <w:r>
              <w:rPr>
                <w:rFonts w:ascii="宋体" w:hAnsi="宋体" w:eastAsia="宋体" w:cs="宋体"/>
                <w:spacing w:val="-27"/>
                <w:sz w:val="21"/>
                <w:szCs w:val="21"/>
              </w:rPr>
              <w:t>）</w:t>
            </w:r>
            <w:r>
              <w:rPr>
                <w:rFonts w:ascii="宋体" w:hAnsi="宋体" w:eastAsia="宋体" w:cs="宋体"/>
                <w:sz w:val="21"/>
                <w:szCs w:val="21"/>
              </w:rPr>
              <w:t>在引送风机进气和排气口加装消声器</w:t>
            </w:r>
            <w:r>
              <w:rPr>
                <w:rFonts w:ascii="宋体" w:hAnsi="宋体" w:eastAsia="宋体" w:cs="宋体"/>
                <w:spacing w:val="-24"/>
                <w:sz w:val="21"/>
                <w:szCs w:val="21"/>
              </w:rPr>
              <w:t>，</w:t>
            </w:r>
            <w:r>
              <w:rPr>
                <w:rFonts w:ascii="宋体" w:hAnsi="宋体" w:eastAsia="宋体" w:cs="宋体"/>
                <w:sz w:val="21"/>
                <w:szCs w:val="21"/>
              </w:rPr>
              <w:t>且采用柔性接口；</w:t>
            </w:r>
          </w:p>
          <w:p>
            <w:pPr>
              <w:pStyle w:val="4069"/>
              <w:spacing w:line="277" w:lineRule="exact"/>
              <w:ind w:left="103" w:right="0"/>
              <w:jc w:val="left"/>
              <w:rPr>
                <w:rFonts w:ascii="宋体" w:hAnsi="宋体" w:eastAsia="宋体" w:cs="宋体"/>
                <w:sz w:val="21"/>
                <w:szCs w:val="21"/>
              </w:rPr>
            </w:pPr>
            <w:r>
              <w:rPr>
                <w:rFonts w:ascii="宋体" w:hAnsi="宋体" w:eastAsia="宋体" w:cs="宋体"/>
                <w:sz w:val="21"/>
                <w:szCs w:val="21"/>
              </w:rPr>
              <w:t>（</w:t>
            </w:r>
            <w:r>
              <w:rPr>
                <w:rFonts w:ascii="Times New Roman" w:hAnsi="Times New Roman" w:eastAsia="Times New Roman" w:cs="Times New Roman"/>
                <w:spacing w:val="-1"/>
                <w:sz w:val="21"/>
                <w:szCs w:val="21"/>
              </w:rPr>
              <w:t>5</w:t>
            </w:r>
            <w:r>
              <w:rPr>
                <w:rFonts w:ascii="宋体" w:hAnsi="宋体" w:eastAsia="宋体" w:cs="宋体"/>
                <w:spacing w:val="-27"/>
                <w:sz w:val="21"/>
                <w:szCs w:val="21"/>
              </w:rPr>
              <w:t>）</w:t>
            </w:r>
            <w:r>
              <w:rPr>
                <w:rFonts w:ascii="宋体" w:hAnsi="宋体" w:eastAsia="宋体" w:cs="宋体"/>
                <w:sz w:val="21"/>
                <w:szCs w:val="21"/>
              </w:rPr>
              <w:t>设置空压机房</w:t>
            </w:r>
            <w:r>
              <w:rPr>
                <w:rFonts w:ascii="宋体" w:hAnsi="宋体" w:eastAsia="宋体" w:cs="宋体"/>
                <w:spacing w:val="-24"/>
                <w:sz w:val="21"/>
                <w:szCs w:val="21"/>
              </w:rPr>
              <w:t>，</w:t>
            </w:r>
            <w:r>
              <w:rPr>
                <w:rFonts w:ascii="宋体" w:hAnsi="宋体" w:eastAsia="宋体" w:cs="宋体"/>
                <w:sz w:val="21"/>
                <w:szCs w:val="21"/>
              </w:rPr>
              <w:t>减少项目空压机工作时对周边企业的影响。（</w:t>
            </w:r>
            <w:r>
              <w:rPr>
                <w:rFonts w:ascii="Times New Roman" w:hAnsi="Times New Roman" w:eastAsia="Times New Roman" w:cs="Times New Roman"/>
                <w:spacing w:val="-1"/>
                <w:sz w:val="21"/>
                <w:szCs w:val="21"/>
              </w:rPr>
              <w:t>6</w:t>
            </w:r>
            <w:r>
              <w:rPr>
                <w:rFonts w:ascii="宋体" w:hAnsi="宋体" w:eastAsia="宋体" w:cs="宋体"/>
                <w:spacing w:val="-27"/>
                <w:sz w:val="21"/>
                <w:szCs w:val="21"/>
              </w:rPr>
              <w:t>）</w:t>
            </w:r>
            <w:r>
              <w:rPr>
                <w:rFonts w:ascii="宋体" w:hAnsi="宋体" w:eastAsia="宋体" w:cs="宋体"/>
                <w:sz w:val="21"/>
                <w:szCs w:val="21"/>
              </w:rPr>
              <w:t>水泵加装减振器</w:t>
            </w:r>
            <w:r>
              <w:rPr>
                <w:rFonts w:ascii="宋体" w:hAnsi="宋体" w:eastAsia="宋体" w:cs="宋体"/>
                <w:spacing w:val="-24"/>
                <w:sz w:val="21"/>
                <w:szCs w:val="21"/>
              </w:rPr>
              <w:t>，</w:t>
            </w:r>
            <w:r>
              <w:rPr>
                <w:rFonts w:ascii="宋体" w:hAnsi="宋体" w:eastAsia="宋体" w:cs="宋体"/>
                <w:sz w:val="21"/>
                <w:szCs w:val="21"/>
              </w:rPr>
              <w:t>进水管道设可曲挠管道橡胶伸缩接头以减小水锤冲击和水泵震动产生的噪声，连接水泵进出口的水管、进出隔墙处与运转设备连接的管道均采用减震吊架。泵选用低噪声设备，基础安装减振垫且位于水下，噪声影响较小。</w:t>
            </w:r>
            <w:r>
              <w:rPr>
                <w:rFonts w:ascii="宋体" w:hAnsi="宋体" w:eastAsia="宋体" w:cs="宋体"/>
                <w:spacing w:val="-3"/>
                <w:sz w:val="21"/>
                <w:szCs w:val="21"/>
              </w:rPr>
              <w:t>（</w:t>
            </w:r>
            <w:r>
              <w:rPr>
                <w:rFonts w:ascii="Times New Roman" w:hAnsi="Times New Roman" w:eastAsia="Times New Roman" w:cs="Times New Roman"/>
                <w:spacing w:val="-3"/>
                <w:sz w:val="21"/>
                <w:szCs w:val="21"/>
              </w:rPr>
              <w:t>7</w:t>
            </w:r>
            <w:r>
              <w:rPr>
                <w:rFonts w:ascii="宋体" w:hAnsi="宋体" w:eastAsia="宋体" w:cs="宋体"/>
                <w:spacing w:val="-3"/>
                <w:sz w:val="21"/>
                <w:szCs w:val="21"/>
              </w:rPr>
              <w:t>）加强场区内绿化，充分利用建筑物、绿化带阻隔</w:t>
            </w:r>
            <w:r>
              <w:rPr>
                <w:rFonts w:ascii="宋体" w:hAnsi="宋体" w:eastAsia="宋体" w:cs="宋体"/>
                <w:sz w:val="21"/>
                <w:szCs w:val="21"/>
              </w:rPr>
              <w:t>声波传播。</w:t>
            </w:r>
          </w:p>
        </w:tc>
        <w:tc>
          <w:tcPr>
            <w:tcW w:w="5725" w:type="dxa"/>
            <w:tcBorders>
              <w:tl2br w:val="nil"/>
              <w:tr2bl w:val="nil"/>
            </w:tcBorders>
          </w:tcPr>
          <w:p>
            <w:pPr>
              <w:pStyle w:val="4069"/>
              <w:spacing w:line="240" w:lineRule="auto"/>
              <w:ind w:right="0"/>
              <w:jc w:val="left"/>
              <w:rPr>
                <w:rFonts w:ascii="宋体" w:hAnsi="宋体" w:eastAsia="宋体" w:cs="宋体"/>
                <w:sz w:val="21"/>
                <w:szCs w:val="21"/>
              </w:rPr>
            </w:pPr>
            <w:r>
              <w:rPr>
                <w:rFonts w:ascii="宋体" w:hAnsi="宋体" w:eastAsia="宋体" w:cs="宋体"/>
                <w:sz w:val="21"/>
                <w:szCs w:val="21"/>
              </w:rPr>
              <w:t>各防治措施落实情况以及厂界达标情况</w:t>
            </w:r>
          </w:p>
        </w:tc>
        <w:tc>
          <w:tcPr>
            <w:tcW w:w="1332" w:type="dxa"/>
            <w:tcBorders>
              <w:tl2br w:val="nil"/>
              <w:tr2bl w:val="nil"/>
            </w:tcBorders>
          </w:tcPr>
          <w:p>
            <w:pPr>
              <w:pStyle w:val="4069"/>
              <w:spacing w:line="240" w:lineRule="auto"/>
              <w:ind w:right="0"/>
              <w:jc w:val="left"/>
              <w:rPr>
                <w:rFonts w:ascii="宋体" w:hAnsi="宋体" w:eastAsia="宋体" w:cs="宋体"/>
                <w:sz w:val="21"/>
                <w:szCs w:val="21"/>
              </w:rPr>
            </w:pPr>
            <w:r>
              <w:rPr>
                <w:rFonts w:ascii="宋体" w:hAnsi="宋体" w:eastAsia="宋体" w:cs="宋体"/>
                <w:sz w:val="21"/>
                <w:szCs w:val="21"/>
              </w:rPr>
              <w:t>营运期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67" w:hRule="exact"/>
        </w:trPr>
        <w:tc>
          <w:tcPr>
            <w:tcW w:w="785" w:type="dxa"/>
            <w:tcBorders>
              <w:tl2br w:val="nil"/>
              <w:tr2bl w:val="nil"/>
            </w:tcBorders>
            <w:vAlign w:val="top"/>
          </w:tcPr>
          <w:p>
            <w:pPr>
              <w:pStyle w:val="4069"/>
              <w:spacing w:line="240" w:lineRule="auto"/>
              <w:ind w:right="10" w:rightChars="0"/>
              <w:jc w:val="both"/>
              <w:rPr>
                <w:rFonts w:ascii="Times New Roman"/>
                <w:sz w:val="21"/>
              </w:rPr>
            </w:pPr>
            <w:r>
              <w:rPr>
                <w:rFonts w:ascii="Times New Roman"/>
                <w:sz w:val="21"/>
              </w:rPr>
              <w:t>4</w:t>
            </w:r>
          </w:p>
        </w:tc>
        <w:tc>
          <w:tcPr>
            <w:tcW w:w="1187" w:type="dxa"/>
            <w:tcBorders>
              <w:tl2br w:val="nil"/>
              <w:tr2bl w:val="nil"/>
            </w:tcBorders>
            <w:vAlign w:val="top"/>
          </w:tcPr>
          <w:p>
            <w:pPr>
              <w:pStyle w:val="4069"/>
              <w:spacing w:line="275" w:lineRule="auto"/>
              <w:ind w:right="169" w:rightChars="0"/>
              <w:jc w:val="left"/>
              <w:rPr>
                <w:rFonts w:ascii="宋体" w:hAnsi="宋体" w:eastAsia="宋体" w:cs="宋体"/>
                <w:spacing w:val="43"/>
                <w:sz w:val="21"/>
                <w:szCs w:val="21"/>
              </w:rPr>
            </w:pPr>
            <w:r>
              <w:rPr>
                <w:rFonts w:ascii="宋体" w:hAnsi="宋体" w:eastAsia="宋体" w:cs="宋体"/>
                <w:sz w:val="21"/>
                <w:szCs w:val="21"/>
              </w:rPr>
              <w:t>固废防治措施</w:t>
            </w:r>
          </w:p>
        </w:tc>
        <w:tc>
          <w:tcPr>
            <w:tcW w:w="5100" w:type="dxa"/>
            <w:tcBorders>
              <w:tl2br w:val="nil"/>
              <w:tr2bl w:val="nil"/>
            </w:tcBorders>
          </w:tcPr>
          <w:p>
            <w:pPr>
              <w:pStyle w:val="4069"/>
              <w:spacing w:line="277" w:lineRule="exact"/>
              <w:ind w:left="103" w:right="0"/>
              <w:jc w:val="left"/>
              <w:rPr>
                <w:rFonts w:ascii="宋体" w:hAnsi="宋体" w:eastAsia="宋体" w:cs="宋体"/>
                <w:sz w:val="21"/>
                <w:szCs w:val="21"/>
              </w:rPr>
            </w:pPr>
            <w:r>
              <w:rPr>
                <w:rFonts w:ascii="宋体" w:hAnsi="宋体" w:eastAsia="宋体" w:cs="宋体"/>
                <w:sz w:val="21"/>
                <w:szCs w:val="21"/>
              </w:rPr>
              <w:t>（1）施工期的土石方全部用作工程回填用土，不外运；</w:t>
            </w:r>
          </w:p>
          <w:p>
            <w:pPr>
              <w:pStyle w:val="4069"/>
              <w:spacing w:line="277" w:lineRule="exact"/>
              <w:ind w:left="103" w:right="0"/>
              <w:jc w:val="left"/>
              <w:rPr>
                <w:rFonts w:ascii="宋体" w:hAnsi="宋体" w:eastAsia="宋体" w:cs="宋体"/>
                <w:sz w:val="21"/>
                <w:szCs w:val="21"/>
              </w:rPr>
            </w:pPr>
            <w:r>
              <w:rPr>
                <w:rFonts w:ascii="宋体" w:hAnsi="宋体" w:eastAsia="宋体" w:cs="宋体"/>
                <w:sz w:val="21"/>
                <w:szCs w:val="21"/>
              </w:rPr>
              <w:t>建筑垃圾可回收部分集中收集后外售废品收购站，不可回收部分全部运至环卫部门指定地点进行填埋；施工人员生活垃圾袋装收集后，运环卫部门统一运送到垃圾处理场集中处理；</w:t>
            </w:r>
          </w:p>
          <w:p>
            <w:pPr>
              <w:pStyle w:val="4069"/>
              <w:spacing w:line="277" w:lineRule="exact"/>
              <w:ind w:left="103" w:right="0"/>
              <w:jc w:val="left"/>
              <w:rPr>
                <w:rFonts w:ascii="宋体" w:hAnsi="宋体" w:eastAsia="宋体" w:cs="宋体"/>
                <w:sz w:val="21"/>
                <w:szCs w:val="21"/>
              </w:rPr>
            </w:pPr>
            <w:r>
              <w:rPr>
                <w:rFonts w:ascii="宋体" w:hAnsi="宋体" w:eastAsia="宋体" w:cs="宋体"/>
                <w:sz w:val="21"/>
                <w:szCs w:val="21"/>
              </w:rPr>
              <w:t>（2）本营运期产生的生活垃圾经收集后委托环卫部门及时清运；牲畜粪便和屠宰残余物中的肠胃内容物等经过收集后进行厌氧堆肥，及时运送至有机肥厂做为生产原料使用；剩余污泥外运卫生填埋；病死牲畜尸体、不合格酮体、屠宰产生的不可利用内脏等，按照《重大动物疫情应急条例》（国务院第450号令）相关规定集中进行无害化处置；羊毛、羊皮、牛皮、蹄壳等经晾晒后外售综合利用或存储于牛羊保管圈。</w:t>
            </w:r>
          </w:p>
          <w:p>
            <w:pPr>
              <w:pStyle w:val="4069"/>
              <w:spacing w:line="277" w:lineRule="exact"/>
              <w:ind w:left="103" w:right="0"/>
              <w:jc w:val="left"/>
              <w:rPr>
                <w:rFonts w:ascii="宋体" w:hAnsi="宋体" w:eastAsia="宋体" w:cs="宋体"/>
                <w:sz w:val="21"/>
                <w:szCs w:val="21"/>
              </w:rPr>
            </w:pPr>
          </w:p>
        </w:tc>
        <w:tc>
          <w:tcPr>
            <w:tcW w:w="5725" w:type="dxa"/>
            <w:tcBorders>
              <w:tl2br w:val="nil"/>
              <w:tr2bl w:val="nil"/>
            </w:tcBorders>
            <w:vAlign w:val="top"/>
          </w:tcPr>
          <w:p>
            <w:pPr>
              <w:pStyle w:val="4069"/>
              <w:spacing w:line="275" w:lineRule="auto"/>
              <w:ind w:right="128"/>
              <w:jc w:val="both"/>
              <w:rPr>
                <w:rFonts w:ascii="宋体" w:hAnsi="宋体" w:eastAsia="宋体" w:cs="宋体"/>
                <w:sz w:val="21"/>
                <w:szCs w:val="21"/>
              </w:rPr>
            </w:pPr>
            <w:r>
              <w:rPr>
                <w:rFonts w:ascii="宋体" w:hAnsi="宋体" w:eastAsia="宋体" w:cs="宋体"/>
                <w:sz w:val="21"/>
                <w:szCs w:val="21"/>
              </w:rPr>
              <w:t>施工期环境遗留问题。垃圾箱若干个，合理分布与厂区，日产日清；</w:t>
            </w:r>
            <w:r>
              <w:rPr>
                <w:rFonts w:ascii="宋体" w:hAnsi="宋体" w:eastAsia="宋体" w:cs="宋体"/>
                <w:spacing w:val="-3"/>
                <w:sz w:val="21"/>
                <w:szCs w:val="21"/>
              </w:rPr>
              <w:t>牛保管圈；危废暂存间</w:t>
            </w:r>
            <w:r>
              <w:rPr>
                <w:rFonts w:ascii="宋体" w:hAnsi="宋体" w:eastAsia="宋体" w:cs="宋体"/>
                <w:spacing w:val="-53"/>
                <w:sz w:val="21"/>
                <w:szCs w:val="21"/>
              </w:rPr>
              <w:t xml:space="preserve"> </w:t>
            </w:r>
            <w:r>
              <w:rPr>
                <w:rFonts w:ascii="Times New Roman" w:hAnsi="Times New Roman" w:eastAsia="Times New Roman" w:cs="Times New Roman"/>
                <w:sz w:val="21"/>
                <w:szCs w:val="21"/>
              </w:rPr>
              <w:t>1</w:t>
            </w:r>
            <w:r>
              <w:rPr>
                <w:rFonts w:ascii="宋体" w:hAnsi="宋体" w:eastAsia="宋体" w:cs="宋体"/>
                <w:spacing w:val="-3"/>
                <w:sz w:val="21"/>
                <w:szCs w:val="21"/>
              </w:rPr>
              <w:t>个，</w:t>
            </w:r>
            <w:r>
              <w:rPr>
                <w:rFonts w:ascii="Times New Roman" w:hAnsi="Times New Roman" w:eastAsia="Times New Roman" w:cs="Times New Roman"/>
                <w:spacing w:val="-3"/>
                <w:sz w:val="21"/>
                <w:szCs w:val="21"/>
              </w:rPr>
              <w:t>10m</w:t>
            </w:r>
            <w:r>
              <w:rPr>
                <w:rFonts w:ascii="Times New Roman" w:hAnsi="Times New Roman" w:eastAsia="Times New Roman" w:cs="Times New Roman"/>
                <w:spacing w:val="-3"/>
                <w:position w:val="7"/>
                <w:sz w:val="13"/>
                <w:szCs w:val="13"/>
              </w:rPr>
              <w:t>3</w:t>
            </w:r>
            <w:r>
              <w:rPr>
                <w:rFonts w:ascii="宋体" w:hAnsi="宋体" w:eastAsia="宋体" w:cs="宋体"/>
                <w:spacing w:val="-3"/>
                <w:sz w:val="21"/>
                <w:szCs w:val="21"/>
              </w:rPr>
              <w:t>，</w:t>
            </w:r>
            <w:r>
              <w:rPr>
                <w:rFonts w:ascii="宋体" w:hAnsi="宋体" w:eastAsia="宋体" w:cs="宋体"/>
                <w:sz w:val="21"/>
                <w:szCs w:val="21"/>
              </w:rPr>
              <w:t>防渗防腐，危险废物处置协议及转运联单；</w:t>
            </w:r>
          </w:p>
        </w:tc>
        <w:tc>
          <w:tcPr>
            <w:tcW w:w="1332" w:type="dxa"/>
            <w:tcBorders>
              <w:tl2br w:val="nil"/>
              <w:tr2bl w:val="nil"/>
            </w:tcBorders>
            <w:vAlign w:val="top"/>
          </w:tcPr>
          <w:p>
            <w:pPr>
              <w:pStyle w:val="4069"/>
              <w:spacing w:line="275" w:lineRule="auto"/>
              <w:ind w:right="232" w:rightChars="0"/>
              <w:jc w:val="left"/>
              <w:rPr>
                <w:rFonts w:ascii="宋体" w:hAnsi="宋体" w:eastAsia="宋体" w:cs="宋体"/>
                <w:sz w:val="21"/>
                <w:szCs w:val="21"/>
              </w:rPr>
            </w:pPr>
            <w:r>
              <w:rPr>
                <w:rFonts w:ascii="宋体" w:hAnsi="宋体" w:eastAsia="宋体" w:cs="宋体"/>
                <w:sz w:val="21"/>
                <w:szCs w:val="21"/>
              </w:rPr>
              <w:t>施工期、</w:t>
            </w:r>
          </w:p>
          <w:p>
            <w:pPr>
              <w:pStyle w:val="4069"/>
              <w:spacing w:line="275" w:lineRule="auto"/>
              <w:ind w:right="232" w:rightChars="0"/>
              <w:jc w:val="left"/>
              <w:rPr>
                <w:rFonts w:ascii="宋体" w:hAnsi="宋体" w:eastAsia="宋体" w:cs="宋体"/>
                <w:sz w:val="21"/>
                <w:szCs w:val="21"/>
              </w:rPr>
            </w:pPr>
            <w:r>
              <w:rPr>
                <w:rFonts w:ascii="宋体" w:hAnsi="宋体" w:eastAsia="宋体" w:cs="宋体"/>
                <w:sz w:val="21"/>
                <w:szCs w:val="21"/>
              </w:rPr>
              <w:t>营运期</w:t>
            </w:r>
          </w:p>
        </w:tc>
      </w:tr>
    </w:tbl>
    <w:p>
      <w:pPr>
        <w:pStyle w:val="1659"/>
        <w:ind w:left="0" w:leftChars="0" w:firstLine="0" w:firstLineChars="0"/>
      </w:pPr>
    </w:p>
    <w:p>
      <w:pPr>
        <w:pStyle w:val="1659"/>
      </w:pPr>
    </w:p>
    <w:p>
      <w:pPr>
        <w:pStyle w:val="1659"/>
      </w:pPr>
    </w:p>
    <w:p>
      <w:pPr>
        <w:pStyle w:val="1659"/>
      </w:pPr>
    </w:p>
    <w:p>
      <w:pPr>
        <w:pStyle w:val="1659"/>
      </w:pPr>
    </w:p>
    <w:p>
      <w:pPr>
        <w:pStyle w:val="1659"/>
      </w:pPr>
    </w:p>
    <w:p>
      <w:pPr>
        <w:pStyle w:val="1659"/>
      </w:pPr>
    </w:p>
    <w:p>
      <w:pPr>
        <w:pStyle w:val="1659"/>
      </w:pPr>
    </w:p>
    <w:p>
      <w:pPr>
        <w:pStyle w:val="1659"/>
      </w:pPr>
    </w:p>
    <w:p>
      <w:pPr>
        <w:pStyle w:val="1659"/>
        <w:sectPr>
          <w:pgSz w:w="16838" w:h="11906" w:orient="landscape"/>
          <w:pgMar w:top="1440" w:right="1440" w:bottom="1440" w:left="1440" w:header="851" w:footer="992" w:gutter="0"/>
          <w:pgBorders>
            <w:top w:val="none" w:sz="0" w:space="0"/>
            <w:left w:val="none" w:sz="0" w:space="0"/>
            <w:bottom w:val="none" w:sz="0" w:space="0"/>
            <w:right w:val="none" w:sz="0" w:space="0"/>
          </w:pgBorders>
          <w:pgNumType w:fmt="decimal"/>
          <w:cols w:space="0" w:num="1"/>
          <w:rtlGutter w:val="0"/>
          <w:docGrid w:linePitch="312" w:charSpace="0"/>
        </w:sectPr>
      </w:pPr>
    </w:p>
    <w:bookmarkEnd w:id="300"/>
    <w:bookmarkEnd w:id="301"/>
    <w:bookmarkEnd w:id="345"/>
    <w:bookmarkEnd w:id="346"/>
    <w:bookmarkEnd w:id="347"/>
    <w:p>
      <w:pPr>
        <w:pStyle w:val="4"/>
        <w:spacing w:before="312" w:after="312"/>
      </w:pPr>
      <w:bookmarkStart w:id="348" w:name="_Toc205702459"/>
      <w:bookmarkStart w:id="349" w:name="_Toc320143054"/>
      <w:bookmarkStart w:id="350" w:name="_Toc271102144"/>
      <w:bookmarkStart w:id="351" w:name="_Toc264742191"/>
      <w:bookmarkStart w:id="352" w:name="_Toc185921383"/>
      <w:bookmarkStart w:id="353" w:name="_Toc29819"/>
      <w:r>
        <w:t>结论与建议</w:t>
      </w:r>
      <w:bookmarkEnd w:id="348"/>
      <w:bookmarkEnd w:id="349"/>
      <w:bookmarkEnd w:id="350"/>
      <w:bookmarkEnd w:id="351"/>
      <w:bookmarkEnd w:id="352"/>
      <w:bookmarkEnd w:id="353"/>
    </w:p>
    <w:p>
      <w:pPr>
        <w:pStyle w:val="5"/>
        <w:spacing w:before="156" w:after="156"/>
      </w:pPr>
      <w:bookmarkStart w:id="354" w:name="_Toc185921384"/>
      <w:bookmarkStart w:id="355" w:name="_Toc45939971"/>
      <w:bookmarkStart w:id="356" w:name="_Toc320143055"/>
      <w:bookmarkStart w:id="357" w:name="_Toc121799516"/>
      <w:bookmarkStart w:id="358" w:name="_Toc271102145"/>
      <w:bookmarkStart w:id="359" w:name="_Toc264742192"/>
      <w:bookmarkStart w:id="360" w:name="_Toc124914157"/>
      <w:bookmarkStart w:id="361" w:name="_Toc90771119"/>
      <w:bookmarkStart w:id="362" w:name="_Toc205702460"/>
      <w:bookmarkStart w:id="363" w:name="_Toc137755182"/>
      <w:bookmarkStart w:id="364" w:name="_Toc135630234"/>
      <w:bookmarkStart w:id="365" w:name="_Toc91326657"/>
      <w:bookmarkStart w:id="366" w:name="_Toc137861619"/>
      <w:bookmarkStart w:id="367" w:name="_Toc21798"/>
      <w:r>
        <w:t>结论</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pPr>
        <w:pStyle w:val="6"/>
      </w:pPr>
      <w:bookmarkStart w:id="368" w:name="_Toc271102146"/>
      <w:bookmarkStart w:id="369" w:name="_Toc137861620"/>
      <w:bookmarkStart w:id="370" w:name="_Toc264742193"/>
      <w:bookmarkStart w:id="371" w:name="_Toc320143056"/>
      <w:bookmarkStart w:id="372" w:name="_Toc8401"/>
      <w:r>
        <w:t>项目概况</w:t>
      </w:r>
      <w:bookmarkEnd w:id="368"/>
      <w:bookmarkEnd w:id="369"/>
      <w:bookmarkEnd w:id="370"/>
      <w:bookmarkEnd w:id="371"/>
      <w:bookmarkEnd w:id="372"/>
    </w:p>
    <w:p>
      <w:pPr>
        <w:pStyle w:val="1659"/>
        <w:ind w:firstLine="482"/>
        <w:jc w:val="left"/>
        <w:rPr>
          <w:highlight w:val="yellow"/>
        </w:rPr>
      </w:pPr>
      <w:r>
        <w:rPr>
          <w:rFonts w:hint="eastAsia"/>
          <w:b w:val="0"/>
          <w:bCs/>
          <w:lang w:val="en-US" w:eastAsia="zh-CN"/>
        </w:rPr>
        <w:t>贵州兴牛肉类食品</w:t>
      </w:r>
      <w:r>
        <w:rPr>
          <w:rFonts w:hint="eastAsia"/>
          <w:b w:val="0"/>
          <w:bCs/>
        </w:rPr>
        <w:t>有限公司</w:t>
      </w:r>
      <w:r>
        <w:rPr>
          <w:rFonts w:hint="eastAsia"/>
          <w:b w:val="0"/>
          <w:bCs/>
          <w:lang w:eastAsia="zh-CN"/>
        </w:rPr>
        <w:t>拟投资</w:t>
      </w:r>
      <w:r>
        <w:rPr>
          <w:rFonts w:hint="eastAsia"/>
          <w:b w:val="0"/>
          <w:bCs/>
          <w:sz w:val="24"/>
          <w:lang w:val="en-US" w:eastAsia="zh-CN"/>
        </w:rPr>
        <w:t>25004.50</w:t>
      </w:r>
      <w:r>
        <w:rPr>
          <w:rFonts w:hint="eastAsia"/>
          <w:b w:val="0"/>
          <w:bCs/>
          <w:sz w:val="24"/>
        </w:rPr>
        <w:t>万元</w:t>
      </w:r>
      <w:r>
        <w:rPr>
          <w:spacing w:val="23"/>
        </w:rPr>
        <w:t>位于</w:t>
      </w:r>
      <w:r>
        <w:rPr>
          <w:rFonts w:hint="eastAsia"/>
          <w:spacing w:val="23"/>
          <w:lang w:val="en-US" w:eastAsia="zh-CN"/>
        </w:rPr>
        <w:t>义龙新区万屯镇下坝村</w:t>
      </w:r>
      <w:r>
        <w:rPr>
          <w:rFonts w:hint="eastAsia"/>
          <w:spacing w:val="23"/>
          <w:lang w:eastAsia="zh-CN"/>
        </w:rPr>
        <w:t>建设</w:t>
      </w:r>
      <w:r>
        <w:rPr>
          <w:rFonts w:hint="eastAsia"/>
          <w:lang w:val="en-US" w:eastAsia="zh-CN"/>
        </w:rPr>
        <w:t>黔西南州义龙新区“中国万屯”肉牛屠宰深加工项目</w:t>
      </w:r>
      <w:r>
        <w:rPr>
          <w:spacing w:val="23"/>
        </w:rPr>
        <w:t>，</w:t>
      </w:r>
      <w:r>
        <w:rPr>
          <w:rFonts w:hint="eastAsia"/>
          <w:spacing w:val="23"/>
          <w:lang w:eastAsia="zh-CN"/>
        </w:rPr>
        <w:t>项目</w:t>
      </w:r>
      <w:r>
        <w:rPr>
          <w:spacing w:val="23"/>
        </w:rPr>
        <w:t>占地面积</w:t>
      </w:r>
      <w:r>
        <w:t>约</w:t>
      </w:r>
      <w:r>
        <w:rPr>
          <w:rFonts w:hint="eastAsia"/>
          <w:lang w:val="en-US" w:eastAsia="zh-CN"/>
        </w:rPr>
        <w:t>19393.45</w:t>
      </w:r>
      <w:r>
        <w:t>m2</w:t>
      </w:r>
      <w:r>
        <w:rPr>
          <w:rFonts w:hint="eastAsia"/>
        </w:rPr>
        <w:t>（</w:t>
      </w:r>
      <w:r>
        <w:rPr>
          <w:rFonts w:hint="eastAsia"/>
          <w:lang w:val="en-US" w:eastAsia="zh-CN"/>
        </w:rPr>
        <w:t>29.09</w:t>
      </w:r>
      <w:r>
        <w:rPr>
          <w:rFonts w:hint="eastAsia"/>
        </w:rPr>
        <w:t>亩）</w:t>
      </w:r>
      <w:r>
        <w:rPr>
          <w:spacing w:val="-1"/>
        </w:rPr>
        <w:t>。包括屠宰车间、冷库、污水处理厂、牛待宰圈</w:t>
      </w:r>
      <w:r>
        <w:rPr>
          <w:rFonts w:hint="eastAsia"/>
          <w:spacing w:val="-1"/>
          <w:lang w:eastAsia="zh-CN"/>
        </w:rPr>
        <w:t>及</w:t>
      </w:r>
      <w:r>
        <w:rPr>
          <w:spacing w:val="-4"/>
        </w:rPr>
        <w:t>其他配套基础设施（燃气锅炉），项</w:t>
      </w:r>
      <w:r>
        <w:t>目建设完成后形成年屠宰牛</w:t>
      </w:r>
      <w:r>
        <w:rPr>
          <w:rFonts w:hint="eastAsia"/>
          <w:lang w:val="en-US" w:eastAsia="zh-CN"/>
        </w:rPr>
        <w:t>3</w:t>
      </w:r>
      <w:r>
        <w:t>万头的生产能力。劳动定员</w:t>
      </w:r>
      <w:r>
        <w:rPr>
          <w:rFonts w:hint="eastAsia"/>
          <w:spacing w:val="-59"/>
          <w:lang w:val="en-US" w:eastAsia="zh-CN"/>
        </w:rPr>
        <w:t>87</w:t>
      </w:r>
      <w:r>
        <w:rPr>
          <w:spacing w:val="1"/>
        </w:rPr>
        <w:t>人，</w:t>
      </w:r>
      <w:r>
        <w:t>实行</w:t>
      </w:r>
      <w:r>
        <w:rPr>
          <w:rFonts w:ascii="Times New Roman" w:hAnsi="Times New Roman" w:eastAsia="Times New Roman" w:cs="Times New Roman"/>
        </w:rPr>
        <w:t>1</w:t>
      </w:r>
      <w:r>
        <w:t>班制生产，年工作</w:t>
      </w:r>
      <w:r>
        <w:rPr>
          <w:rFonts w:ascii="Times New Roman" w:hAnsi="Times New Roman" w:eastAsia="Times New Roman" w:cs="Times New Roman"/>
          <w:spacing w:val="-1"/>
        </w:rPr>
        <w:t xml:space="preserve">360 </w:t>
      </w:r>
      <w:r>
        <w:t>天。</w:t>
      </w:r>
    </w:p>
    <w:p>
      <w:pPr>
        <w:pStyle w:val="6"/>
      </w:pPr>
      <w:bookmarkStart w:id="373" w:name="_Toc137755183"/>
      <w:bookmarkStart w:id="374" w:name="_Toc271102147"/>
      <w:bookmarkStart w:id="375" w:name="_Toc264742194"/>
      <w:bookmarkStart w:id="376" w:name="_Toc137861621"/>
      <w:bookmarkStart w:id="377" w:name="_Toc320143057"/>
      <w:bookmarkStart w:id="378" w:name="_Toc31485"/>
      <w:r>
        <w:t>本项目建设符合我国当前相关产业政策</w:t>
      </w:r>
      <w:bookmarkEnd w:id="373"/>
      <w:bookmarkEnd w:id="374"/>
      <w:bookmarkEnd w:id="375"/>
      <w:bookmarkEnd w:id="376"/>
      <w:bookmarkEnd w:id="377"/>
      <w:bookmarkEnd w:id="378"/>
    </w:p>
    <w:p>
      <w:pPr>
        <w:pStyle w:val="2"/>
        <w:spacing w:before="139" w:line="342" w:lineRule="auto"/>
        <w:ind w:right="233" w:firstLine="480"/>
        <w:jc w:val="both"/>
      </w:pPr>
      <w:bookmarkStart w:id="379" w:name="_Toc91326659"/>
      <w:bookmarkStart w:id="380" w:name="_Toc121799518"/>
      <w:bookmarkStart w:id="381" w:name="_Toc124914159"/>
      <w:bookmarkStart w:id="382" w:name="_Toc135630236"/>
      <w:bookmarkStart w:id="383" w:name="_Toc90771121"/>
      <w:bookmarkStart w:id="384" w:name="_Toc137861622"/>
      <w:bookmarkStart w:id="385" w:name="_Toc264742195"/>
      <w:bookmarkStart w:id="386" w:name="_Toc137755184"/>
      <w:bookmarkStart w:id="387" w:name="_Toc320143058"/>
      <w:bookmarkStart w:id="388" w:name="_Toc271102148"/>
      <w:r>
        <w:t>本项目建成后将年屠宰牛</w:t>
      </w:r>
      <w:r>
        <w:rPr>
          <w:rFonts w:hint="eastAsia"/>
          <w:spacing w:val="-61"/>
          <w:lang w:val="en-US" w:eastAsia="zh-CN"/>
        </w:rPr>
        <w:t>3</w:t>
      </w:r>
      <w:r>
        <w:rPr>
          <w:spacing w:val="-2"/>
        </w:rPr>
        <w:t>万头</w:t>
      </w:r>
      <w:r>
        <w:rPr>
          <w:spacing w:val="-1"/>
        </w:rPr>
        <w:t>，行业类别属于</w:t>
      </w:r>
      <w:r>
        <w:rPr>
          <w:spacing w:val="-61"/>
        </w:rPr>
        <w:t xml:space="preserve"> </w:t>
      </w:r>
      <w:r>
        <w:rPr>
          <w:rFonts w:ascii="Times New Roman" w:hAnsi="Times New Roman" w:eastAsia="Times New Roman" w:cs="Times New Roman"/>
        </w:rPr>
        <w:t>C1351</w:t>
      </w:r>
      <w:r>
        <w:t>类畜禽</w:t>
      </w:r>
      <w:r>
        <w:rPr>
          <w:spacing w:val="2"/>
        </w:rPr>
        <w:t>屠宰，根据《产业结构调整指导目录</w:t>
      </w:r>
      <w:r>
        <w:rPr>
          <w:rFonts w:ascii="Times New Roman" w:hAnsi="Times New Roman" w:eastAsia="Times New Roman" w:cs="Times New Roman"/>
          <w:spacing w:val="2"/>
        </w:rPr>
        <w:t>(201</w:t>
      </w:r>
      <w:r>
        <w:rPr>
          <w:rFonts w:hint="eastAsia" w:ascii="Times New Roman" w:hAnsi="Times New Roman" w:eastAsia="宋体" w:cs="Times New Roman"/>
          <w:spacing w:val="2"/>
          <w:lang w:val="en-US" w:eastAsia="zh-CN"/>
        </w:rPr>
        <w:t>9</w:t>
      </w:r>
      <w:r>
        <w:rPr>
          <w:spacing w:val="1"/>
        </w:rPr>
        <w:t>年本</w:t>
      </w:r>
      <w:r>
        <w:rPr>
          <w:rFonts w:ascii="Times New Roman" w:hAnsi="Times New Roman" w:eastAsia="Times New Roman" w:cs="Times New Roman"/>
          <w:spacing w:val="1"/>
        </w:rPr>
        <w:t>)</w:t>
      </w:r>
      <w:r>
        <w:rPr>
          <w:spacing w:val="1"/>
        </w:rPr>
        <w:t>》</w:t>
      </w:r>
      <w:r>
        <w:rPr>
          <w:spacing w:val="3"/>
        </w:rPr>
        <w:t>，本项目为</w:t>
      </w:r>
      <w:r>
        <w:t>允许类项目，不属于限制类和淘汰类，项目符合国家产业政策的要求。</w:t>
      </w:r>
    </w:p>
    <w:p>
      <w:pPr>
        <w:pStyle w:val="1192"/>
        <w:ind w:firstLine="480"/>
      </w:pPr>
      <w:r>
        <w:rPr>
          <w:rFonts w:hint="eastAsia"/>
          <w:sz w:val="24"/>
          <w:lang w:val="en-US" w:eastAsia="zh-CN"/>
        </w:rPr>
        <w:t>项目建设已通过黔西南州义龙新区发展和改革委员会备案，</w:t>
      </w:r>
      <w:r>
        <w:rPr>
          <w:sz w:val="24"/>
        </w:rPr>
        <w:t>因此本项目建设符合国家产业政策。</w:t>
      </w:r>
    </w:p>
    <w:p>
      <w:pPr>
        <w:pStyle w:val="6"/>
      </w:pPr>
      <w:bookmarkStart w:id="389" w:name="_Toc25186"/>
      <w:r>
        <w:t>本项目选址</w:t>
      </w:r>
      <w:bookmarkEnd w:id="379"/>
      <w:bookmarkEnd w:id="380"/>
      <w:bookmarkEnd w:id="381"/>
      <w:bookmarkEnd w:id="382"/>
      <w:bookmarkEnd w:id="383"/>
      <w:r>
        <w:t>可行</w:t>
      </w:r>
      <w:bookmarkEnd w:id="384"/>
      <w:bookmarkEnd w:id="385"/>
      <w:bookmarkEnd w:id="386"/>
      <w:bookmarkEnd w:id="387"/>
      <w:bookmarkEnd w:id="388"/>
      <w:bookmarkEnd w:id="389"/>
    </w:p>
    <w:p>
      <w:pPr>
        <w:spacing w:line="360" w:lineRule="auto"/>
        <w:ind w:firstLine="480" w:firstLineChars="200"/>
        <w:rPr>
          <w:bCs/>
          <w:sz w:val="24"/>
        </w:rPr>
      </w:pPr>
      <w:bookmarkStart w:id="390" w:name="_Toc91326660"/>
      <w:bookmarkStart w:id="391" w:name="_Toc90771122"/>
      <w:r>
        <w:rPr>
          <w:bCs/>
          <w:sz w:val="24"/>
        </w:rPr>
        <w:t>本项目</w:t>
      </w:r>
      <w:r>
        <w:rPr>
          <w:rFonts w:hint="eastAsia"/>
          <w:bCs/>
          <w:sz w:val="24"/>
          <w:lang w:eastAsia="zh-CN"/>
        </w:rPr>
        <w:t>符合</w:t>
      </w:r>
      <w:r>
        <w:rPr>
          <w:bCs/>
          <w:sz w:val="24"/>
        </w:rPr>
        <w:t>发展要求</w:t>
      </w:r>
      <w:r>
        <w:rPr>
          <w:rFonts w:hint="eastAsia"/>
          <w:bCs/>
          <w:sz w:val="24"/>
          <w:lang w:eastAsia="zh-CN"/>
        </w:rPr>
        <w:t>、区域总体规划，不属于义龙新区园区负面清单</w:t>
      </w:r>
      <w:r>
        <w:rPr>
          <w:bCs/>
          <w:sz w:val="24"/>
        </w:rPr>
        <w:t>。本项目为牛屠宰项目，位于</w:t>
      </w:r>
      <w:r>
        <w:rPr>
          <w:rFonts w:hint="eastAsia"/>
          <w:bCs/>
          <w:sz w:val="24"/>
          <w:lang w:eastAsia="zh-CN"/>
        </w:rPr>
        <w:t>万屯</w:t>
      </w:r>
      <w:r>
        <w:rPr>
          <w:bCs/>
          <w:sz w:val="24"/>
        </w:rPr>
        <w:t>镇</w:t>
      </w:r>
      <w:r>
        <w:rPr>
          <w:rFonts w:hint="eastAsia"/>
          <w:bCs/>
          <w:sz w:val="24"/>
          <w:lang w:eastAsia="zh-CN"/>
        </w:rPr>
        <w:t>下坝</w:t>
      </w:r>
      <w:r>
        <w:rPr>
          <w:bCs/>
          <w:sz w:val="24"/>
        </w:rPr>
        <w:t>村，拟选厂址周边无自然保护区、风景名胜区。根据以上分析，本项目选址符合生态保护红线的要求。因此，符合的要求。从选址区周边环境状况而言，项目选址是可行的。</w:t>
      </w:r>
    </w:p>
    <w:bookmarkEnd w:id="390"/>
    <w:bookmarkEnd w:id="391"/>
    <w:p>
      <w:pPr>
        <w:pStyle w:val="6"/>
      </w:pPr>
      <w:bookmarkStart w:id="392" w:name="_Toc320143060"/>
      <w:bookmarkStart w:id="393" w:name="_Toc271102150"/>
      <w:bookmarkStart w:id="394" w:name="_Toc264742197"/>
      <w:bookmarkStart w:id="395" w:name="_Toc548"/>
      <w:bookmarkStart w:id="396" w:name="_Toc124914161"/>
      <w:bookmarkStart w:id="397" w:name="_Toc135630238"/>
      <w:r>
        <w:t>项目所在地环境质量现状</w:t>
      </w:r>
      <w:bookmarkEnd w:id="392"/>
      <w:bookmarkEnd w:id="393"/>
      <w:bookmarkEnd w:id="394"/>
      <w:bookmarkEnd w:id="395"/>
    </w:p>
    <w:p>
      <w:pPr>
        <w:adjustRightInd w:val="0"/>
        <w:snapToGrid w:val="0"/>
        <w:spacing w:line="360" w:lineRule="auto"/>
        <w:ind w:firstLine="480" w:firstLineChars="200"/>
        <w:rPr>
          <w:sz w:val="24"/>
        </w:rPr>
      </w:pPr>
      <w:bookmarkStart w:id="398" w:name="_Toc271102151"/>
      <w:bookmarkStart w:id="399" w:name="_Toc137755187"/>
      <w:bookmarkStart w:id="400" w:name="_Toc264742198"/>
      <w:bookmarkStart w:id="401" w:name="_Toc137861625"/>
      <w:bookmarkStart w:id="402" w:name="_Toc320143061"/>
      <w:r>
        <w:rPr>
          <w:sz w:val="24"/>
        </w:rPr>
        <w:t>（1）环境空气质量现状：</w:t>
      </w:r>
      <w:r>
        <w:rPr>
          <w:rFonts w:hint="eastAsia"/>
          <w:sz w:val="24"/>
        </w:rPr>
        <w:t>评价区域各监测点位</w:t>
      </w:r>
      <w:r>
        <w:rPr>
          <w:sz w:val="24"/>
        </w:rPr>
        <w:t>NH3</w:t>
      </w:r>
      <w:r>
        <w:rPr>
          <w:rFonts w:hint="eastAsia"/>
          <w:sz w:val="24"/>
        </w:rPr>
        <w:t>、</w:t>
      </w:r>
      <w:r>
        <w:rPr>
          <w:sz w:val="24"/>
        </w:rPr>
        <w:t>H</w:t>
      </w:r>
      <w:r>
        <w:rPr>
          <w:rFonts w:hint="eastAsia"/>
          <w:sz w:val="24"/>
          <w:lang w:val="en-US" w:eastAsia="zh-CN"/>
        </w:rPr>
        <w:t>2S</w:t>
      </w:r>
      <w:r>
        <w:rPr>
          <w:rFonts w:hint="eastAsia"/>
          <w:sz w:val="24"/>
        </w:rPr>
        <w:t>浓度均满足《</w:t>
      </w:r>
      <w:r>
        <w:rPr>
          <w:rFonts w:hint="eastAsia"/>
          <w:sz w:val="24"/>
          <w:lang w:eastAsia="zh-CN"/>
        </w:rPr>
        <w:t>环境影响评价技术导则</w:t>
      </w:r>
      <w:r>
        <w:rPr>
          <w:rFonts w:hint="eastAsia"/>
          <w:sz w:val="24"/>
          <w:lang w:val="en-US" w:eastAsia="zh-CN"/>
        </w:rPr>
        <w:t xml:space="preserve">  大气环境</w:t>
      </w:r>
      <w:r>
        <w:rPr>
          <w:rFonts w:hint="eastAsia"/>
          <w:sz w:val="24"/>
        </w:rPr>
        <w:t>》（</w:t>
      </w:r>
      <w:r>
        <w:rPr>
          <w:rFonts w:hint="eastAsia"/>
          <w:sz w:val="24"/>
          <w:lang w:val="en-US" w:eastAsia="zh-CN"/>
        </w:rPr>
        <w:t>HJ2.2-2018</w:t>
      </w:r>
      <w:r>
        <w:rPr>
          <w:rFonts w:hint="eastAsia"/>
          <w:sz w:val="24"/>
        </w:rPr>
        <w:t>）</w:t>
      </w:r>
      <w:r>
        <w:rPr>
          <w:rFonts w:hint="eastAsia"/>
          <w:sz w:val="24"/>
          <w:lang w:eastAsia="zh-CN"/>
        </w:rPr>
        <w:t>附录</w:t>
      </w:r>
      <w:r>
        <w:rPr>
          <w:rFonts w:hint="eastAsia"/>
          <w:sz w:val="24"/>
          <w:lang w:val="en-US" w:eastAsia="zh-CN"/>
        </w:rPr>
        <w:t>D</w:t>
      </w:r>
      <w:r>
        <w:rPr>
          <w:rFonts w:hint="eastAsia"/>
          <w:sz w:val="24"/>
        </w:rPr>
        <w:t>限值要求</w:t>
      </w:r>
      <w:r>
        <w:rPr>
          <w:rFonts w:hint="eastAsia"/>
          <w:sz w:val="24"/>
          <w:lang w:eastAsia="zh-CN"/>
        </w:rPr>
        <w:t>，区域环境空气质量较好</w:t>
      </w:r>
      <w:r>
        <w:rPr>
          <w:rFonts w:hint="eastAsia"/>
          <w:sz w:val="24"/>
        </w:rPr>
        <w:t>。</w:t>
      </w:r>
    </w:p>
    <w:p>
      <w:pPr>
        <w:adjustRightInd w:val="0"/>
        <w:snapToGrid w:val="0"/>
        <w:spacing w:line="360" w:lineRule="auto"/>
        <w:ind w:firstLine="480" w:firstLineChars="200"/>
        <w:rPr>
          <w:sz w:val="24"/>
        </w:rPr>
      </w:pPr>
      <w:r>
        <w:rPr>
          <w:sz w:val="24"/>
        </w:rPr>
        <w:t>（2）</w:t>
      </w:r>
      <w:r>
        <w:rPr>
          <w:rFonts w:hint="eastAsia"/>
          <w:sz w:val="24"/>
          <w:lang w:eastAsia="zh-CN"/>
        </w:rPr>
        <w:t>地表水质量现状：</w:t>
      </w:r>
      <w:r>
        <w:rPr>
          <w:sz w:val="24"/>
        </w:rPr>
        <w:t>各监测断面监测因子的监测值均满足《地表水环境质量标准》（GB3838-2002）中的Ⅲ类标准，项目评价范围内地表水环境质量较好。</w:t>
      </w:r>
    </w:p>
    <w:p>
      <w:pPr>
        <w:adjustRightInd w:val="0"/>
        <w:snapToGrid w:val="0"/>
        <w:spacing w:line="360" w:lineRule="auto"/>
        <w:ind w:firstLine="480" w:firstLineChars="200"/>
        <w:rPr>
          <w:sz w:val="24"/>
        </w:rPr>
      </w:pPr>
      <w:r>
        <w:rPr>
          <w:sz w:val="24"/>
        </w:rPr>
        <w:t>（</w:t>
      </w:r>
      <w:r>
        <w:rPr>
          <w:rFonts w:hint="eastAsia"/>
          <w:sz w:val="24"/>
          <w:lang w:val="en-US" w:eastAsia="zh-CN"/>
        </w:rPr>
        <w:t>3</w:t>
      </w:r>
      <w:r>
        <w:rPr>
          <w:sz w:val="24"/>
        </w:rPr>
        <w:t>）地下水环境质量现状：地下水泉点监测数据可知，监测因子均能满足《地下水质量标准》（GB/T14848-2017）中的 III 类水体标准限值的要求。</w:t>
      </w:r>
    </w:p>
    <w:p>
      <w:pPr>
        <w:pStyle w:val="2"/>
        <w:rPr>
          <w:sz w:val="24"/>
        </w:rPr>
      </w:pPr>
      <w:r>
        <w:rPr>
          <w:sz w:val="24"/>
        </w:rPr>
        <w:t>（</w:t>
      </w:r>
      <w:r>
        <w:rPr>
          <w:rFonts w:hint="eastAsia"/>
          <w:sz w:val="24"/>
          <w:lang w:val="en-US" w:eastAsia="zh-CN"/>
        </w:rPr>
        <w:t>4</w:t>
      </w:r>
      <w:r>
        <w:rPr>
          <w:sz w:val="24"/>
        </w:rPr>
        <w:t>）声环境质量现状：厂址周围昼间和夜间噪声均低于标准值，满足《声环境质量标准》(GB3096－2008)中</w:t>
      </w:r>
      <w:r>
        <w:rPr>
          <w:rFonts w:hint="eastAsia"/>
          <w:sz w:val="24"/>
          <w:lang w:val="en-US" w:eastAsia="zh-CN"/>
        </w:rPr>
        <w:t>2</w:t>
      </w:r>
      <w:r>
        <w:rPr>
          <w:sz w:val="24"/>
        </w:rPr>
        <w:t>类标准要求，声环境质量良好。</w:t>
      </w:r>
    </w:p>
    <w:bookmarkEnd w:id="396"/>
    <w:bookmarkEnd w:id="397"/>
    <w:bookmarkEnd w:id="398"/>
    <w:bookmarkEnd w:id="399"/>
    <w:bookmarkEnd w:id="400"/>
    <w:bookmarkEnd w:id="401"/>
    <w:bookmarkEnd w:id="402"/>
    <w:p>
      <w:pPr>
        <w:pStyle w:val="6"/>
      </w:pPr>
      <w:bookmarkStart w:id="403" w:name="_Toc14844"/>
      <w:r>
        <w:rPr>
          <w:rFonts w:hint="eastAsia"/>
          <w:lang w:eastAsia="zh-CN"/>
        </w:rPr>
        <w:t>运营期环境影响分析结论</w:t>
      </w:r>
      <w:bookmarkEnd w:id="403"/>
    </w:p>
    <w:p>
      <w:pPr>
        <w:pStyle w:val="1659"/>
        <w:rPr>
          <w:rFonts w:hint="eastAsia" w:eastAsia="宋体"/>
          <w:lang w:eastAsia="zh-CN"/>
        </w:rPr>
      </w:pPr>
      <w:bookmarkStart w:id="404" w:name="_Toc137861626"/>
      <w:bookmarkStart w:id="405" w:name="_Toc271102152"/>
      <w:bookmarkStart w:id="406" w:name="_Toc320143062"/>
      <w:bookmarkStart w:id="407" w:name="_Toc264742199"/>
      <w:bookmarkStart w:id="408" w:name="_Toc137755188"/>
      <w:r>
        <w:rPr>
          <w:rFonts w:hint="eastAsia"/>
          <w:lang w:eastAsia="zh-CN"/>
        </w:rPr>
        <w:t>（</w:t>
      </w:r>
      <w:r>
        <w:rPr>
          <w:rFonts w:hint="eastAsia"/>
          <w:lang w:val="en-US" w:eastAsia="zh-CN"/>
        </w:rPr>
        <w:t>1</w:t>
      </w:r>
      <w:r>
        <w:rPr>
          <w:rFonts w:hint="eastAsia"/>
          <w:lang w:eastAsia="zh-CN"/>
        </w:rPr>
        <w:t>）大气环境影响分析结论</w:t>
      </w:r>
    </w:p>
    <w:p>
      <w:pPr>
        <w:pStyle w:val="1659"/>
      </w:pPr>
      <w:r>
        <w:t>项目废气来自待宰圈、屠宰加工过程的臭气、污水处理站恶臭及锅炉烟气。</w:t>
      </w:r>
    </w:p>
    <w:p>
      <w:pPr>
        <w:pStyle w:val="1659"/>
      </w:pPr>
      <w:r>
        <w:t>其中：屠宰加工臭气以无组织形式排放；污水处理站恶臭采取加盖收集后经生物除臭，由15m高排气筒排放，部分废气无组织排放。项目以待宰圈、屠宰区、污水处理站为边界设置</w:t>
      </w:r>
      <w:r>
        <w:rPr>
          <w:rFonts w:hint="eastAsia"/>
          <w:lang w:val="en-US" w:eastAsia="zh-CN"/>
        </w:rPr>
        <w:t>1</w:t>
      </w:r>
      <w:r>
        <w:t>00m卫生防护距离，在卫生防护距离控制范围内不得新建居住区、医院、学校等大气敏感目标。</w:t>
      </w:r>
    </w:p>
    <w:p>
      <w:pPr>
        <w:pStyle w:val="1659"/>
        <w:rPr>
          <w:rFonts w:hint="eastAsia" w:eastAsia="宋体"/>
          <w:lang w:eastAsia="zh-CN"/>
        </w:rPr>
      </w:pPr>
      <w:r>
        <w:rPr>
          <w:rFonts w:hint="eastAsia"/>
          <w:lang w:eastAsia="zh-CN"/>
        </w:rPr>
        <w:t>（</w:t>
      </w:r>
      <w:r>
        <w:rPr>
          <w:rFonts w:hint="eastAsia"/>
          <w:lang w:val="en-US" w:eastAsia="zh-CN"/>
        </w:rPr>
        <w:t>2</w:t>
      </w:r>
      <w:r>
        <w:rPr>
          <w:rFonts w:hint="eastAsia"/>
          <w:lang w:eastAsia="zh-CN"/>
        </w:rPr>
        <w:t>）水环境影响分析结论</w:t>
      </w:r>
    </w:p>
    <w:p>
      <w:pPr>
        <w:pStyle w:val="1659"/>
      </w:pPr>
      <w:r>
        <w:t>本项目生活污水经隔油池、化粪池处理后与屠宰废水经厂内污水处理站处理（（采用“格栅预处理+沉砂隔油+调节+气浮+水解酸化+接触氧化（A/O）+二级沉淀+消毒”处理工艺，处理能力为</w:t>
      </w:r>
      <w:r>
        <w:rPr>
          <w:rFonts w:hint="eastAsia"/>
          <w:lang w:val="en-US" w:eastAsia="zh-CN"/>
        </w:rPr>
        <w:t>55</w:t>
      </w:r>
      <w:r>
        <w:t>m</w:t>
      </w:r>
      <w:r>
        <w:rPr>
          <w:vertAlign w:val="superscript"/>
        </w:rPr>
        <w:t>3</w:t>
      </w:r>
      <w:r>
        <w:t>/d）达到《肉类加工工业水污染物排放标准》（GB13457‐1992）表 3 中</w:t>
      </w:r>
      <w:r>
        <w:rPr>
          <w:rFonts w:hint="eastAsia"/>
          <w:lang w:eastAsia="zh-CN"/>
        </w:rPr>
        <w:t>一</w:t>
      </w:r>
      <w:r>
        <w:t>级标准后排入市政污水管网。经分析，项目综合废水经处理后接入</w:t>
      </w:r>
      <w:r>
        <w:rPr>
          <w:rFonts w:hint="eastAsia"/>
          <w:lang w:eastAsia="zh-CN"/>
        </w:rPr>
        <w:t>万屯镇</w:t>
      </w:r>
      <w:r>
        <w:t>污水处理厂是可行的，对周边水环境的影响较小。</w:t>
      </w:r>
    </w:p>
    <w:p>
      <w:pPr>
        <w:pStyle w:val="1659"/>
      </w:pPr>
      <w:r>
        <w:t>本项目对地下水影响主要体现在污水渗漏及固废渗滤液对地下水的影响，项目运营后，对各类固废做到日产日清，屠宰车间产生的固废采用防渗容器及时清运，污水处理站、危废暂存间采取得当的防渗措施；经采取以上措施，固废对地下水的影响甚微。</w:t>
      </w:r>
    </w:p>
    <w:p>
      <w:pPr>
        <w:pStyle w:val="1659"/>
        <w:rPr>
          <w:rFonts w:hint="default" w:eastAsia="宋体"/>
          <w:lang w:val="en-US" w:eastAsia="zh-CN"/>
        </w:rPr>
      </w:pPr>
      <w:r>
        <w:rPr>
          <w:rFonts w:hint="eastAsia"/>
          <w:lang w:eastAsia="zh-CN"/>
        </w:rPr>
        <w:t>（</w:t>
      </w:r>
      <w:r>
        <w:rPr>
          <w:rFonts w:hint="eastAsia"/>
          <w:lang w:val="en-US" w:eastAsia="zh-CN"/>
        </w:rPr>
        <w:t>3</w:t>
      </w:r>
      <w:r>
        <w:rPr>
          <w:rFonts w:hint="eastAsia"/>
          <w:lang w:eastAsia="zh-CN"/>
        </w:rPr>
        <w:t>）噪声环境影响分析与结论</w:t>
      </w:r>
    </w:p>
    <w:p>
      <w:pPr>
        <w:pStyle w:val="1659"/>
      </w:pPr>
      <w:r>
        <w:t>经预测，在落实本项目提出的噪声降噪措施，加强设备的使用和日常维护管理，维持设备处于良好的运转状态，边界噪声值满足《工业企业厂界环境排放标准》2类标准限值要求。</w:t>
      </w:r>
    </w:p>
    <w:p>
      <w:pPr>
        <w:pStyle w:val="1659"/>
        <w:rPr>
          <w:rFonts w:hint="eastAsia" w:eastAsia="宋体"/>
          <w:lang w:eastAsia="zh-CN"/>
        </w:rPr>
      </w:pPr>
      <w:r>
        <w:rPr>
          <w:rFonts w:hint="eastAsia"/>
          <w:lang w:eastAsia="zh-CN"/>
        </w:rPr>
        <w:t>（</w:t>
      </w:r>
      <w:r>
        <w:rPr>
          <w:rFonts w:hint="eastAsia"/>
          <w:lang w:val="en-US" w:eastAsia="zh-CN"/>
        </w:rPr>
        <w:t>4</w:t>
      </w:r>
      <w:r>
        <w:rPr>
          <w:rFonts w:hint="eastAsia"/>
          <w:lang w:eastAsia="zh-CN"/>
        </w:rPr>
        <w:t>）固体废弃物环境影响分析与结论</w:t>
      </w:r>
    </w:p>
    <w:p>
      <w:pPr>
        <w:pStyle w:val="1659"/>
      </w:pPr>
      <w:r>
        <w:t>本项目产生的固体废物按照以下处置措施和管理的要求妥善处置后，不会对周围环境产生不良的影响。</w:t>
      </w:r>
    </w:p>
    <w:p>
      <w:pPr>
        <w:pStyle w:val="1659"/>
      </w:pPr>
      <w:r>
        <w:rPr>
          <w:rFonts w:hint="eastAsia"/>
          <w:lang w:val="en-US" w:eastAsia="zh-CN"/>
        </w:rPr>
        <w:t>①</w:t>
      </w:r>
      <w:r>
        <w:t>屠宰加工副产品及废弃物：该项目屠宰车间产生的工业固体废弃物主要为不可食用脏器及肠胃内容物等，其中胃肠内容物等先通过人工进行干掏，去除后再用水冲洗，与粪便暂存于堆肥间，日产日清，运至</w:t>
      </w:r>
      <w:r>
        <w:rPr>
          <w:rFonts w:hint="eastAsia"/>
          <w:lang w:eastAsia="zh-CN"/>
        </w:rPr>
        <w:t>有资质单位</w:t>
      </w:r>
      <w:r>
        <w:t>作为有机肥原料利用；不可利用内脏委托</w:t>
      </w:r>
      <w:r>
        <w:rPr>
          <w:rFonts w:hint="eastAsia"/>
          <w:lang w:eastAsia="zh-CN"/>
        </w:rPr>
        <w:t>有资质单位</w:t>
      </w:r>
      <w:r>
        <w:t>进行无害化处置。副产品羊毛、羊皮、牛毛、牛皮，经晾晒风干后外售综合利用；未出售部分分别保存在牛羊保管圈。副产品牛羊蹄、牛羊头、内脏直接外售。</w:t>
      </w:r>
    </w:p>
    <w:p>
      <w:pPr>
        <w:pStyle w:val="1659"/>
      </w:pPr>
      <w:r>
        <w:rPr>
          <w:rFonts w:hint="eastAsia"/>
          <w:lang w:eastAsia="zh-CN"/>
        </w:rPr>
        <w:t>②</w:t>
      </w:r>
      <w:r>
        <w:t>粪便：本项目的粪便采用干清粪工艺，产生的牲畜粪便经人工清扫后，统一运至堆肥间暂存，及时清运，及时运送至</w:t>
      </w:r>
      <w:r>
        <w:rPr>
          <w:rFonts w:hint="eastAsia"/>
          <w:lang w:eastAsia="zh-CN"/>
        </w:rPr>
        <w:t>有资质单位</w:t>
      </w:r>
      <w:r>
        <w:t>作为生产原料使用。</w:t>
      </w:r>
    </w:p>
    <w:p>
      <w:pPr>
        <w:pStyle w:val="1659"/>
      </w:pPr>
      <w:r>
        <w:rPr>
          <w:rFonts w:hint="eastAsia"/>
          <w:lang w:eastAsia="zh-CN"/>
        </w:rPr>
        <w:t>③</w:t>
      </w:r>
      <w:r>
        <w:t>污水处理站固废：污水处理站产生固废主要为栅渣、沉砂、废动植物油和污泥，其中废动植物油经收集后由具有餐厨垃圾处理的资质单位进行妥善处置，其余固废均清运至附近的生活垃圾转运站集中处理，无排放。</w:t>
      </w:r>
    </w:p>
    <w:p>
      <w:pPr>
        <w:pStyle w:val="1659"/>
      </w:pPr>
      <w:r>
        <w:rPr>
          <w:rFonts w:hint="eastAsia"/>
          <w:lang w:eastAsia="zh-CN"/>
        </w:rPr>
        <w:t>④</w:t>
      </w:r>
      <w:r>
        <w:t>生活垃圾：项目生活垃圾由环卫部门统一清运处理。</w:t>
      </w:r>
    </w:p>
    <w:p>
      <w:pPr>
        <w:pStyle w:val="1659"/>
      </w:pPr>
      <w:r>
        <w:rPr>
          <w:rFonts w:hint="eastAsia"/>
          <w:lang w:eastAsia="zh-CN"/>
        </w:rPr>
        <w:t>⑤</w:t>
      </w:r>
      <w:r>
        <w:t>病、死牲畜及病牲畜产品：不合格胴体委托</w:t>
      </w:r>
      <w:r>
        <w:rPr>
          <w:rFonts w:hint="eastAsia"/>
          <w:lang w:eastAsia="zh-CN"/>
        </w:rPr>
        <w:t>有资质单位</w:t>
      </w:r>
      <w:r>
        <w:t>进行无害化处置。本项目根据《贵州省牲畜屠宰条例》（2015年7月31日修正）设置隔离间和急宰间，当进场牲畜检疫过程中发现牲畜携带疫情，则迅速送入隔离间，按照《重大动物疫情应急条例》（国务院第450号令）相关规定对疫区污染并或疑似传染病的动物进行扑杀后，及时进行急宰分割，委托</w:t>
      </w:r>
      <w:r>
        <w:rPr>
          <w:rFonts w:hint="eastAsia"/>
          <w:lang w:eastAsia="zh-CN"/>
        </w:rPr>
        <w:t>有资质单位</w:t>
      </w:r>
      <w:r>
        <w:t>进行无害化处置，防止疫情扩散。</w:t>
      </w:r>
    </w:p>
    <w:p>
      <w:pPr>
        <w:pStyle w:val="1659"/>
      </w:pPr>
      <w:r>
        <w:t>通过采取上述措施后，项目产生固体废物对周边影响较小，处理措施可行。</w:t>
      </w:r>
    </w:p>
    <w:p>
      <w:pPr>
        <w:pStyle w:val="6"/>
      </w:pPr>
      <w:bookmarkStart w:id="409" w:name="_Toc16976"/>
      <w:r>
        <w:rPr>
          <w:rFonts w:hint="eastAsia"/>
          <w:lang w:eastAsia="zh-CN"/>
        </w:rPr>
        <w:t>总量控制结论</w:t>
      </w:r>
      <w:bookmarkEnd w:id="409"/>
    </w:p>
    <w:p>
      <w:pPr>
        <w:pStyle w:val="1659"/>
      </w:pPr>
      <w:r>
        <w:rPr>
          <w:spacing w:val="4"/>
        </w:rPr>
        <w:t>本项目工程总排水</w:t>
      </w:r>
      <w:r>
        <w:rPr>
          <w:rFonts w:hint="eastAsia"/>
          <w:lang w:val="en-US" w:eastAsia="zh-CN"/>
        </w:rPr>
        <w:t>15865.2</w:t>
      </w:r>
      <w:r>
        <w:rPr>
          <w:rFonts w:ascii="Times New Roman" w:hAnsi="Times New Roman" w:eastAsia="Times New Roman" w:cs="Times New Roman"/>
          <w:spacing w:val="-1"/>
        </w:rPr>
        <w:t>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/a</w:t>
      </w:r>
      <w:r>
        <w:rPr>
          <w:spacing w:val="-1"/>
        </w:rPr>
        <w:t>，</w:t>
      </w:r>
      <w:r>
        <w:rPr>
          <w:rFonts w:ascii="Times New Roman" w:hAnsi="Times New Roman" w:eastAsia="Times New Roman" w:cs="Times New Roman"/>
          <w:spacing w:val="-1"/>
        </w:rPr>
        <w:t>COD</w:t>
      </w:r>
      <w:r>
        <w:rPr>
          <w:rFonts w:ascii="Times New Roman" w:hAnsi="Times New Roman" w:eastAsia="Times New Roman" w:cs="Times New Roman"/>
          <w:spacing w:val="-2"/>
        </w:rPr>
        <w:t xml:space="preserve"> </w:t>
      </w:r>
      <w:r>
        <w:rPr>
          <w:spacing w:val="1"/>
        </w:rPr>
        <w:t>排放量为：</w:t>
      </w:r>
      <w:r>
        <w:rPr>
          <w:rFonts w:hint="eastAsia" w:ascii="宋体" w:hAnsi="宋体" w:eastAsia="宋体" w:cs="宋体"/>
          <w:i w:val="0"/>
          <w:color w:val="000000"/>
          <w:kern w:val="0"/>
          <w:sz w:val="24"/>
          <w:szCs w:val="24"/>
          <w:u w:val="none"/>
          <w:lang w:val="en-US" w:eastAsia="zh-CN" w:bidi="ar"/>
        </w:rPr>
        <w:t>0.79</w:t>
      </w:r>
      <w:r>
        <w:rPr>
          <w:rFonts w:ascii="Times New Roman" w:hAnsi="Times New Roman" w:eastAsia="Times New Roman" w:cs="Times New Roman"/>
          <w:spacing w:val="1"/>
        </w:rPr>
        <w:t>t/a</w:t>
      </w:r>
      <w:r>
        <w:rPr>
          <w:spacing w:val="1"/>
        </w:rPr>
        <w:t>、氨氮：</w:t>
      </w:r>
      <w:r>
        <w:rPr>
          <w:rFonts w:hint="eastAsia" w:ascii="宋体" w:hAnsi="宋体" w:eastAsia="宋体" w:cs="宋体"/>
          <w:i w:val="0"/>
          <w:color w:val="000000"/>
          <w:kern w:val="0"/>
          <w:sz w:val="24"/>
          <w:szCs w:val="24"/>
          <w:u w:val="none"/>
          <w:lang w:val="en-US" w:eastAsia="zh-CN" w:bidi="ar"/>
        </w:rPr>
        <w:t>0.16</w:t>
      </w:r>
      <w:r>
        <w:rPr>
          <w:rFonts w:ascii="Times New Roman" w:hAnsi="Times New Roman" w:eastAsia="Times New Roman" w:cs="Times New Roman"/>
          <w:spacing w:val="1"/>
        </w:rPr>
        <w:t>t/a</w:t>
      </w:r>
      <w:r>
        <w:rPr>
          <w:spacing w:val="1"/>
        </w:rPr>
        <w:t>。</w:t>
      </w:r>
      <w:r>
        <w:t>由于项目产生的废水进入</w:t>
      </w:r>
      <w:r>
        <w:rPr>
          <w:rFonts w:hint="eastAsia"/>
          <w:lang w:eastAsia="zh-CN"/>
        </w:rPr>
        <w:t>万屯镇</w:t>
      </w:r>
      <w:r>
        <w:t>污水处理厂</w:t>
      </w:r>
      <w:r>
        <w:rPr>
          <w:spacing w:val="-94"/>
        </w:rPr>
        <w:t>，</w:t>
      </w:r>
      <w:r>
        <w:t>废水总量控制指标纳入污水处理厂总量指标内，本项目不再申报</w:t>
      </w:r>
      <w:r>
        <w:rPr>
          <w:spacing w:val="-56"/>
        </w:rPr>
        <w:t xml:space="preserve"> </w:t>
      </w:r>
      <w:r>
        <w:rPr>
          <w:rFonts w:ascii="Times New Roman" w:hAnsi="Times New Roman" w:eastAsia="Times New Roman" w:cs="Times New Roman"/>
          <w:spacing w:val="1"/>
        </w:rPr>
        <w:t>COD</w:t>
      </w:r>
      <w:r>
        <w:rPr>
          <w:spacing w:val="1"/>
        </w:rPr>
        <w:t>、氨氮总量控制指标。本项目申报总量</w:t>
      </w:r>
      <w:r>
        <w:rPr>
          <w:position w:val="2"/>
        </w:rPr>
        <w:t>控制指标为</w:t>
      </w:r>
      <w:r>
        <w:rPr>
          <w:spacing w:val="-64"/>
          <w:position w:val="2"/>
        </w:rPr>
        <w:t xml:space="preserve"> </w:t>
      </w:r>
      <w:r>
        <w:rPr>
          <w:rFonts w:ascii="Times New Roman" w:hAnsi="Times New Roman" w:eastAsia="Times New Roman" w:cs="Times New Roman"/>
          <w:spacing w:val="-1"/>
          <w:position w:val="2"/>
        </w:rPr>
        <w:t>SO</w:t>
      </w:r>
      <w:r>
        <w:rPr>
          <w:rFonts w:ascii="Times New Roman" w:hAnsi="Times New Roman" w:eastAsia="Times New Roman" w:cs="Times New Roman"/>
          <w:spacing w:val="-1"/>
          <w:sz w:val="15"/>
          <w:szCs w:val="15"/>
        </w:rPr>
        <w:t>2</w:t>
      </w:r>
      <w:r>
        <w:rPr>
          <w:rFonts w:ascii="Times New Roman" w:hAnsi="Times New Roman" w:eastAsia="Times New Roman" w:cs="Times New Roman"/>
          <w:spacing w:val="19"/>
          <w:sz w:val="15"/>
          <w:szCs w:val="15"/>
        </w:rPr>
        <w:t xml:space="preserve"> </w:t>
      </w:r>
      <w:r>
        <w:rPr>
          <w:rFonts w:ascii="Times New Roman" w:hAnsi="Times New Roman" w:eastAsia="Times New Roman" w:cs="Times New Roman"/>
          <w:spacing w:val="-1"/>
          <w:position w:val="2"/>
        </w:rPr>
        <w:t>0.</w:t>
      </w:r>
      <w:r>
        <w:rPr>
          <w:rFonts w:hint="eastAsia" w:ascii="Times New Roman" w:hAnsi="Times New Roman" w:eastAsia="宋体" w:cs="Times New Roman"/>
          <w:spacing w:val="-1"/>
          <w:position w:val="2"/>
          <w:lang w:val="en-US" w:eastAsia="zh-CN"/>
        </w:rPr>
        <w:t>014</w:t>
      </w:r>
      <w:r>
        <w:rPr>
          <w:rFonts w:ascii="Times New Roman" w:hAnsi="Times New Roman" w:eastAsia="Times New Roman" w:cs="Times New Roman"/>
          <w:spacing w:val="-1"/>
          <w:position w:val="2"/>
        </w:rPr>
        <w:t>t/a</w:t>
      </w:r>
      <w:r>
        <w:rPr>
          <w:spacing w:val="-1"/>
          <w:position w:val="2"/>
        </w:rPr>
        <w:t>，</w:t>
      </w:r>
      <w:r>
        <w:rPr>
          <w:rFonts w:ascii="Times New Roman" w:hAnsi="Times New Roman" w:eastAsia="Times New Roman" w:cs="Times New Roman"/>
          <w:spacing w:val="-1"/>
          <w:position w:val="2"/>
        </w:rPr>
        <w:t>NOx</w:t>
      </w:r>
      <w:r>
        <w:rPr>
          <w:rFonts w:ascii="Times New Roman" w:hAnsi="Times New Roman" w:eastAsia="Times New Roman" w:cs="Times New Roman"/>
          <w:spacing w:val="-5"/>
          <w:position w:val="2"/>
        </w:rPr>
        <w:t xml:space="preserve"> </w:t>
      </w:r>
      <w:r>
        <w:rPr>
          <w:rFonts w:hint="eastAsia" w:ascii="Times New Roman" w:hAnsi="Times New Roman" w:eastAsia="宋体" w:cs="Times New Roman"/>
          <w:spacing w:val="-1"/>
          <w:position w:val="2"/>
          <w:lang w:val="en-US" w:eastAsia="zh-CN"/>
        </w:rPr>
        <w:t>0.146</w:t>
      </w:r>
      <w:r>
        <w:rPr>
          <w:rFonts w:ascii="Times New Roman" w:hAnsi="Times New Roman" w:eastAsia="Times New Roman" w:cs="Times New Roman"/>
          <w:spacing w:val="-1"/>
          <w:position w:val="2"/>
        </w:rPr>
        <w:t>t/a</w:t>
      </w:r>
      <w:r>
        <w:rPr>
          <w:spacing w:val="-1"/>
          <w:position w:val="2"/>
        </w:rPr>
        <w:t>。</w:t>
      </w:r>
    </w:p>
    <w:p>
      <w:pPr>
        <w:pStyle w:val="6"/>
      </w:pPr>
      <w:bookmarkStart w:id="410" w:name="_Toc31275"/>
      <w:r>
        <w:rPr>
          <w:rFonts w:hint="eastAsia"/>
          <w:lang w:eastAsia="zh-CN"/>
        </w:rPr>
        <w:t>公众参与结论</w:t>
      </w:r>
      <w:bookmarkEnd w:id="410"/>
    </w:p>
    <w:p>
      <w:pPr>
        <w:pStyle w:val="1659"/>
      </w:pPr>
      <w:r>
        <w:t>评价期间，建设单位通过现场公示及发放公参调查表的形式进行了调查，充分了解了当地村民对项目建设的态度及建议。本次评价直接采用建设单位公众参与报告的结论，同时评价要求建设单位编写的公众参与报告应与本报告书报批本同时呈报主管部门。</w:t>
      </w:r>
    </w:p>
    <w:p>
      <w:pPr>
        <w:pStyle w:val="1659"/>
      </w:pPr>
      <w:r>
        <w:t>根据建设单位公众参与报告的分析结果表明，当地公众对该工程的建设持赞成的态度，认识到该工程对促进当地社会、经济发展的重大意义。评价单位对于公众担忧的水污染问题，本次评价经科学论证提出了切实可行的、具体的减缓和防治措施，建设单位应按照《报告书》的要求认真落实，环保部门应加大监管力度，使本项目的不利影响降到环境容许的范围内。</w:t>
      </w:r>
    </w:p>
    <w:p>
      <w:pPr>
        <w:pStyle w:val="6"/>
      </w:pPr>
      <w:bookmarkStart w:id="411" w:name="_Toc32452"/>
      <w:r>
        <w:rPr>
          <w:rFonts w:hint="eastAsia"/>
          <w:lang w:eastAsia="zh-CN"/>
        </w:rPr>
        <w:t>结论</w:t>
      </w:r>
      <w:bookmarkEnd w:id="411"/>
    </w:p>
    <w:p>
      <w:pPr>
        <w:pStyle w:val="1659"/>
      </w:pPr>
      <w:r>
        <w:t>拟建项目符合国家的产业政策，项目选址合理；拟采取清洁的生产工艺，符 合清洁生产的相关要求；在污染防治措施“三同时”措施实施后，拟建项目的废气、 废水、噪声、固废等污染物均可以实现达标排放，能满足总量控制指标的要求； 根据预测结果，项目达标排放的废水、废气、噪声对周围环境的影响不大，不会 因此而影响区域现有的环境功能要求；公众对本项目的建设实施持支持态度；同 时，本项目的建设实施对缓解劳动就业和促进地方经济的发展均起到较大的积极 作用。因此，从环境保护的角度看，本项目的建设是可行的。</w:t>
      </w:r>
    </w:p>
    <w:p>
      <w:pPr>
        <w:pStyle w:val="5"/>
        <w:spacing w:before="156" w:after="156"/>
      </w:pPr>
      <w:bookmarkStart w:id="412" w:name="_Toc20590"/>
      <w:r>
        <w:rPr>
          <w:rFonts w:hint="eastAsia"/>
          <w:lang w:eastAsia="zh-CN"/>
        </w:rPr>
        <w:t>建议与要求</w:t>
      </w:r>
      <w:bookmarkEnd w:id="412"/>
    </w:p>
    <w:p>
      <w:pPr>
        <w:pStyle w:val="1659"/>
      </w:pPr>
      <w:r>
        <w:rPr>
          <w:spacing w:val="2"/>
        </w:rPr>
        <w:t>（</w:t>
      </w:r>
      <w:r>
        <w:rPr>
          <w:rFonts w:ascii="Times New Roman" w:hAnsi="Times New Roman" w:eastAsia="Times New Roman" w:cs="Times New Roman"/>
          <w:spacing w:val="2"/>
        </w:rPr>
        <w:t>1</w:t>
      </w:r>
      <w:r>
        <w:rPr>
          <w:spacing w:val="2"/>
        </w:rPr>
        <w:t>）建设单位必须按照国</w:t>
      </w:r>
      <w:r>
        <w:rPr>
          <w:spacing w:val="4"/>
        </w:rPr>
        <w:t>家</w:t>
      </w:r>
      <w:r>
        <w:rPr>
          <w:spacing w:val="1"/>
        </w:rPr>
        <w:t>的</w:t>
      </w:r>
      <w:r>
        <w:rPr>
          <w:spacing w:val="2"/>
        </w:rPr>
        <w:t>有关文件</w:t>
      </w:r>
      <w:r>
        <w:rPr>
          <w:spacing w:val="1"/>
        </w:rPr>
        <w:t>的</w:t>
      </w:r>
      <w:r>
        <w:rPr>
          <w:spacing w:val="2"/>
        </w:rPr>
        <w:t>要求，严格遵守国家环境保护法</w:t>
      </w:r>
      <w:r>
        <w:t>律法规</w:t>
      </w:r>
      <w:r>
        <w:rPr>
          <w:spacing w:val="-47"/>
        </w:rPr>
        <w:t>，</w:t>
      </w:r>
      <w:r>
        <w:t>必须成立以厂长为负责人的环境保护管理机构</w:t>
      </w:r>
      <w:r>
        <w:rPr>
          <w:spacing w:val="-47"/>
        </w:rPr>
        <w:t>，</w:t>
      </w:r>
      <w:r>
        <w:t>建立健全环境管理制度 和环境保护岗位责任制</w:t>
      </w:r>
      <w:r>
        <w:rPr>
          <w:spacing w:val="-47"/>
        </w:rPr>
        <w:t>，</w:t>
      </w:r>
      <w:r>
        <w:t>认真搞好环境保护宣传和教育工作</w:t>
      </w:r>
      <w:r>
        <w:rPr>
          <w:spacing w:val="-47"/>
        </w:rPr>
        <w:t>，</w:t>
      </w:r>
      <w:r>
        <w:t>提高全民的环保意 识。</w:t>
      </w:r>
    </w:p>
    <w:p>
      <w:pPr>
        <w:pStyle w:val="1659"/>
      </w:pPr>
      <w:r>
        <w:t>（2）为保证污染物达标排放，应严格按照当地环保部门对项目批复要求认真贯彻执行，使企业真正实现经济、环境与社会效益的统一，走可持续发展道路。要求企业按照管理部门的要求实行季度监测。</w:t>
      </w:r>
    </w:p>
    <w:p>
      <w:pPr>
        <w:pStyle w:val="1659"/>
      </w:pPr>
      <w:r>
        <w:t>（3）为进一步改善厂区周围环境，建设单位应经常与当地环保部门、各社会团体、村委会及周边群众联系，征求对项目环境保护的意见、要求和建议，并及时改进、反馈。</w:t>
      </w:r>
    </w:p>
    <w:p>
      <w:pPr>
        <w:pStyle w:val="1659"/>
      </w:pPr>
      <w:r>
        <w:t>（4）定期检查维护项目废气处理设施。</w:t>
      </w:r>
    </w:p>
    <w:p>
      <w:pPr>
        <w:pStyle w:val="1659"/>
      </w:pPr>
      <w:r>
        <w:t>（5）做好报告中提出的各区域的防渗措施，降低项目由于发生渗透或泄露对地下水及土壤造成的影响。</w:t>
      </w:r>
    </w:p>
    <w:p>
      <w:pPr>
        <w:pStyle w:val="1659"/>
      </w:pPr>
      <w:r>
        <w:t>（6）做好危废暂存工作，严格执行五联单制度，保证危险废物得到无害化处置。</w:t>
      </w:r>
    </w:p>
    <w:p>
      <w:pPr>
        <w:pStyle w:val="1659"/>
      </w:pPr>
    </w:p>
    <w:bookmarkEnd w:id="404"/>
    <w:bookmarkEnd w:id="405"/>
    <w:bookmarkEnd w:id="406"/>
    <w:bookmarkEnd w:id="407"/>
    <w:bookmarkEnd w:id="408"/>
    <w:p>
      <w:pPr>
        <w:pStyle w:val="1838"/>
        <w:ind w:firstLine="480"/>
        <w:rPr>
          <w:rFonts w:hint="default" w:ascii="Times New Roman" w:hAnsi="Times New Roman" w:cs="Times New Roman"/>
        </w:rPr>
      </w:pPr>
    </w:p>
    <w:sectPr>
      <w:headerReference r:id="rId14" w:type="default"/>
      <w:footerReference r:id="rId1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alibri">
    <w:panose1 w:val="020F0502020204030204"/>
    <w:charset w:val="86"/>
    <w:family w:val="swiss"/>
    <w:pitch w:val="default"/>
    <w:sig w:usb0="E00002FF" w:usb1="4000ACFF" w:usb2="00000001" w:usb3="00000000" w:csb0="2000019F" w:csb1="00000000"/>
  </w:font>
  <w:font w:name="Arial Unicode MS">
    <w:altName w:val="Arial"/>
    <w:panose1 w:val="020B0604020202020204"/>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Tms Rmn">
    <w:altName w:val="Times New Roman"/>
    <w:panose1 w:val="02020603040505020304"/>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华文仿宋">
    <w:altName w:val="仿宋"/>
    <w:panose1 w:val="02010600040101010101"/>
    <w:charset w:val="86"/>
    <w:family w:val="auto"/>
    <w:pitch w:val="default"/>
    <w:sig w:usb0="00000000" w:usb1="00000000" w:usb2="00000000" w:usb3="00000000" w:csb0="0004009F" w:csb1="DFD70000"/>
  </w:font>
  <w:font w:name="五">
    <w:altName w:val="黑体"/>
    <w:panose1 w:val="00000000000000000000"/>
    <w:charset w:val="86"/>
    <w:family w:val="auto"/>
    <w:pitch w:val="default"/>
    <w:sig w:usb0="00000000" w:usb1="00000000" w:usb2="00000010" w:usb3="00000000" w:csb0="00040000" w:csb1="00000000"/>
  </w:font>
  <w:font w:name="..ì.">
    <w:altName w:val="黑体"/>
    <w:panose1 w:val="00000000000000000000"/>
    <w:charset w:val="86"/>
    <w:family w:val="auto"/>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宋">
    <w:altName w:val="黑体"/>
    <w:panose1 w:val="00000000000000000000"/>
    <w:charset w:val="86"/>
    <w:family w:val="auto"/>
    <w:pitch w:val="default"/>
    <w:sig w:usb0="00000000" w:usb1="00000000" w:usb2="00000010" w:usb3="00000000" w:csb0="00040000" w:csb1="00000000"/>
  </w:font>
  <w:font w:name="ZapfDingbats BT">
    <w:altName w:val="Arial"/>
    <w:panose1 w:val="00000000000000000000"/>
    <w:charset w:val="00"/>
    <w:family w:val="swiss"/>
    <w:pitch w:val="default"/>
    <w:sig w:usb0="00000000" w:usb1="00000000" w:usb2="00000000" w:usb3="00000000" w:csb0="00000001" w:csb1="00000000"/>
  </w:font>
  <w:font w:name="華康中楷體">
    <w:altName w:val="Microsoft JhengHei"/>
    <w:panose1 w:val="00000000000000000000"/>
    <w:charset w:val="88"/>
    <w:family w:val="auto"/>
    <w:pitch w:val="default"/>
    <w:sig w:usb0="00000000" w:usb1="00000000" w:usb2="00000010" w:usb3="00000000" w:csb0="00100000" w:csb1="00000000"/>
  </w:font>
  <w:font w:name="”“Times New Roman”“">
    <w:altName w:val="宋体"/>
    <w:panose1 w:val="00000000000000000000"/>
    <w:charset w:val="86"/>
    <w:family w:val="roma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2000009F" w:csb1="DFD70000"/>
  </w:font>
  <w:font w:name="..">
    <w:altName w:val="Times New Roman"/>
    <w:panose1 w:val="00000000000000000000"/>
    <w:charset w:val="00"/>
    <w:family w:val="roman"/>
    <w:pitch w:val="default"/>
    <w:sig w:usb0="00000000" w:usb1="00000000" w:usb2="00000000" w:usb3="00000000" w:csb0="00040001" w:csb1="00000000"/>
  </w:font>
  <w:font w:name="TimesNewRoman">
    <w:altName w:val="Segoe Print"/>
    <w:panose1 w:val="00000000000000000000"/>
    <w:charset w:val="00"/>
    <w:family w:val="roman"/>
    <w:pitch w:val="default"/>
    <w:sig w:usb0="00000000" w:usb1="00000000" w:usb2="00000000" w:usb3="00000000" w:csb0="00000001" w:csb1="00000000"/>
  </w:font>
  <w:font w:name="PMingLiU">
    <w:panose1 w:val="02020500000000000000"/>
    <w:charset w:val="88"/>
    <w:family w:val="roman"/>
    <w:pitch w:val="default"/>
    <w:sig w:usb0="A00002FF" w:usb1="28CFFCFA" w:usb2="00000016" w:usb3="00000000" w:csb0="00100001" w:csb1="00000000"/>
  </w:font>
  <w:font w:name="Bookman Old Style">
    <w:altName w:val="Segoe Print"/>
    <w:panose1 w:val="02050604050505020204"/>
    <w:charset w:val="00"/>
    <w:family w:val="roman"/>
    <w:pitch w:val="default"/>
    <w:sig w:usb0="00000000" w:usb1="00000000" w:usb2="00000000" w:usb3="00000000" w:csb0="2000009F" w:csb1="DFD70000"/>
  </w:font>
  <w:font w:name="Arial Narrow">
    <w:altName w:val="Arial"/>
    <w:panose1 w:val="020B0606020202030204"/>
    <w:charset w:val="00"/>
    <w:family w:val="swiss"/>
    <w:pitch w:val="default"/>
    <w:sig w:usb0="00000000" w:usb1="00000000" w:usb2="00000000" w:usb3="00000000" w:csb0="2000009F" w:csb1="DFD70000"/>
  </w:font>
  <w:font w:name="Courier">
    <w:altName w:val="Courier New"/>
    <w:panose1 w:val="02070409020205020404"/>
    <w:charset w:val="00"/>
    <w:family w:val="modern"/>
    <w:pitch w:val="default"/>
    <w:sig w:usb0="00000000" w:usb1="00000000" w:usb2="00000000" w:usb3="00000000" w:csb0="00000001" w:csb1="00000000"/>
  </w:font>
  <w:font w:name="华文隶书">
    <w:altName w:val="微软雅黑"/>
    <w:panose1 w:val="02010800040101010101"/>
    <w:charset w:val="86"/>
    <w:family w:val="auto"/>
    <w:pitch w:val="default"/>
    <w:sig w:usb0="00000000" w:usb1="00000000" w:usb2="00000000" w:usb3="00000000" w:csb0="00040000" w:csb1="00000000"/>
  </w:font>
  <w:font w:name="汉鼎简特宋">
    <w:altName w:val="宋体"/>
    <w:panose1 w:val="00000000000000000000"/>
    <w:charset w:val="86"/>
    <w:family w:val="modern"/>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00" w:usb3="00000000" w:csb0="00040000" w:csb1="00000000"/>
  </w:font>
  <w:font w:name="方正姚体">
    <w:altName w:val="宋体"/>
    <w:panose1 w:val="02010601030101010101"/>
    <w:charset w:val="86"/>
    <w:family w:val="auto"/>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IINFIO+TimesNewRoman">
    <w:altName w:val="宋体"/>
    <w:panose1 w:val="00000000000000000000"/>
    <w:charset w:val="86"/>
    <w:family w:val="roman"/>
    <w:pitch w:val="default"/>
    <w:sig w:usb0="00000000" w:usb1="00000000" w:usb2="00000010" w:usb3="00000000" w:csb0="00040000" w:csb1="00000000"/>
  </w:font>
  <w:font w:name="仿宋体">
    <w:altName w:val="仿宋"/>
    <w:panose1 w:val="00000000000000000000"/>
    <w:charset w:val="86"/>
    <w:family w:val="roman"/>
    <w:pitch w:val="default"/>
    <w:sig w:usb0="00000000" w:usb1="00000000" w:usb2="00000010" w:usb3="00000000" w:csb0="00040000" w:csb1="00000000"/>
  </w:font>
  <w:font w:name="Garamond">
    <w:altName w:val="RomanS"/>
    <w:panose1 w:val="02020404030301010803"/>
    <w:charset w:val="00"/>
    <w:family w:val="roman"/>
    <w:pitch w:val="default"/>
    <w:sig w:usb0="00000000" w:usb1="00000000" w:usb2="00000000" w:usb3="00000000" w:csb0="0000009F" w:csb1="DFD70000"/>
  </w:font>
  <w:font w:name="华文行楷">
    <w:altName w:val="微软雅黑"/>
    <w:panose1 w:val="0201080004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大标宋简体">
    <w:altName w:val="微软雅黑"/>
    <w:panose1 w:val="00000000000000000000"/>
    <w:charset w:val="86"/>
    <w:family w:val="script"/>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长城仿宋体">
    <w:altName w:val="宋体"/>
    <w:panose1 w:val="00000000000000000000"/>
    <w:charset w:val="86"/>
    <w:family w:val="modern"/>
    <w:pitch w:val="default"/>
    <w:sig w:usb0="00000000" w:usb1="00000000" w:usb2="00000010" w:usb3="00000000" w:csb0="00040000" w:csb1="00000000"/>
  </w:font>
  <w:font w:name="创艺简魏碑">
    <w:altName w:val="黑体"/>
    <w:panose1 w:val="00000000000000000000"/>
    <w:charset w:val="86"/>
    <w:family w:val="auto"/>
    <w:pitch w:val="default"/>
    <w:sig w:usb0="00000000" w:usb1="00000000" w:usb2="00000010" w:usb3="00000000" w:csb0="00040000" w:csb1="00000000"/>
  </w:font>
  <w:font w:name="Alaska">
    <w:altName w:val="Segoe Print"/>
    <w:panose1 w:val="00000000000000000000"/>
    <w:charset w:val="00"/>
    <w:family w:val="auto"/>
    <w:pitch w:val="default"/>
    <w:sig w:usb0="00000000" w:usb1="00000000" w:usb2="00000000" w:usb3="00000000" w:csb0="00000017" w:csb1="00000000"/>
  </w:font>
  <w:font w:name="方正宋三简体">
    <w:altName w:val="宋体"/>
    <w:panose1 w:val="00000000000000000000"/>
    <w:charset w:val="86"/>
    <w:family w:val="auto"/>
    <w:pitch w:val="default"/>
    <w:sig w:usb0="00000000" w:usb1="00000000" w:usb2="00000000" w:usb3="00000000" w:csb0="00040000" w:csb1="00000000"/>
  </w:font>
  <w:font w:name="Angsana New">
    <w:panose1 w:val="02020603050405020304"/>
    <w:charset w:val="00"/>
    <w:family w:val="roman"/>
    <w:pitch w:val="default"/>
    <w:sig w:usb0="81000003" w:usb1="00000000" w:usb2="00000000" w:usb3="00000000" w:csb0="00010001" w:csb1="00000000"/>
  </w:font>
  <w:font w:name="Times New Roman;Symbol;Arial;婼">
    <w:altName w:val="黑体"/>
    <w:panose1 w:val="00000000000000000000"/>
    <w:charset w:val="86"/>
    <w:family w:val="auto"/>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Calibri" w:hAnsi="Calibri"/>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78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VI</w:t>
                          </w:r>
                          <w:r>
                            <w:rPr>
                              <w:szCs w:val="21"/>
                            </w:rPr>
                            <w:fldChar w:fldCharType="end"/>
                          </w:r>
                          <w:r>
                            <w:rPr>
                              <w:szCs w:val="21"/>
                            </w:rPr>
                            <w:t>页</w:t>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iv+waLgBAABWAwAADgAAAAAAAAABACAAAAAeAQAAZHJzL2Uyb0RvYy54bWxQSwUGAAAAAAYABgBZ&#10;AQAASAUAAAAA&#10;">
              <v:fill on="f" focussize="0,0"/>
              <v:stroke on="f"/>
              <v:imagedata o:title=""/>
              <o:lock v:ext="edit" aspectratio="f"/>
              <v:textbox inset="0mm,0mm,0mm,0mm" style="mso-fit-shape-to-text:t;">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VI</w:t>
                    </w:r>
                    <w:r>
                      <w:rPr>
                        <w:szCs w:val="21"/>
                      </w:rPr>
                      <w:fldChar w:fldCharType="end"/>
                    </w:r>
                    <w:r>
                      <w:rPr>
                        <w:szCs w:val="21"/>
                      </w:rPr>
                      <w:t>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Calibri" w:hAnsi="Calibri"/>
        <w:szCs w:val="21"/>
      </w:rPr>
    </w:pPr>
    <w: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1828800" cy="1828800"/>
              <wp:effectExtent l="0" t="0" r="0" b="0"/>
              <wp:wrapNone/>
              <wp:docPr id="781"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323</w:t>
                          </w:r>
                          <w:r>
                            <w:rPr>
                              <w:szCs w:val="21"/>
                            </w:rPr>
                            <w:fldChar w:fldCharType="end"/>
                          </w:r>
                          <w:r>
                            <w:rPr>
                              <w:szCs w:val="21"/>
                            </w:rPr>
                            <w:t>页</w:t>
                          </w:r>
                        </w:p>
                      </w:txbxContent>
                    </wps:txbx>
                    <wps:bodyPr wrap="none" lIns="0" tIns="0" rIns="0" bIns="0" upright="1">
                      <a:spAutoFit/>
                    </wps:bodyPr>
                  </wps:wsp>
                </a:graphicData>
              </a:graphic>
            </wp:anchor>
          </w:drawing>
        </mc:Choice>
        <mc:Fallback>
          <w:pict>
            <v:shape id="文本框 157" o:spid="_x0000_s1026" o:spt="202" type="#_x0000_t202" style="position:absolute;left:0pt;margin-top:0pt;height:144pt;width:144pt;mso-position-horizontal:lef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0lY7tAAAAAFAQAADwAAAAAAAAABACAAAAAiAAAAZHJzL2Rvd25yZXYueG1sUEsBAhQAFAAAAAgA&#10;h07iQCxCal67AQAAWAMAAA4AAAAAAAAAAQAgAAAAHwEAAGRycy9lMm9Eb2MueG1sUEsFBgAAAAAG&#10;AAYAWQEAAEwFAAAAAA==&#10;">
              <v:fill on="f" focussize="0,0"/>
              <v:stroke on="f" weight="0.5pt"/>
              <v:imagedata o:title=""/>
              <o:lock v:ext="edit" aspectratio="f"/>
              <v:textbox inset="0mm,0mm,0mm,0mm" style="mso-fit-shape-to-text:t;">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323</w:t>
                    </w:r>
                    <w:r>
                      <w:rPr>
                        <w:szCs w:val="21"/>
                      </w:rPr>
                      <w:fldChar w:fldCharType="end"/>
                    </w:r>
                    <w:r>
                      <w:rPr>
                        <w:szCs w:val="21"/>
                      </w:rP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Calibri" w:hAnsi="Calibri"/>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8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174</w:t>
                          </w:r>
                          <w:r>
                            <w:rPr>
                              <w:szCs w:val="21"/>
                            </w:rPr>
                            <w:fldChar w:fldCharType="end"/>
                          </w:r>
                          <w:r>
                            <w:rPr>
                              <w:szCs w:val="21"/>
                            </w:rPr>
                            <w:t>页</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6p&#10;ebnPAAAABQEAAA8AAAAAAAAAAQAgAAAAIgAAAGRycy9kb3ducmV2LnhtbFBLAQIUABQAAAAIAIdO&#10;4kDfuRADugEAAFYDAAAOAAAAAAAAAAEAIAAAAB4BAABkcnMvZTJvRG9jLnhtbFBLBQYAAAAABgAG&#10;AFkBAABKBQAAAAA=&#10;">
              <v:fill on="f" focussize="0,0"/>
              <v:stroke on="f"/>
              <v:imagedata o:title=""/>
              <o:lock v:ext="edit" aspectratio="f"/>
              <v:textbox inset="0mm,0mm,0mm,0mm" style="mso-fit-shape-to-text:t;">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174</w:t>
                    </w:r>
                    <w:r>
                      <w:rPr>
                        <w:szCs w:val="21"/>
                      </w:rPr>
                      <w:fldChar w:fldCharType="end"/>
                    </w:r>
                    <w:r>
                      <w:rPr>
                        <w:szCs w:val="21"/>
                      </w:rP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ind w:firstLine="360"/>
      <w:rPr>
        <w:rStyle w:val="103"/>
      </w:rPr>
    </w:pPr>
    <w:r>
      <w:rPr>
        <w:rStyle w:val="103"/>
      </w:rPr>
      <w:fldChar w:fldCharType="begin"/>
    </w:r>
    <w:r>
      <w:rPr>
        <w:rStyle w:val="103"/>
      </w:rPr>
      <w:instrText xml:space="preserve">PAGE  </w:instrText>
    </w:r>
    <w:r>
      <w:rPr>
        <w:rStyle w:val="103"/>
      </w:rPr>
      <w:fldChar w:fldCharType="end"/>
    </w:r>
  </w:p>
  <w:p>
    <w:pPr>
      <w:pStyle w:val="5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w:rPr>
        <w:rFonts w:hint="eastAsia" w:ascii="楷体" w:hAnsi="楷体" w:eastAsia="楷体"/>
        <w:szCs w:val="21"/>
        <w:lang w:eastAsia="zh-CN"/>
      </w:rPr>
      <w:t>贵州博远环咨科技有限公司</w:t>
    </w:r>
    <w:r>
      <mc:AlternateContent>
        <mc:Choice Requires="wpg">
          <w:drawing>
            <wp:anchor distT="0" distB="0" distL="114300" distR="114300" simplePos="0" relativeHeight="2528646144" behindDoc="1" locked="0" layoutInCell="1" allowOverlap="1">
              <wp:simplePos x="0" y="0"/>
              <wp:positionH relativeFrom="page">
                <wp:posOffset>6489700</wp:posOffset>
              </wp:positionH>
              <wp:positionV relativeFrom="page">
                <wp:posOffset>9815195</wp:posOffset>
              </wp:positionV>
              <wp:extent cx="134620" cy="1270"/>
              <wp:effectExtent l="0" t="0" r="0" b="0"/>
              <wp:wrapNone/>
              <wp:docPr id="778" name="组合 778"/>
              <wp:cNvGraphicFramePr/>
              <a:graphic xmlns:a="http://schemas.openxmlformats.org/drawingml/2006/main">
                <a:graphicData uri="http://schemas.microsoft.com/office/word/2010/wordprocessingGroup">
                  <wpg:wgp>
                    <wpg:cNvGrpSpPr/>
                    <wpg:grpSpPr>
                      <a:xfrm>
                        <a:off x="0" y="0"/>
                        <a:ext cx="134620" cy="1270"/>
                        <a:chOff x="10221" y="15457"/>
                        <a:chExt cx="212" cy="2"/>
                      </a:xfrm>
                    </wpg:grpSpPr>
                    <wps:wsp>
                      <wps:cNvPr id="777" name="任意多边形 777"/>
                      <wps:cNvSpPr/>
                      <wps:spPr>
                        <a:xfrm>
                          <a:off x="10221" y="15457"/>
                          <a:ext cx="212" cy="2"/>
                        </a:xfrm>
                        <a:custGeom>
                          <a:avLst/>
                          <a:gdLst/>
                          <a:ahLst/>
                          <a:cxnLst/>
                          <a:pathLst>
                            <a:path w="212">
                              <a:moveTo>
                                <a:pt x="0" y="0"/>
                              </a:moveTo>
                              <a:lnTo>
                                <a:pt x="212" y="0"/>
                              </a:lnTo>
                            </a:path>
                          </a:pathLst>
                        </a:custGeom>
                        <a:noFill/>
                        <a:ln w="10414"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511pt;margin-top:772.85pt;height:0.1pt;width:10.6pt;mso-position-horizontal-relative:page;mso-position-vertical-relative:page;z-index:2025329664;mso-width-relative:page;mso-height-relative:page;" coordorigin="10221,15457" coordsize="212,2" o:gfxdata="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hetyR3AAAAA8BAAAPAAAAAAAAAAEAIAAAACIA&#10;AABkcnMvZG93bnJldi54bWxQSwECFAAUAAAACACHTuJA2rpZVHcCAABqBQAADgAAAAAAAAABACAA&#10;AAArAQAAZHJzL2Uyb0RvYy54bWxQSwUGAAAAAAYABgBZAQAAFAYAAAAA&#10;">
              <o:lock v:ext="edit" aspectratio="f"/>
              <v:shape id="_x0000_s1026" o:spid="_x0000_s1026" o:spt="100" style="position:absolute;left:10221;top:15457;height:2;width:212;" filled="f" stroked="t" coordsize="212,1" o:gfxdata="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OST9&#10;wAAAANwAAAAPAAAAAAAAAAEAIAAAACIAAABkcnMvZG93bnJldi54bWxQSwECFAAUAAAACACHTuJA&#10;My8FnjsAAAA5AAAAEAAAAAAAAAABACAAAAAPAQAAZHJzL3NoYXBleG1sLnhtbFBLBQYAAAAABgAG&#10;AFsBAAC5AwAAAAA=&#10;" path="m0,0l212,0e">
                <v:fill on="f" focussize="0,0"/>
                <v:stroke weight="0.82pt" color="#000000" joinstyle="round"/>
                <v:imagedata o:title=""/>
                <o:lock v:ext="edit" aspectratio="f"/>
              </v:shape>
            </v:group>
          </w:pict>
        </mc:Fallback>
      </mc:AlternateContent>
    </w:r>
    <w:r>
      <mc:AlternateContent>
        <mc:Choice Requires="wps">
          <w:drawing>
            <wp:anchor distT="0" distB="0" distL="114300" distR="114300" simplePos="0" relativeHeight="2528646144" behindDoc="1" locked="0" layoutInCell="1" allowOverlap="1">
              <wp:simplePos x="0" y="0"/>
              <wp:positionH relativeFrom="page">
                <wp:posOffset>6464935</wp:posOffset>
              </wp:positionH>
              <wp:positionV relativeFrom="page">
                <wp:posOffset>9847580</wp:posOffset>
              </wp:positionV>
              <wp:extent cx="184785" cy="158115"/>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184785" cy="158115"/>
                      </a:xfrm>
                      <a:prstGeom prst="rect">
                        <a:avLst/>
                      </a:prstGeom>
                      <a:noFill/>
                      <a:ln>
                        <a:noFill/>
                      </a:ln>
                    </wps:spPr>
                    <wps:txbx>
                      <w:txbxContent>
                        <w:p>
                          <w:pPr>
                            <w:spacing w:before="0" w:line="233" w:lineRule="exact"/>
                            <w:ind w:left="40" w:right="0" w:firstLine="0"/>
                            <w:jc w:val="left"/>
                            <w:rPr>
                              <w:rFonts w:ascii="Calibri" w:hAnsi="Calibri" w:eastAsia="Calibri" w:cs="Calibri"/>
                              <w:sz w:val="21"/>
                              <w:szCs w:val="21"/>
                            </w:rPr>
                          </w:pPr>
                          <w:r>
                            <w:fldChar w:fldCharType="begin"/>
                          </w:r>
                          <w:r>
                            <w:rPr>
                              <w:rFonts w:ascii="Calibri"/>
                              <w:sz w:val="21"/>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509.05pt;margin-top:775.4pt;height:12.45pt;width:14.55pt;mso-position-horizontal-relative:page;mso-position-vertical-relative:page;z-index:2025329664;mso-width-relative:page;mso-height-relative:page;" filled="f" stroked="f" coordsize="21600,21600" o:gfxdata="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tSQJH2wAAAA8BAAAPAAAA&#10;AAAAAAEAIAAAACIAAABkcnMvZG93bnJldi54bWxQSwECFAAUAAAACACHTuJAN/i0g6ABAAAnAwAA&#10;DgAAAAAAAAABACAAAAAqAQAAZHJzL2Uyb0RvYy54bWxQSwUGAAAAAAYABgBZAQAAPAUAAAAA&#10;">
              <v:fill on="f" focussize="0,0"/>
              <v:stroke on="f"/>
              <v:imagedata o:title=""/>
              <o:lock v:ext="edit" aspectratio="f"/>
              <v:textbox inset="0mm,0mm,0mm,0mm">
                <w:txbxContent>
                  <w:p>
                    <w:pPr>
                      <w:spacing w:before="0" w:line="233" w:lineRule="exact"/>
                      <w:ind w:left="40" w:right="0" w:firstLine="0"/>
                      <w:jc w:val="left"/>
                      <w:rPr>
                        <w:rFonts w:ascii="Calibri" w:hAnsi="Calibri" w:eastAsia="Calibri" w:cs="Calibri"/>
                        <w:sz w:val="21"/>
                        <w:szCs w:val="21"/>
                      </w:rPr>
                    </w:pPr>
                    <w:r>
                      <w:fldChar w:fldCharType="begin"/>
                    </w:r>
                    <w:r>
                      <w:rPr>
                        <w:rFonts w:ascii="Calibri"/>
                        <w:sz w:val="21"/>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framePr w:wrap="around" w:vAnchor="text" w:hAnchor="margin" w:xAlign="center" w:y="1"/>
      <w:ind w:firstLine="360"/>
      <w:rPr>
        <w:rStyle w:val="103"/>
      </w:rPr>
    </w:pPr>
    <w:r>
      <w:rPr>
        <w:rStyle w:val="103"/>
      </w:rPr>
      <w:fldChar w:fldCharType="begin"/>
    </w:r>
    <w:r>
      <w:rPr>
        <w:rStyle w:val="103"/>
      </w:rPr>
      <w:instrText xml:space="preserve">PAGE  </w:instrText>
    </w:r>
    <w:r>
      <w:rPr>
        <w:rStyle w:val="103"/>
      </w:rPr>
      <w:fldChar w:fldCharType="end"/>
    </w:r>
  </w:p>
  <w:p>
    <w:pPr>
      <w:pStyle w:val="5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rPr>
        <w:rFonts w:ascii="Calibri" w:hAnsi="Calibri"/>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1828800" cy="1828800"/>
              <wp:effectExtent l="0" t="0" r="0" b="0"/>
              <wp:wrapNone/>
              <wp:docPr id="78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313</w:t>
                          </w:r>
                          <w:r>
                            <w:rPr>
                              <w:szCs w:val="21"/>
                            </w:rPr>
                            <w:fldChar w:fldCharType="end"/>
                          </w:r>
                          <w:r>
                            <w:rPr>
                              <w:szCs w:val="21"/>
                            </w:rPr>
                            <w:t>页</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lef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ql5&#10;uc8AAAAFAQAADwAAAAAAAAABACAAAAAiAAAAZHJzL2Rvd25yZXYueG1sUEsBAhQAFAAAAAgAh07i&#10;QNBUo9K5AQAAVgMAAA4AAAAAAAAAAQAgAAAAHgEAAGRycy9lMm9Eb2MueG1sUEsFBgAAAAAGAAYA&#10;WQEAAEkFAAAAAA==&#10;">
              <v:fill on="f" focussize="0,0"/>
              <v:stroke on="f"/>
              <v:imagedata o:title=""/>
              <o:lock v:ext="edit" aspectratio="f"/>
              <v:textbox inset="0mm,0mm,0mm,0mm" style="mso-fit-shape-to-text:t;">
                <w:txbxContent>
                  <w:p>
                    <w:pPr>
                      <w:tabs>
                        <w:tab w:val="center" w:pos="4153"/>
                        <w:tab w:val="right" w:pos="8306"/>
                      </w:tabs>
                      <w:snapToGrid w:val="0"/>
                    </w:pPr>
                    <w:r>
                      <w:rPr>
                        <w:rFonts w:hint="eastAsia" w:ascii="楷体" w:hAnsi="楷体" w:eastAsia="楷体"/>
                        <w:szCs w:val="21"/>
                        <w:lang w:eastAsia="zh-CN"/>
                      </w:rPr>
                      <w:t>贵州博远环咨科技有限公司</w:t>
                    </w:r>
                    <w:r>
                      <w:rPr>
                        <w:rFonts w:hint="eastAsia" w:ascii="Calibri" w:hAnsi="Calibri"/>
                        <w:szCs w:val="21"/>
                      </w:rPr>
                      <w:tab/>
                    </w:r>
                    <w:r>
                      <w:rPr>
                        <w:rFonts w:hint="eastAsia" w:ascii="Calibri" w:hAnsi="Calibri"/>
                        <w:szCs w:val="21"/>
                      </w:rPr>
                      <w:tab/>
                    </w:r>
                    <w:r>
                      <w:rPr>
                        <w:szCs w:val="21"/>
                      </w:rPr>
                      <w:t>第</w:t>
                    </w:r>
                    <w:r>
                      <w:rPr>
                        <w:szCs w:val="21"/>
                      </w:rPr>
                      <w:fldChar w:fldCharType="begin"/>
                    </w:r>
                    <w:r>
                      <w:rPr>
                        <w:szCs w:val="21"/>
                      </w:rPr>
                      <w:instrText xml:space="preserve">PAGE   \* MERGEFORMAT</w:instrText>
                    </w:r>
                    <w:r>
                      <w:rPr>
                        <w:szCs w:val="21"/>
                      </w:rPr>
                      <w:fldChar w:fldCharType="separate"/>
                    </w:r>
                    <w:r>
                      <w:rPr>
                        <w:szCs w:val="21"/>
                        <w:lang w:val="zh-CN"/>
                      </w:rPr>
                      <w:t>313</w:t>
                    </w:r>
                    <w:r>
                      <w:rPr>
                        <w:szCs w:val="21"/>
                      </w:rPr>
                      <w:fldChar w:fldCharType="end"/>
                    </w:r>
                    <w:r>
                      <w:rPr>
                        <w:szCs w:val="21"/>
                      </w:rP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pPr>
    <w:r>
      <w:fldChar w:fldCharType="begin"/>
    </w:r>
    <w:r>
      <w:instrText xml:space="preserve">PAGE  </w:instrTex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rFonts w:hint="eastAsia"/>
        <w:lang w:val="en-US" w:eastAsia="zh-CN"/>
      </w:rPr>
      <w:t>黔西南州义龙新区“中国万屯”肉牛屠宰深加工项目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single" w:color="auto" w:sz="6" w:space="3"/>
      </w:pBdr>
    </w:pPr>
    <w:r>
      <w:rPr>
        <w:rFonts w:hint="eastAsia"/>
        <w:lang w:val="en-US" w:eastAsia="zh-CN"/>
      </w:rPr>
      <w:t>黔西南州义龙新区“中国万屯”肉牛屠宰深加工项目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Bdr>
        <w:bottom w:val="single" w:color="auto" w:sz="6" w:space="3"/>
      </w:pBdr>
    </w:pPr>
    <w:r>
      <w:rPr>
        <w:rFonts w:hint="eastAsia" w:ascii="楷体" w:hAnsi="楷体" w:eastAsia="楷体"/>
        <w:sz w:val="21"/>
        <w:szCs w:val="21"/>
        <w:lang w:eastAsia="zh-CN"/>
      </w:rPr>
      <w:t>赤峰富尊环保科技有限公司</w:t>
    </w:r>
    <w:r>
      <w:rPr>
        <w:rFonts w:hint="eastAsia" w:ascii="楷体" w:hAnsi="楷体" w:eastAsia="楷体"/>
        <w:sz w:val="21"/>
        <w:szCs w:val="21"/>
        <w:lang w:val="en-US" w:eastAsia="zh-CN"/>
      </w:rPr>
      <w:t>20万吨/a固废高值化</w:t>
    </w:r>
    <w:r>
      <w:rPr>
        <w:rFonts w:hint="eastAsia" w:ascii="楷体" w:hAnsi="楷体" w:eastAsia="楷体"/>
        <w:sz w:val="21"/>
        <w:szCs w:val="21"/>
      </w:rPr>
      <w:t>综合利用项目</w:t>
    </w:r>
  </w:p>
  <w:p>
    <w:pPr>
      <w:pStyle w:val="5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2808"/>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1799"/>
      <w:lvlText w:val="%1."/>
      <w:lvlJc w:val="left"/>
      <w:pPr>
        <w:tabs>
          <w:tab w:val="left" w:pos="360"/>
        </w:tabs>
        <w:ind w:left="360" w:hanging="360" w:hangingChars="200"/>
      </w:pPr>
    </w:lvl>
  </w:abstractNum>
  <w:abstractNum w:abstractNumId="2">
    <w:nsid w:val="02A6521C"/>
    <w:multiLevelType w:val="multilevel"/>
    <w:tmpl w:val="02A6521C"/>
    <w:lvl w:ilvl="0" w:tentative="0">
      <w:start w:val="1"/>
      <w:numFmt w:val="decimal"/>
      <w:pStyle w:val="1359"/>
      <w:lvlText w:val="%1、"/>
      <w:lvlJc w:val="left"/>
      <w:pPr>
        <w:tabs>
          <w:tab w:val="left" w:pos="1287"/>
        </w:tabs>
        <w:ind w:left="0" w:firstLine="56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CA4294C"/>
    <w:multiLevelType w:val="multilevel"/>
    <w:tmpl w:val="0CA4294C"/>
    <w:lvl w:ilvl="0" w:tentative="0">
      <w:start w:val="1"/>
      <w:numFmt w:val="decimalEnclosedCircle"/>
      <w:pStyle w:val="2861"/>
      <w:lvlText w:val="%1"/>
      <w:lvlJc w:val="left"/>
      <w:pPr>
        <w:tabs>
          <w:tab w:val="left" w:pos="737"/>
        </w:tabs>
        <w:ind w:left="737" w:hanging="567"/>
      </w:pPr>
      <w:rPr>
        <w:rFonts w:ascii="Arial" w:hAnsi="Arial" w:eastAsia="宋体" w:cs="宋体"/>
        <w:b w:val="0"/>
        <w:bCs w:val="0"/>
        <w:i w:val="0"/>
        <w:iCs w:val="0"/>
        <w:caps w:val="0"/>
        <w:smallCaps w:val="0"/>
        <w:strike w:val="0"/>
        <w:dstrike w:val="0"/>
        <w:color w:val="000000"/>
        <w:spacing w:val="0"/>
        <w:w w:val="100"/>
        <w:kern w:val="2"/>
        <w:position w:val="0"/>
        <w:sz w:val="24"/>
        <w:u w:val="none"/>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EAC2138"/>
    <w:multiLevelType w:val="multilevel"/>
    <w:tmpl w:val="0EAC2138"/>
    <w:lvl w:ilvl="0" w:tentative="0">
      <w:start w:val="1"/>
      <w:numFmt w:val="bullet"/>
      <w:pStyle w:val="1353"/>
      <w:lvlText w:val=""/>
      <w:lvlJc w:val="left"/>
      <w:pPr>
        <w:tabs>
          <w:tab w:val="left" w:pos="1701"/>
        </w:tabs>
        <w:ind w:left="0" w:firstLine="1134"/>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18EB23C4"/>
    <w:multiLevelType w:val="multilevel"/>
    <w:tmpl w:val="18EB23C4"/>
    <w:lvl w:ilvl="0" w:tentative="0">
      <w:start w:val="1"/>
      <w:numFmt w:val="decimal"/>
      <w:pStyle w:val="833"/>
      <w:lvlText w:val="%1."/>
      <w:lvlJc w:val="left"/>
      <w:pPr>
        <w:tabs>
          <w:tab w:val="left" w:pos="1577"/>
        </w:tabs>
        <w:ind w:left="1577" w:hanging="737"/>
      </w:pPr>
      <w:rPr>
        <w:rFonts w:hint="default"/>
      </w:rPr>
    </w:lvl>
    <w:lvl w:ilvl="1" w:tentative="0">
      <w:start w:val="3"/>
      <w:numFmt w:val="decimal"/>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C6631F5"/>
    <w:multiLevelType w:val="multilevel"/>
    <w:tmpl w:val="1C6631F5"/>
    <w:lvl w:ilvl="0" w:tentative="0">
      <w:start w:val="1"/>
      <w:numFmt w:val="chineseCountingThousand"/>
      <w:suff w:val="space"/>
      <w:lvlText w:val="第%1章  "/>
      <w:lvlJc w:val="center"/>
      <w:pPr>
        <w:ind w:left="0" w:firstLine="0"/>
      </w:pPr>
      <w:rPr>
        <w:rFonts w:hint="eastAsia" w:ascii="黑体" w:hAnsi="Times New Roman" w:eastAsia="宋体"/>
        <w:b/>
        <w:i w:val="0"/>
        <w:spacing w:val="-20"/>
        <w:sz w:val="32"/>
      </w:rPr>
    </w:lvl>
    <w:lvl w:ilvl="1" w:tentative="0">
      <w:start w:val="1"/>
      <w:numFmt w:val="decimal"/>
      <w:suff w:val="space"/>
      <w:lvlText w:val="第%2条"/>
      <w:lvlJc w:val="left"/>
      <w:pPr>
        <w:ind w:left="0" w:firstLine="454"/>
      </w:pPr>
      <w:rPr>
        <w:rFonts w:hint="eastAsia" w:ascii="黑体" w:hAnsi="Times New Roman" w:eastAsia="黑体"/>
        <w:b/>
        <w:i w:val="0"/>
        <w:sz w:val="24"/>
      </w:rPr>
    </w:lvl>
    <w:lvl w:ilvl="2" w:tentative="0">
      <w:start w:val="1"/>
      <w:numFmt w:val="decimal"/>
      <w:suff w:val="space"/>
      <w:lvlText w:val="第%3条 "/>
      <w:lvlJc w:val="left"/>
      <w:pPr>
        <w:ind w:left="0" w:firstLine="454"/>
      </w:pPr>
      <w:rPr>
        <w:rFonts w:hint="eastAsia" w:ascii="黑体" w:hAnsi="Times New Roman" w:eastAsia="黑体"/>
        <w:b/>
        <w:i w:val="0"/>
        <w:sz w:val="24"/>
      </w:rPr>
    </w:lvl>
    <w:lvl w:ilvl="3" w:tentative="0">
      <w:start w:val="1"/>
      <w:numFmt w:val="decimal"/>
      <w:suff w:val="space"/>
      <w:lvlText w:val="%4、"/>
      <w:lvlJc w:val="left"/>
      <w:pPr>
        <w:ind w:left="0" w:firstLine="454"/>
      </w:pPr>
    </w:lvl>
    <w:lvl w:ilvl="4" w:tentative="0">
      <w:start w:val="1"/>
      <w:numFmt w:val="decimal"/>
      <w:pStyle w:val="2806"/>
      <w:suff w:val="space"/>
      <w:lvlText w:val="第%5条  "/>
      <w:lvlJc w:val="left"/>
      <w:pPr>
        <w:ind w:left="0" w:firstLine="454"/>
      </w:pPr>
      <w:rPr>
        <w:rFonts w:hint="eastAsia" w:ascii="黑体" w:hAnsi="Times New Roman" w:eastAsia="黑体"/>
        <w:b/>
        <w:i w:val="0"/>
        <w:sz w:val="24"/>
      </w:rPr>
    </w:lvl>
    <w:lvl w:ilvl="5" w:tentative="0">
      <w:start w:val="1"/>
      <w:numFmt w:val="none"/>
      <w:suff w:val="nothing"/>
      <w:lvlText w:val=""/>
      <w:lvlJc w:val="left"/>
      <w:pPr>
        <w:ind w:left="800" w:firstLine="0"/>
      </w:pPr>
    </w:lvl>
    <w:lvl w:ilvl="6" w:tentative="0">
      <w:start w:val="1"/>
      <w:numFmt w:val="none"/>
      <w:suff w:val="nothing"/>
      <w:lvlText w:val=""/>
      <w:lvlJc w:val="left"/>
      <w:pPr>
        <w:ind w:left="800" w:firstLine="0"/>
      </w:pPr>
    </w:lvl>
    <w:lvl w:ilvl="7" w:tentative="0">
      <w:start w:val="1"/>
      <w:numFmt w:val="none"/>
      <w:suff w:val="nothing"/>
      <w:lvlText w:val=""/>
      <w:lvlJc w:val="left"/>
      <w:pPr>
        <w:ind w:left="800" w:firstLine="0"/>
      </w:pPr>
    </w:lvl>
    <w:lvl w:ilvl="8" w:tentative="0">
      <w:start w:val="1"/>
      <w:numFmt w:val="none"/>
      <w:suff w:val="nothing"/>
      <w:lvlText w:val=""/>
      <w:lvlJc w:val="left"/>
      <w:pPr>
        <w:ind w:left="800" w:firstLine="0"/>
      </w:pPr>
    </w:lvl>
  </w:abstractNum>
  <w:abstractNum w:abstractNumId="7">
    <w:nsid w:val="226D5B92"/>
    <w:multiLevelType w:val="multilevel"/>
    <w:tmpl w:val="226D5B92"/>
    <w:lvl w:ilvl="0" w:tentative="0">
      <w:start w:val="1"/>
      <w:numFmt w:val="chineseCountingThousand"/>
      <w:suff w:val="nothing"/>
      <w:lvlText w:val="第%1章"/>
      <w:lvlJc w:val="left"/>
      <w:pPr>
        <w:ind w:left="0" w:firstLine="0"/>
      </w:pPr>
    </w:lvl>
    <w:lvl w:ilvl="1" w:tentative="0">
      <w:start w:val="1"/>
      <w:numFmt w:val="none"/>
      <w:pStyle w:val="2995"/>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8">
    <w:nsid w:val="23872D3D"/>
    <w:multiLevelType w:val="multilevel"/>
    <w:tmpl w:val="23872D3D"/>
    <w:lvl w:ilvl="0" w:tentative="0">
      <w:start w:val="1"/>
      <w:numFmt w:val="decimal"/>
      <w:pStyle w:val="482"/>
      <w:lvlText w:val="第%1条"/>
      <w:lvlJc w:val="left"/>
      <w:pPr>
        <w:ind w:left="562" w:hanging="420"/>
      </w:pPr>
      <w:rPr>
        <w:rFonts w:hint="eastAsia"/>
      </w:rPr>
    </w:lvl>
    <w:lvl w:ilvl="1" w:tentative="0">
      <w:start w:val="1"/>
      <w:numFmt w:val="lowerLetter"/>
      <w:lvlText w:val="%2)"/>
      <w:lvlJc w:val="left"/>
      <w:pPr>
        <w:ind w:left="840" w:hanging="420"/>
      </w:pPr>
    </w:lvl>
    <w:lvl w:ilvl="2" w:tentative="0">
      <w:start w:val="1"/>
      <w:numFmt w:val="japaneseCounting"/>
      <w:lvlText w:val="（%3）"/>
      <w:lvlJc w:val="left"/>
      <w:pPr>
        <w:tabs>
          <w:tab w:val="left" w:pos="1560"/>
        </w:tabs>
        <w:ind w:left="1560" w:hanging="720"/>
      </w:pPr>
      <w:rPr>
        <w:rFonts w:hint="default"/>
      </w:rPr>
    </w:lvl>
    <w:lvl w:ilvl="3" w:tentative="0">
      <w:start w:val="4"/>
      <w:numFmt w:val="bullet"/>
      <w:lvlText w:val="﷐"/>
      <w:lvlJc w:val="left"/>
      <w:pPr>
        <w:ind w:left="1620" w:hanging="360"/>
      </w:pPr>
      <w:rPr>
        <w:rFonts w:hint="default" w:ascii="Times New Roman" w:hAnsi="Times New Roman" w:eastAsia="宋体" w:cs="Times New Roman"/>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88C4FC5"/>
    <w:multiLevelType w:val="multilevel"/>
    <w:tmpl w:val="288C4FC5"/>
    <w:lvl w:ilvl="0" w:tentative="0">
      <w:start w:val="1"/>
      <w:numFmt w:val="decimal"/>
      <w:pStyle w:val="2931"/>
      <w:lvlText w:val="表10－%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AD26B66"/>
    <w:multiLevelType w:val="multilevel"/>
    <w:tmpl w:val="2AD26B66"/>
    <w:lvl w:ilvl="0" w:tentative="0">
      <w:start w:val="1"/>
      <w:numFmt w:val="decimalEnclosedCircle"/>
      <w:lvlText w:val="%1"/>
      <w:lvlJc w:val="left"/>
      <w:pPr>
        <w:tabs>
          <w:tab w:val="left" w:pos="558"/>
        </w:tabs>
        <w:ind w:left="558" w:hanging="432"/>
      </w:pPr>
      <w:rPr>
        <w:rFonts w:hint="eastAsia" w:ascii="仿宋_GB2312" w:eastAsia="仿宋_GB2312"/>
        <w:b w:val="0"/>
        <w:i w:val="0"/>
        <w:sz w:val="32"/>
        <w:szCs w:val="32"/>
      </w:rPr>
    </w:lvl>
    <w:lvl w:ilvl="1" w:tentative="0">
      <w:start w:val="1"/>
      <w:numFmt w:val="decimal"/>
      <w:lvlText w:val="%1.%2"/>
      <w:lvlJc w:val="left"/>
      <w:pPr>
        <w:tabs>
          <w:tab w:val="left" w:pos="606"/>
        </w:tabs>
        <w:ind w:left="606" w:hanging="576"/>
      </w:pPr>
      <w:rPr>
        <w:rFonts w:hint="eastAsia" w:ascii="仿宋_GB2312" w:eastAsia="仿宋_GB2312"/>
        <w:b/>
        <w:i w:val="0"/>
        <w:sz w:val="30"/>
      </w:rPr>
    </w:lvl>
    <w:lvl w:ilvl="2" w:tentative="0">
      <w:start w:val="1"/>
      <w:numFmt w:val="decimal"/>
      <w:lvlRestart w:val="0"/>
      <w:pStyle w:val="1272"/>
      <w:isLgl/>
      <w:lvlText w:val="%1.%2.%3"/>
      <w:lvlJc w:val="left"/>
      <w:pPr>
        <w:tabs>
          <w:tab w:val="left" w:pos="720"/>
        </w:tabs>
        <w:ind w:left="720" w:hanging="720"/>
      </w:pPr>
      <w:rPr>
        <w:rFonts w:hint="eastAsia"/>
      </w:rPr>
    </w:lvl>
    <w:lvl w:ilvl="3" w:tentative="0">
      <w:start w:val="1"/>
      <w:numFmt w:val="decimal"/>
      <w:lvlText w:val="%1.%2.%3.%4"/>
      <w:lvlJc w:val="left"/>
      <w:pPr>
        <w:tabs>
          <w:tab w:val="left" w:pos="1080"/>
        </w:tabs>
        <w:ind w:left="864" w:hanging="864"/>
      </w:pPr>
      <w:rPr>
        <w:rFonts w:hint="eastAsia" w:ascii="仿宋_GB2312" w:eastAsia="仿宋_GB2312"/>
        <w:b w:val="0"/>
        <w:i w:val="0"/>
        <w:sz w:val="28"/>
      </w:rPr>
    </w:lvl>
    <w:lvl w:ilvl="4" w:tentative="0">
      <w:start w:val="1"/>
      <w:numFmt w:val="decimalEnclosedCircle"/>
      <w:lvlText w:val="%1.%2.%3.%4.%5"/>
      <w:lvlJc w:val="left"/>
      <w:pPr>
        <w:tabs>
          <w:tab w:val="left" w:pos="1008"/>
        </w:tabs>
        <w:ind w:left="1008" w:hanging="1008"/>
      </w:pPr>
      <w:rPr>
        <w:rFonts w:hint="eastAsia" w:ascii="仿宋_GB2312" w:eastAsia="仿宋_GB2312"/>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1">
    <w:nsid w:val="2FE069B7"/>
    <w:multiLevelType w:val="multilevel"/>
    <w:tmpl w:val="2FE069B7"/>
    <w:lvl w:ilvl="0" w:tentative="0">
      <w:start w:val="1"/>
      <w:numFmt w:val="decimal"/>
      <w:pStyle w:val="4"/>
      <w:lvlText w:val="%1"/>
      <w:lvlJc w:val="left"/>
      <w:pPr>
        <w:ind w:left="432" w:hanging="432"/>
      </w:pPr>
      <w:rPr>
        <w:rFonts w:hint="eastAsia"/>
      </w:rPr>
    </w:lvl>
    <w:lvl w:ilvl="1" w:tentative="0">
      <w:start w:val="1"/>
      <w:numFmt w:val="decimal"/>
      <w:pStyle w:val="5"/>
      <w:lvlText w:val="%1.%2"/>
      <w:lvlJc w:val="left"/>
      <w:pPr>
        <w:ind w:left="576" w:hanging="576"/>
      </w:pPr>
      <w:rPr>
        <w:rFonts w:hint="eastAsia"/>
      </w:rPr>
    </w:lvl>
    <w:lvl w:ilvl="2" w:tentative="0">
      <w:start w:val="1"/>
      <w:numFmt w:val="decimal"/>
      <w:pStyle w:val="6"/>
      <w:lvlText w:val="%1.%2.%3"/>
      <w:lvlJc w:val="left"/>
      <w:pPr>
        <w:ind w:left="720" w:hanging="720"/>
      </w:pPr>
      <w:rPr>
        <w:rFonts w:hint="eastAsia"/>
      </w:rPr>
    </w:lvl>
    <w:lvl w:ilvl="3" w:tentative="0">
      <w:start w:val="1"/>
      <w:numFmt w:val="decimal"/>
      <w:pStyle w:val="7"/>
      <w:lvlText w:val="%1.%2.%3.%4"/>
      <w:lvlJc w:val="left"/>
      <w:pPr>
        <w:ind w:left="1573" w:hanging="864"/>
      </w:pPr>
      <w:rPr>
        <w:rFonts w:hint="eastAsia"/>
      </w:rPr>
    </w:lvl>
    <w:lvl w:ilvl="4" w:tentative="0">
      <w:start w:val="1"/>
      <w:numFmt w:val="decimal"/>
      <w:pStyle w:val="8"/>
      <w:lvlText w:val="%1.%2.%3.%4.%5"/>
      <w:lvlJc w:val="left"/>
      <w:pPr>
        <w:ind w:left="1008" w:hanging="1008"/>
      </w:pPr>
      <w:rPr>
        <w:rFonts w:hint="eastAsia"/>
      </w:rPr>
    </w:lvl>
    <w:lvl w:ilvl="5" w:tentative="0">
      <w:start w:val="1"/>
      <w:numFmt w:val="decimal"/>
      <w:pStyle w:val="9"/>
      <w:lvlText w:val="%1.%2.%3.%4.%5.%6"/>
      <w:lvlJc w:val="left"/>
      <w:pPr>
        <w:ind w:left="1152" w:hanging="1152"/>
      </w:pPr>
      <w:rPr>
        <w:rFonts w:hint="eastAsia"/>
      </w:rPr>
    </w:lvl>
    <w:lvl w:ilvl="6" w:tentative="0">
      <w:start w:val="1"/>
      <w:numFmt w:val="decimal"/>
      <w:pStyle w:val="10"/>
      <w:lvlText w:val="%1.%2.%3.%4.%5.%6.%7"/>
      <w:lvlJc w:val="left"/>
      <w:pPr>
        <w:ind w:left="1296" w:hanging="1296"/>
      </w:pPr>
      <w:rPr>
        <w:rFonts w:hint="eastAsia"/>
      </w:rPr>
    </w:lvl>
    <w:lvl w:ilvl="7" w:tentative="0">
      <w:start w:val="1"/>
      <w:numFmt w:val="decimal"/>
      <w:pStyle w:val="11"/>
      <w:lvlText w:val="%1.%2.%3.%4.%5.%6.%7.%8"/>
      <w:lvlJc w:val="left"/>
      <w:pPr>
        <w:ind w:left="1440" w:hanging="1440"/>
      </w:pPr>
      <w:rPr>
        <w:rFonts w:hint="eastAsia"/>
      </w:rPr>
    </w:lvl>
    <w:lvl w:ilvl="8" w:tentative="0">
      <w:start w:val="1"/>
      <w:numFmt w:val="decimal"/>
      <w:pStyle w:val="12"/>
      <w:lvlText w:val="%1.%2.%3.%4.%5.%6.%7.%8.%9"/>
      <w:lvlJc w:val="left"/>
      <w:pPr>
        <w:ind w:left="1584" w:hanging="1584"/>
      </w:pPr>
      <w:rPr>
        <w:rFonts w:hint="eastAsia"/>
      </w:rPr>
    </w:lvl>
  </w:abstractNum>
  <w:abstractNum w:abstractNumId="12">
    <w:nsid w:val="346538FD"/>
    <w:multiLevelType w:val="multilevel"/>
    <w:tmpl w:val="346538FD"/>
    <w:lvl w:ilvl="0" w:tentative="0">
      <w:start w:val="1"/>
      <w:numFmt w:val="bullet"/>
      <w:pStyle w:val="683"/>
      <w:lvlText w:val=""/>
      <w:lvlJc w:val="left"/>
      <w:pPr>
        <w:tabs>
          <w:tab w:val="left" w:pos="900"/>
        </w:tabs>
        <w:ind w:left="0" w:firstLine="48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3A114B99"/>
    <w:multiLevelType w:val="multilevel"/>
    <w:tmpl w:val="3A114B99"/>
    <w:lvl w:ilvl="0" w:tentative="0">
      <w:start w:val="2"/>
      <w:numFmt w:val="japaneseCounting"/>
      <w:lvlText w:val="第%1节"/>
      <w:lvlJc w:val="left"/>
      <w:pPr>
        <w:tabs>
          <w:tab w:val="left" w:pos="1130"/>
        </w:tabs>
        <w:ind w:left="1130" w:hanging="1140"/>
      </w:pPr>
      <w:rPr>
        <w:rFonts w:hint="default"/>
      </w:rPr>
    </w:lvl>
    <w:lvl w:ilvl="1" w:tentative="0">
      <w:start w:val="1"/>
      <w:numFmt w:val="japaneseCounting"/>
      <w:lvlText w:val="（%2）"/>
      <w:lvlJc w:val="left"/>
      <w:pPr>
        <w:tabs>
          <w:tab w:val="left" w:pos="1265"/>
        </w:tabs>
        <w:ind w:left="1265" w:hanging="855"/>
      </w:pPr>
      <w:rPr>
        <w:rFonts w:hint="default" w:eastAsia="宋体"/>
        <w:b w:val="0"/>
        <w:sz w:val="28"/>
        <w:lang w:val="en-US"/>
      </w:rPr>
    </w:lvl>
    <w:lvl w:ilvl="2" w:tentative="0">
      <w:start w:val="1"/>
      <w:numFmt w:val="decimal"/>
      <w:lvlText w:val="%3、"/>
      <w:lvlJc w:val="left"/>
      <w:pPr>
        <w:tabs>
          <w:tab w:val="left" w:pos="1550"/>
        </w:tabs>
        <w:ind w:left="1550" w:hanging="720"/>
      </w:pPr>
      <w:rPr>
        <w:rFonts w:hint="default"/>
      </w:rPr>
    </w:lvl>
    <w:lvl w:ilvl="3" w:tentative="0">
      <w:start w:val="1"/>
      <w:numFmt w:val="decimal"/>
      <w:lvlText w:val="%4."/>
      <w:lvlJc w:val="left"/>
      <w:pPr>
        <w:tabs>
          <w:tab w:val="left" w:pos="1670"/>
        </w:tabs>
        <w:ind w:left="1670" w:hanging="420"/>
      </w:pPr>
    </w:lvl>
    <w:lvl w:ilvl="4" w:tentative="0">
      <w:start w:val="1"/>
      <w:numFmt w:val="lowerLetter"/>
      <w:lvlText w:val="%5)"/>
      <w:lvlJc w:val="left"/>
      <w:pPr>
        <w:tabs>
          <w:tab w:val="left" w:pos="2090"/>
        </w:tabs>
        <w:ind w:left="2090" w:hanging="420"/>
      </w:pPr>
    </w:lvl>
    <w:lvl w:ilvl="5" w:tentative="0">
      <w:start w:val="1"/>
      <w:numFmt w:val="lowerRoman"/>
      <w:lvlText w:val="%6."/>
      <w:lvlJc w:val="right"/>
      <w:pPr>
        <w:tabs>
          <w:tab w:val="left" w:pos="2510"/>
        </w:tabs>
        <w:ind w:left="2510" w:hanging="420"/>
      </w:pPr>
    </w:lvl>
    <w:lvl w:ilvl="6" w:tentative="0">
      <w:start w:val="1"/>
      <w:numFmt w:val="decimal"/>
      <w:lvlText w:val="%7."/>
      <w:lvlJc w:val="left"/>
      <w:pPr>
        <w:tabs>
          <w:tab w:val="left" w:pos="2930"/>
        </w:tabs>
        <w:ind w:left="2930" w:hanging="420"/>
      </w:pPr>
    </w:lvl>
    <w:lvl w:ilvl="7" w:tentative="0">
      <w:start w:val="1"/>
      <w:numFmt w:val="lowerLetter"/>
      <w:lvlText w:val="%8)"/>
      <w:lvlJc w:val="left"/>
      <w:pPr>
        <w:tabs>
          <w:tab w:val="left" w:pos="3350"/>
        </w:tabs>
        <w:ind w:left="3350" w:hanging="420"/>
      </w:pPr>
    </w:lvl>
    <w:lvl w:ilvl="8" w:tentative="0">
      <w:start w:val="1"/>
      <w:numFmt w:val="japaneseCounting"/>
      <w:pStyle w:val="1355"/>
      <w:lvlText w:val="（%9）"/>
      <w:lvlJc w:val="left"/>
      <w:pPr>
        <w:tabs>
          <w:tab w:val="left" w:pos="410"/>
        </w:tabs>
        <w:ind w:left="410" w:hanging="420"/>
      </w:pPr>
      <w:rPr>
        <w:rFonts w:hint="default" w:ascii="Garamond" w:hAnsi="Garamond" w:eastAsia="宋体" w:cs="Times New Roman"/>
      </w:rPr>
    </w:lvl>
  </w:abstractNum>
  <w:abstractNum w:abstractNumId="14">
    <w:nsid w:val="3C7D50BD"/>
    <w:multiLevelType w:val="multilevel"/>
    <w:tmpl w:val="3C7D50BD"/>
    <w:lvl w:ilvl="0" w:tentative="0">
      <w:start w:val="1"/>
      <w:numFmt w:val="decimalEnclosedCircle"/>
      <w:pStyle w:val="1803"/>
      <w:lvlText w:val="%1"/>
      <w:lvlJc w:val="left"/>
      <w:pPr>
        <w:tabs>
          <w:tab w:val="left" w:pos="840"/>
        </w:tabs>
        <w:ind w:left="84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3E5A5500"/>
    <w:multiLevelType w:val="multilevel"/>
    <w:tmpl w:val="3E5A5500"/>
    <w:lvl w:ilvl="0" w:tentative="0">
      <w:start w:val="1"/>
      <w:numFmt w:val="decimal"/>
      <w:pStyle w:val="2937"/>
      <w:lvlText w:val="表6－%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41A9432C"/>
    <w:multiLevelType w:val="multilevel"/>
    <w:tmpl w:val="41A9432C"/>
    <w:lvl w:ilvl="0" w:tentative="0">
      <w:start w:val="1"/>
      <w:numFmt w:val="decimal"/>
      <w:pStyle w:val="1349"/>
      <w:lvlText w:val="%1"/>
      <w:lvlJc w:val="left"/>
      <w:pPr>
        <w:tabs>
          <w:tab w:val="left" w:pos="425"/>
        </w:tabs>
        <w:ind w:left="425" w:hanging="425"/>
      </w:pPr>
      <w:rPr>
        <w:color w:val="auto"/>
      </w:rPr>
    </w:lvl>
    <w:lvl w:ilvl="1" w:tentative="0">
      <w:start w:val="1"/>
      <w:numFmt w:val="decimal"/>
      <w:pStyle w:val="1348"/>
      <w:lvlText w:val="%1.%2"/>
      <w:lvlJc w:val="left"/>
      <w:pPr>
        <w:tabs>
          <w:tab w:val="left" w:pos="567"/>
        </w:tabs>
        <w:ind w:left="567" w:hanging="567"/>
      </w:pPr>
    </w:lvl>
    <w:lvl w:ilvl="2" w:tentative="0">
      <w:start w:val="1"/>
      <w:numFmt w:val="decimal"/>
      <w:pStyle w:val="1350"/>
      <w:lvlText w:val="%1.%2.%3"/>
      <w:lvlJc w:val="left"/>
      <w:pPr>
        <w:tabs>
          <w:tab w:val="left" w:pos="1418"/>
        </w:tabs>
        <w:ind w:left="1418" w:hanging="567"/>
      </w:pPr>
      <w:rPr>
        <w:color w:val="auto"/>
      </w:rPr>
    </w:lvl>
    <w:lvl w:ilvl="3" w:tentative="0">
      <w:start w:val="1"/>
      <w:numFmt w:val="decimal"/>
      <w:pStyle w:val="1351"/>
      <w:lvlText w:val="%1.%2.%3.%4"/>
      <w:lvlJc w:val="left"/>
      <w:pPr>
        <w:tabs>
          <w:tab w:val="left" w:pos="1984"/>
        </w:tabs>
        <w:ind w:left="1984" w:hanging="708"/>
      </w:pPr>
      <w:rPr>
        <w:b w:val="0"/>
      </w:r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7">
    <w:nsid w:val="47071C76"/>
    <w:multiLevelType w:val="multilevel"/>
    <w:tmpl w:val="47071C76"/>
    <w:lvl w:ilvl="0" w:tentative="0">
      <w:start w:val="1"/>
      <w:numFmt w:val="decimal"/>
      <w:lvlText w:val="%1"/>
      <w:lvlJc w:val="left"/>
      <w:pPr>
        <w:tabs>
          <w:tab w:val="left" w:pos="360"/>
        </w:tabs>
        <w:ind w:left="0" w:firstLine="0"/>
      </w:pPr>
      <w:rPr>
        <w:rFonts w:hint="eastAsia" w:ascii="仿宋_GB2312" w:eastAsia="仿宋_GB2312"/>
        <w:b/>
        <w:i w:val="0"/>
        <w:sz w:val="32"/>
      </w:rPr>
    </w:lvl>
    <w:lvl w:ilvl="1" w:tentative="0">
      <w:start w:val="1"/>
      <w:numFmt w:val="decimal"/>
      <w:pStyle w:val="1273"/>
      <w:lvlText w:val="%1.%2"/>
      <w:lvlJc w:val="left"/>
      <w:pPr>
        <w:tabs>
          <w:tab w:val="left" w:pos="720"/>
        </w:tabs>
        <w:ind w:left="0" w:firstLine="0"/>
      </w:pPr>
      <w:rPr>
        <w:rFonts w:hint="eastAsia" w:ascii="仿宋_GB2312" w:eastAsia="仿宋_GB2312"/>
        <w:b/>
        <w:i w:val="0"/>
        <w:sz w:val="30"/>
      </w:rPr>
    </w:lvl>
    <w:lvl w:ilvl="2" w:tentative="0">
      <w:start w:val="1"/>
      <w:numFmt w:val="none"/>
      <w:lvlText w:val="1.%21"/>
      <w:lvlJc w:val="left"/>
      <w:pPr>
        <w:tabs>
          <w:tab w:val="left" w:pos="1080"/>
        </w:tabs>
        <w:ind w:left="0" w:firstLine="0"/>
      </w:pPr>
      <w:rPr>
        <w:rFonts w:hint="eastAsia" w:ascii="仿宋_GB2312" w:eastAsia="仿宋_GB2312"/>
        <w:b w:val="0"/>
        <w:i w:val="0"/>
        <w:sz w:val="28"/>
      </w:rPr>
    </w:lvl>
    <w:lvl w:ilvl="3" w:tentative="0">
      <w:start w:val="1"/>
      <w:numFmt w:val="decimal"/>
      <w:lvlRestart w:val="0"/>
      <w:isLgl/>
      <w:lvlText w:val="%1.%2.%3.%4"/>
      <w:lvlJc w:val="left"/>
      <w:pPr>
        <w:tabs>
          <w:tab w:val="left" w:pos="1440"/>
        </w:tabs>
        <w:ind w:left="0" w:firstLine="0"/>
      </w:pPr>
      <w:rPr>
        <w:rFonts w:hint="eastAsia" w:ascii="仿宋_GB2312" w:eastAsia="仿宋_GB2312"/>
        <w:b w:val="0"/>
        <w:i w:val="0"/>
        <w:sz w:val="28"/>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48300E2A"/>
    <w:multiLevelType w:val="multilevel"/>
    <w:tmpl w:val="48300E2A"/>
    <w:lvl w:ilvl="0" w:tentative="0">
      <w:start w:val="1"/>
      <w:numFmt w:val="bullet"/>
      <w:pStyle w:val="2908"/>
      <w:lvlText w:val=""/>
      <w:lvlJc w:val="left"/>
      <w:pPr>
        <w:tabs>
          <w:tab w:val="left" w:pos="480"/>
        </w:tabs>
        <w:ind w:left="480" w:firstLine="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19">
    <w:nsid w:val="4B2164B0"/>
    <w:multiLevelType w:val="multilevel"/>
    <w:tmpl w:val="4B2164B0"/>
    <w:lvl w:ilvl="0" w:tentative="0">
      <w:start w:val="1"/>
      <w:numFmt w:val="decimal"/>
      <w:pStyle w:val="25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5C630824"/>
    <w:multiLevelType w:val="multilevel"/>
    <w:tmpl w:val="5C630824"/>
    <w:lvl w:ilvl="0" w:tentative="0">
      <w:start w:val="1"/>
      <w:numFmt w:val="decimal"/>
      <w:lvlText w:val="%1"/>
      <w:lvlJc w:val="left"/>
      <w:pPr>
        <w:tabs>
          <w:tab w:val="left" w:pos="425"/>
        </w:tabs>
        <w:ind w:left="425" w:hanging="425"/>
      </w:pPr>
    </w:lvl>
    <w:lvl w:ilvl="1" w:tentative="0">
      <w:start w:val="1"/>
      <w:numFmt w:val="decimal"/>
      <w:pStyle w:val="2847"/>
      <w:lvlText w:val="%1.%2"/>
      <w:lvlJc w:val="left"/>
      <w:pPr>
        <w:tabs>
          <w:tab w:val="left" w:pos="1505"/>
        </w:tabs>
        <w:ind w:left="992" w:hanging="567"/>
      </w:pPr>
    </w:lvl>
    <w:lvl w:ilvl="2" w:tentative="0">
      <w:start w:val="1"/>
      <w:numFmt w:val="decimal"/>
      <w:lvlText w:val="%1.%2.%3"/>
      <w:lvlJc w:val="left"/>
      <w:pPr>
        <w:tabs>
          <w:tab w:val="left" w:pos="2651"/>
        </w:tabs>
        <w:ind w:left="1418" w:hanging="567"/>
      </w:pPr>
    </w:lvl>
    <w:lvl w:ilvl="3" w:tentative="0">
      <w:start w:val="1"/>
      <w:numFmt w:val="decimal"/>
      <w:lvlText w:val="%1.%2.%3.%4"/>
      <w:lvlJc w:val="left"/>
      <w:pPr>
        <w:tabs>
          <w:tab w:val="left" w:pos="3796"/>
        </w:tabs>
        <w:ind w:left="1984" w:hanging="708"/>
      </w:pPr>
    </w:lvl>
    <w:lvl w:ilvl="4" w:tentative="0">
      <w:start w:val="1"/>
      <w:numFmt w:val="decimal"/>
      <w:lvlText w:val="%1.%2.%3.%4.%5"/>
      <w:lvlJc w:val="left"/>
      <w:pPr>
        <w:tabs>
          <w:tab w:val="left" w:pos="4941"/>
        </w:tabs>
        <w:ind w:left="2551" w:hanging="850"/>
      </w:pPr>
    </w:lvl>
    <w:lvl w:ilvl="5" w:tentative="0">
      <w:start w:val="1"/>
      <w:numFmt w:val="decimal"/>
      <w:lvlText w:val="%1.%2.%3.%4.%5.%6"/>
      <w:lvlJc w:val="left"/>
      <w:pPr>
        <w:tabs>
          <w:tab w:val="left" w:pos="6086"/>
        </w:tabs>
        <w:ind w:left="3260" w:hanging="1134"/>
      </w:pPr>
    </w:lvl>
    <w:lvl w:ilvl="6" w:tentative="0">
      <w:start w:val="1"/>
      <w:numFmt w:val="decimal"/>
      <w:lvlText w:val="%1.%2.%3.%4.%5.%6.%7"/>
      <w:lvlJc w:val="left"/>
      <w:pPr>
        <w:tabs>
          <w:tab w:val="left" w:pos="7231"/>
        </w:tabs>
        <w:ind w:left="3827" w:hanging="1276"/>
      </w:pPr>
    </w:lvl>
    <w:lvl w:ilvl="7" w:tentative="0">
      <w:start w:val="1"/>
      <w:numFmt w:val="decimal"/>
      <w:lvlText w:val="%1.%2.%3.%4.%5.%6.%7.%8"/>
      <w:lvlJc w:val="left"/>
      <w:pPr>
        <w:tabs>
          <w:tab w:val="left" w:pos="8376"/>
        </w:tabs>
        <w:ind w:left="4394" w:hanging="1418"/>
      </w:pPr>
    </w:lvl>
    <w:lvl w:ilvl="8" w:tentative="0">
      <w:start w:val="1"/>
      <w:numFmt w:val="decimal"/>
      <w:lvlText w:val="%1.%2.%3.%4.%5.%6.%7.%8.%9"/>
      <w:lvlJc w:val="left"/>
      <w:pPr>
        <w:tabs>
          <w:tab w:val="left" w:pos="9522"/>
        </w:tabs>
        <w:ind w:left="5102" w:hanging="1700"/>
      </w:pPr>
    </w:lvl>
  </w:abstractNum>
  <w:abstractNum w:abstractNumId="21">
    <w:nsid w:val="5DDA2DC4"/>
    <w:multiLevelType w:val="multilevel"/>
    <w:tmpl w:val="5DDA2DC4"/>
    <w:lvl w:ilvl="0" w:tentative="0">
      <w:start w:val="1"/>
      <w:numFmt w:val="decimal"/>
      <w:pStyle w:val="2939"/>
      <w:lvlText w:val="表8－%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E7F67F7"/>
    <w:multiLevelType w:val="multilevel"/>
    <w:tmpl w:val="5E7F67F7"/>
    <w:lvl w:ilvl="0" w:tentative="0">
      <w:start w:val="1"/>
      <w:numFmt w:val="decimal"/>
      <w:pStyle w:val="2536"/>
      <w:lvlText w:val="表11－%1"/>
      <w:lvlJc w:val="center"/>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2A10C16"/>
    <w:multiLevelType w:val="multilevel"/>
    <w:tmpl w:val="62A10C16"/>
    <w:lvl w:ilvl="0" w:tentative="0">
      <w:start w:val="1"/>
      <w:numFmt w:val="decimal"/>
      <w:pStyle w:val="2938"/>
      <w:lvlText w:val="表7－%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68FB2E5C"/>
    <w:multiLevelType w:val="multilevel"/>
    <w:tmpl w:val="68FB2E5C"/>
    <w:lvl w:ilvl="0" w:tentative="0">
      <w:start w:val="1"/>
      <w:numFmt w:val="decimal"/>
      <w:pStyle w:val="2932"/>
      <w:lvlText w:val="表12－%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6E434A9E"/>
    <w:multiLevelType w:val="multilevel"/>
    <w:tmpl w:val="6E434A9E"/>
    <w:lvl w:ilvl="0" w:tentative="0">
      <w:start w:val="1"/>
      <w:numFmt w:val="decimal"/>
      <w:pStyle w:val="2940"/>
      <w:lvlText w:val="表9－%1"/>
      <w:lvlJc w:val="center"/>
      <w:pPr>
        <w:tabs>
          <w:tab w:val="left" w:pos="0"/>
        </w:tabs>
        <w:ind w:left="0" w:firstLine="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75713A29"/>
    <w:multiLevelType w:val="multilevel"/>
    <w:tmpl w:val="75713A29"/>
    <w:lvl w:ilvl="0" w:tentative="0">
      <w:start w:val="1"/>
      <w:numFmt w:val="none"/>
      <w:pStyle w:val="1251"/>
      <w:lvlText w:val="表"/>
      <w:lvlJc w:val="left"/>
      <w:pPr>
        <w:tabs>
          <w:tab w:val="left" w:pos="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7CD24886"/>
    <w:multiLevelType w:val="multilevel"/>
    <w:tmpl w:val="7CD24886"/>
    <w:lvl w:ilvl="0" w:tentative="0">
      <w:start w:val="8"/>
      <w:numFmt w:val="decimal"/>
      <w:lvlText w:val="%1"/>
      <w:lvlJc w:val="left"/>
      <w:pPr>
        <w:tabs>
          <w:tab w:val="left" w:pos="360"/>
        </w:tabs>
        <w:ind w:left="0" w:firstLine="0"/>
      </w:pPr>
      <w:rPr>
        <w:rFonts w:hint="default" w:ascii="Times New Roman" w:hAnsi="Times New Roman" w:eastAsia="黑体" w:cs="Times New Roman"/>
        <w:b/>
        <w:i w:val="0"/>
        <w:spacing w:val="0"/>
        <w:w w:val="100"/>
        <w:position w:val="0"/>
        <w:sz w:val="44"/>
        <w:szCs w:val="44"/>
      </w:rPr>
    </w:lvl>
    <w:lvl w:ilvl="1" w:tentative="0">
      <w:start w:val="1"/>
      <w:numFmt w:val="decimal"/>
      <w:lvlText w:val="%1.%2"/>
      <w:lvlJc w:val="left"/>
      <w:pPr>
        <w:tabs>
          <w:tab w:val="left" w:pos="0"/>
        </w:tabs>
        <w:ind w:left="0" w:firstLine="0"/>
      </w:pPr>
      <w:rPr>
        <w:rFonts w:hint="default" w:ascii="Times New Roman" w:hAnsi="Times New Roman" w:cs="Times New Roman"/>
        <w:sz w:val="32"/>
        <w:szCs w:val="32"/>
      </w:rPr>
    </w:lvl>
    <w:lvl w:ilvl="2" w:tentative="0">
      <w:start w:val="1"/>
      <w:numFmt w:val="decimal"/>
      <w:lvlText w:val="%1.%2.%3"/>
      <w:lvlJc w:val="left"/>
      <w:pPr>
        <w:tabs>
          <w:tab w:val="left" w:pos="0"/>
        </w:tabs>
        <w:ind w:left="0" w:firstLine="0"/>
      </w:pPr>
      <w:rPr>
        <w:rFonts w:hint="default" w:ascii="Times New Roman" w:hAnsi="Times New Roman" w:cs="Times New Roman"/>
        <w:color w:val="auto"/>
      </w:rPr>
    </w:lvl>
    <w:lvl w:ilvl="3" w:tentative="0">
      <w:start w:val="1"/>
      <w:numFmt w:val="decimal"/>
      <w:pStyle w:val="2980"/>
      <w:lvlText w:val="%1.%2.%3.%4"/>
      <w:lvlJc w:val="left"/>
      <w:pPr>
        <w:tabs>
          <w:tab w:val="left" w:pos="1680"/>
        </w:tabs>
        <w:ind w:left="1680" w:firstLine="0"/>
      </w:pPr>
      <w:rPr>
        <w:rFonts w:hint="default" w:ascii="Times New Roman" w:hAnsi="Times New Roman" w:cs="Times New Roman"/>
      </w:rPr>
    </w:lvl>
    <w:lvl w:ilvl="4" w:tentative="0">
      <w:start w:val="1"/>
      <w:numFmt w:val="decimal"/>
      <w:lvlText w:val="%1.%2.%3.%4.%5"/>
      <w:lvlJc w:val="left"/>
      <w:pPr>
        <w:tabs>
          <w:tab w:val="left" w:pos="0"/>
        </w:tabs>
        <w:ind w:left="0" w:firstLine="0"/>
      </w:pPr>
    </w:lvl>
    <w:lvl w:ilvl="5" w:tentative="0">
      <w:start w:val="1"/>
      <w:numFmt w:val="decimal"/>
      <w:lvlText w:val="%1.%2.%3.%4.%5.%6"/>
      <w:lvlJc w:val="left"/>
      <w:pPr>
        <w:tabs>
          <w:tab w:val="left" w:pos="0"/>
        </w:tabs>
        <w:ind w:left="0" w:firstLine="0"/>
      </w:pPr>
    </w:lvl>
    <w:lvl w:ilvl="6" w:tentative="0">
      <w:start w:val="1"/>
      <w:numFmt w:val="decimal"/>
      <w:lvlText w:val="%1.%2.%3.%4.%5.%6.%7"/>
      <w:lvlJc w:val="left"/>
      <w:pPr>
        <w:tabs>
          <w:tab w:val="left" w:pos="0"/>
        </w:tabs>
        <w:ind w:left="0" w:firstLine="0"/>
      </w:pPr>
    </w:lvl>
    <w:lvl w:ilvl="7" w:tentative="0">
      <w:start w:val="1"/>
      <w:numFmt w:val="decimal"/>
      <w:lvlText w:val="%1.%2.%3.%4.%5.%6.%7.%8"/>
      <w:lvlJc w:val="left"/>
      <w:pPr>
        <w:tabs>
          <w:tab w:val="left" w:pos="0"/>
        </w:tabs>
        <w:ind w:left="0" w:firstLine="0"/>
      </w:pPr>
    </w:lvl>
    <w:lvl w:ilvl="8" w:tentative="0">
      <w:start w:val="1"/>
      <w:numFmt w:val="decimal"/>
      <w:lvlText w:val="%1.%2.%3.%4.%5.%6.%7.%8.%9"/>
      <w:lvlJc w:val="left"/>
      <w:pPr>
        <w:tabs>
          <w:tab w:val="left" w:pos="0"/>
        </w:tabs>
        <w:ind w:left="0" w:firstLine="0"/>
      </w:pPr>
    </w:lvl>
  </w:abstractNum>
  <w:num w:numId="1">
    <w:abstractNumId w:val="11"/>
  </w:num>
  <w:num w:numId="2">
    <w:abstractNumId w:val="19"/>
  </w:num>
  <w:num w:numId="3">
    <w:abstractNumId w:val="8"/>
  </w:num>
  <w:num w:numId="4">
    <w:abstractNumId w:val="12"/>
  </w:num>
  <w:num w:numId="5">
    <w:abstractNumId w:val="5"/>
  </w:num>
  <w:num w:numId="6">
    <w:abstractNumId w:val="26"/>
  </w:num>
  <w:num w:numId="7">
    <w:abstractNumId w:val="10"/>
  </w:num>
  <w:num w:numId="8">
    <w:abstractNumId w:val="17"/>
  </w:num>
  <w:num w:numId="9">
    <w:abstractNumId w:val="16"/>
  </w:num>
  <w:num w:numId="10">
    <w:abstractNumId w:val="4"/>
  </w:num>
  <w:num w:numId="11">
    <w:abstractNumId w:val="13"/>
  </w:num>
  <w:num w:numId="12">
    <w:abstractNumId w:val="2"/>
  </w:num>
  <w:num w:numId="13">
    <w:abstractNumId w:val="1"/>
  </w:num>
  <w:num w:numId="14">
    <w:abstractNumId w:val="14"/>
  </w:num>
  <w:num w:numId="15">
    <w:abstractNumId w:val="22"/>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CB7"/>
    <w:rsid w:val="0000334D"/>
    <w:rsid w:val="0000445D"/>
    <w:rsid w:val="00004686"/>
    <w:rsid w:val="000047D6"/>
    <w:rsid w:val="000050E7"/>
    <w:rsid w:val="00005783"/>
    <w:rsid w:val="00005856"/>
    <w:rsid w:val="0000614A"/>
    <w:rsid w:val="000062DB"/>
    <w:rsid w:val="00006410"/>
    <w:rsid w:val="00007B9B"/>
    <w:rsid w:val="00010CEA"/>
    <w:rsid w:val="00010D5D"/>
    <w:rsid w:val="0001147F"/>
    <w:rsid w:val="00011D84"/>
    <w:rsid w:val="00013344"/>
    <w:rsid w:val="00013B92"/>
    <w:rsid w:val="00013CED"/>
    <w:rsid w:val="000140CF"/>
    <w:rsid w:val="000149E7"/>
    <w:rsid w:val="00015221"/>
    <w:rsid w:val="000153B4"/>
    <w:rsid w:val="00015B3D"/>
    <w:rsid w:val="00017596"/>
    <w:rsid w:val="000178B2"/>
    <w:rsid w:val="00021C5F"/>
    <w:rsid w:val="00024041"/>
    <w:rsid w:val="00025066"/>
    <w:rsid w:val="00025F45"/>
    <w:rsid w:val="000260EE"/>
    <w:rsid w:val="00026298"/>
    <w:rsid w:val="000262FA"/>
    <w:rsid w:val="000312A2"/>
    <w:rsid w:val="000316C2"/>
    <w:rsid w:val="00032283"/>
    <w:rsid w:val="00033478"/>
    <w:rsid w:val="00033D74"/>
    <w:rsid w:val="000350CB"/>
    <w:rsid w:val="000359EE"/>
    <w:rsid w:val="0003770F"/>
    <w:rsid w:val="00040700"/>
    <w:rsid w:val="00042171"/>
    <w:rsid w:val="00043CF0"/>
    <w:rsid w:val="00044203"/>
    <w:rsid w:val="0004435B"/>
    <w:rsid w:val="00044A08"/>
    <w:rsid w:val="000454F4"/>
    <w:rsid w:val="00045978"/>
    <w:rsid w:val="00051472"/>
    <w:rsid w:val="00052E3D"/>
    <w:rsid w:val="00053029"/>
    <w:rsid w:val="00053313"/>
    <w:rsid w:val="00055455"/>
    <w:rsid w:val="0005597F"/>
    <w:rsid w:val="00055C35"/>
    <w:rsid w:val="0005649E"/>
    <w:rsid w:val="0006082C"/>
    <w:rsid w:val="00060BCA"/>
    <w:rsid w:val="00060FC1"/>
    <w:rsid w:val="00061349"/>
    <w:rsid w:val="00061834"/>
    <w:rsid w:val="000620AC"/>
    <w:rsid w:val="000662D9"/>
    <w:rsid w:val="00066E85"/>
    <w:rsid w:val="00067889"/>
    <w:rsid w:val="000678DE"/>
    <w:rsid w:val="00067A15"/>
    <w:rsid w:val="00071887"/>
    <w:rsid w:val="00071D94"/>
    <w:rsid w:val="00072902"/>
    <w:rsid w:val="0007411B"/>
    <w:rsid w:val="00074C18"/>
    <w:rsid w:val="000755DC"/>
    <w:rsid w:val="000762B6"/>
    <w:rsid w:val="000771F6"/>
    <w:rsid w:val="00077AAE"/>
    <w:rsid w:val="000804C8"/>
    <w:rsid w:val="00080D1B"/>
    <w:rsid w:val="00083E3F"/>
    <w:rsid w:val="000844A5"/>
    <w:rsid w:val="00085577"/>
    <w:rsid w:val="000907DC"/>
    <w:rsid w:val="00091310"/>
    <w:rsid w:val="000913C5"/>
    <w:rsid w:val="00091831"/>
    <w:rsid w:val="000970DC"/>
    <w:rsid w:val="000972B7"/>
    <w:rsid w:val="0009747F"/>
    <w:rsid w:val="000A09E4"/>
    <w:rsid w:val="000A2353"/>
    <w:rsid w:val="000A24DE"/>
    <w:rsid w:val="000A254E"/>
    <w:rsid w:val="000A427B"/>
    <w:rsid w:val="000A4E1C"/>
    <w:rsid w:val="000A5053"/>
    <w:rsid w:val="000A7F44"/>
    <w:rsid w:val="000B072E"/>
    <w:rsid w:val="000B09AC"/>
    <w:rsid w:val="000B0C1F"/>
    <w:rsid w:val="000B0D09"/>
    <w:rsid w:val="000B4549"/>
    <w:rsid w:val="000B4894"/>
    <w:rsid w:val="000B53FD"/>
    <w:rsid w:val="000B5A22"/>
    <w:rsid w:val="000B6493"/>
    <w:rsid w:val="000B7107"/>
    <w:rsid w:val="000C0222"/>
    <w:rsid w:val="000C08C2"/>
    <w:rsid w:val="000C503E"/>
    <w:rsid w:val="000D0BEA"/>
    <w:rsid w:val="000D0C5A"/>
    <w:rsid w:val="000D1400"/>
    <w:rsid w:val="000D1709"/>
    <w:rsid w:val="000D2DE8"/>
    <w:rsid w:val="000D2E5F"/>
    <w:rsid w:val="000D3C61"/>
    <w:rsid w:val="000D794B"/>
    <w:rsid w:val="000E0134"/>
    <w:rsid w:val="000E0A7C"/>
    <w:rsid w:val="000E10D7"/>
    <w:rsid w:val="000E16BC"/>
    <w:rsid w:val="000E2144"/>
    <w:rsid w:val="000E2E4F"/>
    <w:rsid w:val="000E4C11"/>
    <w:rsid w:val="000E76D7"/>
    <w:rsid w:val="000E7B55"/>
    <w:rsid w:val="000E7B6A"/>
    <w:rsid w:val="000F05A6"/>
    <w:rsid w:val="000F1450"/>
    <w:rsid w:val="000F161F"/>
    <w:rsid w:val="000F42A8"/>
    <w:rsid w:val="000F451F"/>
    <w:rsid w:val="000F4789"/>
    <w:rsid w:val="000F49C9"/>
    <w:rsid w:val="000F5073"/>
    <w:rsid w:val="000F5DDA"/>
    <w:rsid w:val="000F7614"/>
    <w:rsid w:val="0010080A"/>
    <w:rsid w:val="00100A88"/>
    <w:rsid w:val="00101D7C"/>
    <w:rsid w:val="00102098"/>
    <w:rsid w:val="00105757"/>
    <w:rsid w:val="00106E54"/>
    <w:rsid w:val="0011032A"/>
    <w:rsid w:val="00110CFD"/>
    <w:rsid w:val="001134AB"/>
    <w:rsid w:val="00114A19"/>
    <w:rsid w:val="0011596E"/>
    <w:rsid w:val="00115D7F"/>
    <w:rsid w:val="00115FDC"/>
    <w:rsid w:val="001170D7"/>
    <w:rsid w:val="001171ED"/>
    <w:rsid w:val="00117E22"/>
    <w:rsid w:val="0012171C"/>
    <w:rsid w:val="00123335"/>
    <w:rsid w:val="00124093"/>
    <w:rsid w:val="00125069"/>
    <w:rsid w:val="00126ADE"/>
    <w:rsid w:val="00126FB5"/>
    <w:rsid w:val="001274AD"/>
    <w:rsid w:val="001277B8"/>
    <w:rsid w:val="00130F4B"/>
    <w:rsid w:val="00131F6F"/>
    <w:rsid w:val="00132E04"/>
    <w:rsid w:val="00134C42"/>
    <w:rsid w:val="001364E4"/>
    <w:rsid w:val="00142A88"/>
    <w:rsid w:val="00143015"/>
    <w:rsid w:val="00143148"/>
    <w:rsid w:val="00143C0A"/>
    <w:rsid w:val="001469F3"/>
    <w:rsid w:val="00151666"/>
    <w:rsid w:val="001519D8"/>
    <w:rsid w:val="00152176"/>
    <w:rsid w:val="00155579"/>
    <w:rsid w:val="00160C1A"/>
    <w:rsid w:val="0016131E"/>
    <w:rsid w:val="00163D9A"/>
    <w:rsid w:val="00164B4D"/>
    <w:rsid w:val="00165ED9"/>
    <w:rsid w:val="00167E4E"/>
    <w:rsid w:val="001702D9"/>
    <w:rsid w:val="00171CFA"/>
    <w:rsid w:val="00172745"/>
    <w:rsid w:val="00172DB0"/>
    <w:rsid w:val="00172E2F"/>
    <w:rsid w:val="0017543F"/>
    <w:rsid w:val="00175C64"/>
    <w:rsid w:val="00176035"/>
    <w:rsid w:val="00177999"/>
    <w:rsid w:val="00177C08"/>
    <w:rsid w:val="00177FD9"/>
    <w:rsid w:val="001816F7"/>
    <w:rsid w:val="00182301"/>
    <w:rsid w:val="00182465"/>
    <w:rsid w:val="001834F2"/>
    <w:rsid w:val="00183532"/>
    <w:rsid w:val="00186971"/>
    <w:rsid w:val="0019024B"/>
    <w:rsid w:val="00190EEA"/>
    <w:rsid w:val="00191BCB"/>
    <w:rsid w:val="00192A86"/>
    <w:rsid w:val="00192B90"/>
    <w:rsid w:val="00193EFA"/>
    <w:rsid w:val="00194A70"/>
    <w:rsid w:val="00194FFE"/>
    <w:rsid w:val="00196028"/>
    <w:rsid w:val="00197E83"/>
    <w:rsid w:val="001A0250"/>
    <w:rsid w:val="001A0F7D"/>
    <w:rsid w:val="001A171C"/>
    <w:rsid w:val="001A2311"/>
    <w:rsid w:val="001A25A9"/>
    <w:rsid w:val="001A530E"/>
    <w:rsid w:val="001A6BAE"/>
    <w:rsid w:val="001B00B7"/>
    <w:rsid w:val="001B0CF1"/>
    <w:rsid w:val="001B210B"/>
    <w:rsid w:val="001B2B5B"/>
    <w:rsid w:val="001B2C4F"/>
    <w:rsid w:val="001B4C6D"/>
    <w:rsid w:val="001B4E31"/>
    <w:rsid w:val="001B760A"/>
    <w:rsid w:val="001B76E3"/>
    <w:rsid w:val="001C0CB7"/>
    <w:rsid w:val="001C2234"/>
    <w:rsid w:val="001C48D6"/>
    <w:rsid w:val="001C4F56"/>
    <w:rsid w:val="001C6593"/>
    <w:rsid w:val="001C65F0"/>
    <w:rsid w:val="001D258E"/>
    <w:rsid w:val="001D2F56"/>
    <w:rsid w:val="001D37F3"/>
    <w:rsid w:val="001D3AC4"/>
    <w:rsid w:val="001D441C"/>
    <w:rsid w:val="001D69CB"/>
    <w:rsid w:val="001E09C0"/>
    <w:rsid w:val="001E1620"/>
    <w:rsid w:val="001E1632"/>
    <w:rsid w:val="001E1AC2"/>
    <w:rsid w:val="001E2287"/>
    <w:rsid w:val="001E28EC"/>
    <w:rsid w:val="001E4E11"/>
    <w:rsid w:val="001E5881"/>
    <w:rsid w:val="001E6610"/>
    <w:rsid w:val="001E6F71"/>
    <w:rsid w:val="001E75CA"/>
    <w:rsid w:val="001F0BF2"/>
    <w:rsid w:val="001F1686"/>
    <w:rsid w:val="001F2682"/>
    <w:rsid w:val="001F2F77"/>
    <w:rsid w:val="001F3F59"/>
    <w:rsid w:val="001F4965"/>
    <w:rsid w:val="001F5A0B"/>
    <w:rsid w:val="001F5B2F"/>
    <w:rsid w:val="001F61CA"/>
    <w:rsid w:val="001F6698"/>
    <w:rsid w:val="001F6CD5"/>
    <w:rsid w:val="001F7C6B"/>
    <w:rsid w:val="0020091F"/>
    <w:rsid w:val="0020211A"/>
    <w:rsid w:val="0020417D"/>
    <w:rsid w:val="00204873"/>
    <w:rsid w:val="002055C8"/>
    <w:rsid w:val="0020597A"/>
    <w:rsid w:val="00205F49"/>
    <w:rsid w:val="00206E17"/>
    <w:rsid w:val="00207ECB"/>
    <w:rsid w:val="002113F5"/>
    <w:rsid w:val="00211ABC"/>
    <w:rsid w:val="00212AB3"/>
    <w:rsid w:val="00212AC3"/>
    <w:rsid w:val="00212B98"/>
    <w:rsid w:val="00214B2F"/>
    <w:rsid w:val="00214C1B"/>
    <w:rsid w:val="00215914"/>
    <w:rsid w:val="0021750E"/>
    <w:rsid w:val="00220E40"/>
    <w:rsid w:val="002221A5"/>
    <w:rsid w:val="00222281"/>
    <w:rsid w:val="00226150"/>
    <w:rsid w:val="00230E98"/>
    <w:rsid w:val="002311D2"/>
    <w:rsid w:val="002349CD"/>
    <w:rsid w:val="00234D96"/>
    <w:rsid w:val="0023531F"/>
    <w:rsid w:val="00236231"/>
    <w:rsid w:val="00236407"/>
    <w:rsid w:val="00236B66"/>
    <w:rsid w:val="00236D5B"/>
    <w:rsid w:val="00236E36"/>
    <w:rsid w:val="00240E81"/>
    <w:rsid w:val="00241311"/>
    <w:rsid w:val="002417DE"/>
    <w:rsid w:val="002422AA"/>
    <w:rsid w:val="00242A91"/>
    <w:rsid w:val="00244B92"/>
    <w:rsid w:val="00245769"/>
    <w:rsid w:val="0024577E"/>
    <w:rsid w:val="00245D8A"/>
    <w:rsid w:val="002461A6"/>
    <w:rsid w:val="0024667D"/>
    <w:rsid w:val="00247399"/>
    <w:rsid w:val="00247432"/>
    <w:rsid w:val="002507F7"/>
    <w:rsid w:val="00250DC4"/>
    <w:rsid w:val="00252101"/>
    <w:rsid w:val="00253FDB"/>
    <w:rsid w:val="0025427F"/>
    <w:rsid w:val="002552C4"/>
    <w:rsid w:val="002568C0"/>
    <w:rsid w:val="002576DB"/>
    <w:rsid w:val="0026036B"/>
    <w:rsid w:val="00260515"/>
    <w:rsid w:val="002610ED"/>
    <w:rsid w:val="002636FD"/>
    <w:rsid w:val="00265194"/>
    <w:rsid w:val="00265F29"/>
    <w:rsid w:val="00266B3D"/>
    <w:rsid w:val="002710C4"/>
    <w:rsid w:val="00271611"/>
    <w:rsid w:val="00271708"/>
    <w:rsid w:val="00274FA6"/>
    <w:rsid w:val="00275AD3"/>
    <w:rsid w:val="00276A14"/>
    <w:rsid w:val="00277B7F"/>
    <w:rsid w:val="00280C4B"/>
    <w:rsid w:val="00282545"/>
    <w:rsid w:val="002875B6"/>
    <w:rsid w:val="00287A1D"/>
    <w:rsid w:val="00290225"/>
    <w:rsid w:val="002905C6"/>
    <w:rsid w:val="00291522"/>
    <w:rsid w:val="00292D17"/>
    <w:rsid w:val="00293843"/>
    <w:rsid w:val="0029409E"/>
    <w:rsid w:val="00294A64"/>
    <w:rsid w:val="002960BB"/>
    <w:rsid w:val="00296AF7"/>
    <w:rsid w:val="002974A0"/>
    <w:rsid w:val="0029783E"/>
    <w:rsid w:val="00297DE8"/>
    <w:rsid w:val="002A014D"/>
    <w:rsid w:val="002A053D"/>
    <w:rsid w:val="002A2D02"/>
    <w:rsid w:val="002A30BF"/>
    <w:rsid w:val="002A3F4F"/>
    <w:rsid w:val="002A7779"/>
    <w:rsid w:val="002B1D06"/>
    <w:rsid w:val="002B1F17"/>
    <w:rsid w:val="002B3627"/>
    <w:rsid w:val="002B3A7D"/>
    <w:rsid w:val="002B7008"/>
    <w:rsid w:val="002B72F1"/>
    <w:rsid w:val="002B7FFB"/>
    <w:rsid w:val="002C0470"/>
    <w:rsid w:val="002C0A60"/>
    <w:rsid w:val="002C1BA5"/>
    <w:rsid w:val="002C2057"/>
    <w:rsid w:val="002C331C"/>
    <w:rsid w:val="002C341B"/>
    <w:rsid w:val="002C3FB5"/>
    <w:rsid w:val="002C43D6"/>
    <w:rsid w:val="002C5C6C"/>
    <w:rsid w:val="002C5D57"/>
    <w:rsid w:val="002C646F"/>
    <w:rsid w:val="002C7DA7"/>
    <w:rsid w:val="002D151D"/>
    <w:rsid w:val="002D2206"/>
    <w:rsid w:val="002D2BB7"/>
    <w:rsid w:val="002D2D01"/>
    <w:rsid w:val="002D3165"/>
    <w:rsid w:val="002D3678"/>
    <w:rsid w:val="002D3B10"/>
    <w:rsid w:val="002D4A55"/>
    <w:rsid w:val="002D4AB9"/>
    <w:rsid w:val="002D7648"/>
    <w:rsid w:val="002D78E8"/>
    <w:rsid w:val="002D7CEA"/>
    <w:rsid w:val="002E044E"/>
    <w:rsid w:val="002E0E2A"/>
    <w:rsid w:val="002E155D"/>
    <w:rsid w:val="002E1A0C"/>
    <w:rsid w:val="002E2566"/>
    <w:rsid w:val="002E3780"/>
    <w:rsid w:val="002E3B51"/>
    <w:rsid w:val="002E4C7D"/>
    <w:rsid w:val="002E4FC9"/>
    <w:rsid w:val="002E526C"/>
    <w:rsid w:val="002E56F2"/>
    <w:rsid w:val="002F072E"/>
    <w:rsid w:val="002F1E96"/>
    <w:rsid w:val="002F24EF"/>
    <w:rsid w:val="002F3B9C"/>
    <w:rsid w:val="002F3E94"/>
    <w:rsid w:val="002F428A"/>
    <w:rsid w:val="002F44AD"/>
    <w:rsid w:val="002F491E"/>
    <w:rsid w:val="002F550B"/>
    <w:rsid w:val="002F5DBE"/>
    <w:rsid w:val="002F615A"/>
    <w:rsid w:val="002F6641"/>
    <w:rsid w:val="002F71D9"/>
    <w:rsid w:val="003003C1"/>
    <w:rsid w:val="00303173"/>
    <w:rsid w:val="00303620"/>
    <w:rsid w:val="0030476E"/>
    <w:rsid w:val="003055CC"/>
    <w:rsid w:val="0030563F"/>
    <w:rsid w:val="003072D7"/>
    <w:rsid w:val="003101A3"/>
    <w:rsid w:val="00310259"/>
    <w:rsid w:val="00310E9D"/>
    <w:rsid w:val="003124A7"/>
    <w:rsid w:val="00313166"/>
    <w:rsid w:val="003132FB"/>
    <w:rsid w:val="003159FF"/>
    <w:rsid w:val="00315A13"/>
    <w:rsid w:val="003211AB"/>
    <w:rsid w:val="0032153F"/>
    <w:rsid w:val="003217E0"/>
    <w:rsid w:val="003226D8"/>
    <w:rsid w:val="0032278D"/>
    <w:rsid w:val="00323C13"/>
    <w:rsid w:val="00323F66"/>
    <w:rsid w:val="003243B9"/>
    <w:rsid w:val="0032540B"/>
    <w:rsid w:val="00325635"/>
    <w:rsid w:val="00326C7D"/>
    <w:rsid w:val="00327AF7"/>
    <w:rsid w:val="00330D20"/>
    <w:rsid w:val="00331282"/>
    <w:rsid w:val="00331936"/>
    <w:rsid w:val="00331A06"/>
    <w:rsid w:val="00332104"/>
    <w:rsid w:val="0033333D"/>
    <w:rsid w:val="00333BF9"/>
    <w:rsid w:val="00333EC4"/>
    <w:rsid w:val="003342B7"/>
    <w:rsid w:val="00334EA5"/>
    <w:rsid w:val="00334F54"/>
    <w:rsid w:val="0033544C"/>
    <w:rsid w:val="00335F6B"/>
    <w:rsid w:val="003370C8"/>
    <w:rsid w:val="00340615"/>
    <w:rsid w:val="003416CE"/>
    <w:rsid w:val="003422D6"/>
    <w:rsid w:val="00342A6B"/>
    <w:rsid w:val="0034357A"/>
    <w:rsid w:val="00344319"/>
    <w:rsid w:val="00346B8F"/>
    <w:rsid w:val="00351A03"/>
    <w:rsid w:val="00353170"/>
    <w:rsid w:val="00353B49"/>
    <w:rsid w:val="00356217"/>
    <w:rsid w:val="00356FF8"/>
    <w:rsid w:val="00360333"/>
    <w:rsid w:val="00360790"/>
    <w:rsid w:val="003613B8"/>
    <w:rsid w:val="003613C0"/>
    <w:rsid w:val="00361D63"/>
    <w:rsid w:val="00362549"/>
    <w:rsid w:val="0036326D"/>
    <w:rsid w:val="0036581F"/>
    <w:rsid w:val="00371CC8"/>
    <w:rsid w:val="00374AAD"/>
    <w:rsid w:val="00375D93"/>
    <w:rsid w:val="0038101D"/>
    <w:rsid w:val="00382F63"/>
    <w:rsid w:val="00383171"/>
    <w:rsid w:val="0038456A"/>
    <w:rsid w:val="003848F7"/>
    <w:rsid w:val="00386485"/>
    <w:rsid w:val="00386A92"/>
    <w:rsid w:val="00386FDD"/>
    <w:rsid w:val="003919E8"/>
    <w:rsid w:val="0039430B"/>
    <w:rsid w:val="0039442B"/>
    <w:rsid w:val="00394FA5"/>
    <w:rsid w:val="00395B47"/>
    <w:rsid w:val="003963BA"/>
    <w:rsid w:val="003A0416"/>
    <w:rsid w:val="003A09DE"/>
    <w:rsid w:val="003A1E7E"/>
    <w:rsid w:val="003A3111"/>
    <w:rsid w:val="003A4089"/>
    <w:rsid w:val="003A40EA"/>
    <w:rsid w:val="003A6493"/>
    <w:rsid w:val="003A670D"/>
    <w:rsid w:val="003B0825"/>
    <w:rsid w:val="003B0861"/>
    <w:rsid w:val="003B1057"/>
    <w:rsid w:val="003B133B"/>
    <w:rsid w:val="003B2EEF"/>
    <w:rsid w:val="003B4638"/>
    <w:rsid w:val="003B4925"/>
    <w:rsid w:val="003B5877"/>
    <w:rsid w:val="003B5887"/>
    <w:rsid w:val="003B591F"/>
    <w:rsid w:val="003B5BC5"/>
    <w:rsid w:val="003B60F9"/>
    <w:rsid w:val="003B6FCA"/>
    <w:rsid w:val="003B7DB2"/>
    <w:rsid w:val="003C077B"/>
    <w:rsid w:val="003C0926"/>
    <w:rsid w:val="003C1688"/>
    <w:rsid w:val="003C21A9"/>
    <w:rsid w:val="003C2770"/>
    <w:rsid w:val="003C3B74"/>
    <w:rsid w:val="003C400F"/>
    <w:rsid w:val="003C4770"/>
    <w:rsid w:val="003C4DAE"/>
    <w:rsid w:val="003C5832"/>
    <w:rsid w:val="003C59CC"/>
    <w:rsid w:val="003C6477"/>
    <w:rsid w:val="003C7374"/>
    <w:rsid w:val="003D1DCE"/>
    <w:rsid w:val="003D1FC6"/>
    <w:rsid w:val="003D2022"/>
    <w:rsid w:val="003D2966"/>
    <w:rsid w:val="003D402F"/>
    <w:rsid w:val="003D46E9"/>
    <w:rsid w:val="003D52AD"/>
    <w:rsid w:val="003D678B"/>
    <w:rsid w:val="003D7467"/>
    <w:rsid w:val="003E0426"/>
    <w:rsid w:val="003E1BE8"/>
    <w:rsid w:val="003E2AD0"/>
    <w:rsid w:val="003E4400"/>
    <w:rsid w:val="003E6F38"/>
    <w:rsid w:val="003E7FC9"/>
    <w:rsid w:val="003F1019"/>
    <w:rsid w:val="003F2962"/>
    <w:rsid w:val="003F30E4"/>
    <w:rsid w:val="003F501C"/>
    <w:rsid w:val="003F5059"/>
    <w:rsid w:val="003F5DAC"/>
    <w:rsid w:val="003F611C"/>
    <w:rsid w:val="003F6D58"/>
    <w:rsid w:val="003F7674"/>
    <w:rsid w:val="003F7A80"/>
    <w:rsid w:val="004007F0"/>
    <w:rsid w:val="00400FC0"/>
    <w:rsid w:val="00401758"/>
    <w:rsid w:val="00405063"/>
    <w:rsid w:val="00405179"/>
    <w:rsid w:val="00405EEE"/>
    <w:rsid w:val="00407E83"/>
    <w:rsid w:val="00410264"/>
    <w:rsid w:val="004105A2"/>
    <w:rsid w:val="00412EE1"/>
    <w:rsid w:val="00413411"/>
    <w:rsid w:val="004139BC"/>
    <w:rsid w:val="00417992"/>
    <w:rsid w:val="004229CC"/>
    <w:rsid w:val="004229F6"/>
    <w:rsid w:val="00425558"/>
    <w:rsid w:val="00425C7B"/>
    <w:rsid w:val="00426164"/>
    <w:rsid w:val="00427955"/>
    <w:rsid w:val="00430AB5"/>
    <w:rsid w:val="004313EB"/>
    <w:rsid w:val="004318AA"/>
    <w:rsid w:val="004335B4"/>
    <w:rsid w:val="00435B0F"/>
    <w:rsid w:val="00435F6F"/>
    <w:rsid w:val="00440DB8"/>
    <w:rsid w:val="00441448"/>
    <w:rsid w:val="00443253"/>
    <w:rsid w:val="00443461"/>
    <w:rsid w:val="00443C53"/>
    <w:rsid w:val="00444332"/>
    <w:rsid w:val="00444F50"/>
    <w:rsid w:val="00445E55"/>
    <w:rsid w:val="004463FF"/>
    <w:rsid w:val="0044663D"/>
    <w:rsid w:val="00446F0C"/>
    <w:rsid w:val="00447170"/>
    <w:rsid w:val="00452315"/>
    <w:rsid w:val="00453918"/>
    <w:rsid w:val="00455F51"/>
    <w:rsid w:val="00460192"/>
    <w:rsid w:val="00460227"/>
    <w:rsid w:val="0046262C"/>
    <w:rsid w:val="00463525"/>
    <w:rsid w:val="00463BA9"/>
    <w:rsid w:val="00464E46"/>
    <w:rsid w:val="00465AD5"/>
    <w:rsid w:val="00466051"/>
    <w:rsid w:val="004701F6"/>
    <w:rsid w:val="00471E43"/>
    <w:rsid w:val="00472538"/>
    <w:rsid w:val="00474F41"/>
    <w:rsid w:val="00475107"/>
    <w:rsid w:val="00476683"/>
    <w:rsid w:val="00477894"/>
    <w:rsid w:val="00481FA4"/>
    <w:rsid w:val="00483487"/>
    <w:rsid w:val="00484429"/>
    <w:rsid w:val="00484ECB"/>
    <w:rsid w:val="00486020"/>
    <w:rsid w:val="00486CC8"/>
    <w:rsid w:val="004872DD"/>
    <w:rsid w:val="00487A5D"/>
    <w:rsid w:val="00490127"/>
    <w:rsid w:val="004905E0"/>
    <w:rsid w:val="00490ACD"/>
    <w:rsid w:val="004912E6"/>
    <w:rsid w:val="00493E0A"/>
    <w:rsid w:val="004A05CD"/>
    <w:rsid w:val="004A0994"/>
    <w:rsid w:val="004A1133"/>
    <w:rsid w:val="004A22F3"/>
    <w:rsid w:val="004A32FB"/>
    <w:rsid w:val="004A374D"/>
    <w:rsid w:val="004A4449"/>
    <w:rsid w:val="004A47AE"/>
    <w:rsid w:val="004A48D8"/>
    <w:rsid w:val="004A4B2B"/>
    <w:rsid w:val="004A5BD2"/>
    <w:rsid w:val="004B00C2"/>
    <w:rsid w:val="004B1A25"/>
    <w:rsid w:val="004B1BDD"/>
    <w:rsid w:val="004B2C3C"/>
    <w:rsid w:val="004B369F"/>
    <w:rsid w:val="004B5110"/>
    <w:rsid w:val="004B57A2"/>
    <w:rsid w:val="004B7A62"/>
    <w:rsid w:val="004B7D2F"/>
    <w:rsid w:val="004C09CF"/>
    <w:rsid w:val="004C2D8C"/>
    <w:rsid w:val="004C2D9D"/>
    <w:rsid w:val="004C3EA2"/>
    <w:rsid w:val="004C4939"/>
    <w:rsid w:val="004C7290"/>
    <w:rsid w:val="004D2673"/>
    <w:rsid w:val="004D5451"/>
    <w:rsid w:val="004D5E6E"/>
    <w:rsid w:val="004D7E23"/>
    <w:rsid w:val="004E0D28"/>
    <w:rsid w:val="004E0F15"/>
    <w:rsid w:val="004E119E"/>
    <w:rsid w:val="004E254D"/>
    <w:rsid w:val="004E2A69"/>
    <w:rsid w:val="004E6065"/>
    <w:rsid w:val="004E6959"/>
    <w:rsid w:val="004E724A"/>
    <w:rsid w:val="004F2736"/>
    <w:rsid w:val="004F2AC4"/>
    <w:rsid w:val="004F2EE4"/>
    <w:rsid w:val="004F3F5D"/>
    <w:rsid w:val="004F5123"/>
    <w:rsid w:val="004F5334"/>
    <w:rsid w:val="004F70B8"/>
    <w:rsid w:val="004F7532"/>
    <w:rsid w:val="0050019C"/>
    <w:rsid w:val="00500783"/>
    <w:rsid w:val="00500C09"/>
    <w:rsid w:val="0050190D"/>
    <w:rsid w:val="00503DAB"/>
    <w:rsid w:val="00503E89"/>
    <w:rsid w:val="0050494D"/>
    <w:rsid w:val="0051105C"/>
    <w:rsid w:val="005118DC"/>
    <w:rsid w:val="00511A23"/>
    <w:rsid w:val="005129E8"/>
    <w:rsid w:val="00515DAB"/>
    <w:rsid w:val="00516A3A"/>
    <w:rsid w:val="00516AD6"/>
    <w:rsid w:val="00517DCF"/>
    <w:rsid w:val="00517EE0"/>
    <w:rsid w:val="0052098C"/>
    <w:rsid w:val="00520D71"/>
    <w:rsid w:val="00521BB8"/>
    <w:rsid w:val="00522171"/>
    <w:rsid w:val="00522799"/>
    <w:rsid w:val="00523573"/>
    <w:rsid w:val="00523DBD"/>
    <w:rsid w:val="00524031"/>
    <w:rsid w:val="005249CC"/>
    <w:rsid w:val="005259C0"/>
    <w:rsid w:val="00526FFC"/>
    <w:rsid w:val="00527393"/>
    <w:rsid w:val="00530C4E"/>
    <w:rsid w:val="00531DDF"/>
    <w:rsid w:val="00532D76"/>
    <w:rsid w:val="005350B3"/>
    <w:rsid w:val="0053539B"/>
    <w:rsid w:val="00535FDD"/>
    <w:rsid w:val="00536C49"/>
    <w:rsid w:val="00537A04"/>
    <w:rsid w:val="00540418"/>
    <w:rsid w:val="005417E5"/>
    <w:rsid w:val="00541D74"/>
    <w:rsid w:val="005435C2"/>
    <w:rsid w:val="005436DB"/>
    <w:rsid w:val="00544F42"/>
    <w:rsid w:val="00545B6D"/>
    <w:rsid w:val="00547E08"/>
    <w:rsid w:val="005502C3"/>
    <w:rsid w:val="005512D8"/>
    <w:rsid w:val="00551BA4"/>
    <w:rsid w:val="00552D30"/>
    <w:rsid w:val="005533F8"/>
    <w:rsid w:val="00553CED"/>
    <w:rsid w:val="005546A1"/>
    <w:rsid w:val="00554F02"/>
    <w:rsid w:val="00555D54"/>
    <w:rsid w:val="00555F7D"/>
    <w:rsid w:val="005607FC"/>
    <w:rsid w:val="00563A40"/>
    <w:rsid w:val="00565235"/>
    <w:rsid w:val="00565893"/>
    <w:rsid w:val="00565916"/>
    <w:rsid w:val="0056689C"/>
    <w:rsid w:val="00567E5D"/>
    <w:rsid w:val="0057109E"/>
    <w:rsid w:val="00572985"/>
    <w:rsid w:val="00573336"/>
    <w:rsid w:val="00573552"/>
    <w:rsid w:val="005739CA"/>
    <w:rsid w:val="00574BB7"/>
    <w:rsid w:val="00574F7B"/>
    <w:rsid w:val="00576055"/>
    <w:rsid w:val="005762D9"/>
    <w:rsid w:val="00577917"/>
    <w:rsid w:val="00577989"/>
    <w:rsid w:val="00580EC5"/>
    <w:rsid w:val="00582FB0"/>
    <w:rsid w:val="00583718"/>
    <w:rsid w:val="00584494"/>
    <w:rsid w:val="005879E6"/>
    <w:rsid w:val="00587E61"/>
    <w:rsid w:val="00590754"/>
    <w:rsid w:val="00590812"/>
    <w:rsid w:val="00592A3E"/>
    <w:rsid w:val="00593226"/>
    <w:rsid w:val="00593F7C"/>
    <w:rsid w:val="00595B1C"/>
    <w:rsid w:val="00595B28"/>
    <w:rsid w:val="0059675B"/>
    <w:rsid w:val="005969A4"/>
    <w:rsid w:val="005A125B"/>
    <w:rsid w:val="005A167D"/>
    <w:rsid w:val="005A300F"/>
    <w:rsid w:val="005A3A8E"/>
    <w:rsid w:val="005A58A6"/>
    <w:rsid w:val="005A5A5B"/>
    <w:rsid w:val="005B0A40"/>
    <w:rsid w:val="005B0A94"/>
    <w:rsid w:val="005B12D8"/>
    <w:rsid w:val="005B2BB4"/>
    <w:rsid w:val="005B2BF6"/>
    <w:rsid w:val="005B5DF7"/>
    <w:rsid w:val="005B7431"/>
    <w:rsid w:val="005B77E1"/>
    <w:rsid w:val="005C0C8E"/>
    <w:rsid w:val="005C2D2C"/>
    <w:rsid w:val="005C406B"/>
    <w:rsid w:val="005C4B48"/>
    <w:rsid w:val="005C51C0"/>
    <w:rsid w:val="005C529D"/>
    <w:rsid w:val="005C5614"/>
    <w:rsid w:val="005C5682"/>
    <w:rsid w:val="005C588A"/>
    <w:rsid w:val="005C6071"/>
    <w:rsid w:val="005C6EDF"/>
    <w:rsid w:val="005C723F"/>
    <w:rsid w:val="005C7ACF"/>
    <w:rsid w:val="005D0CA7"/>
    <w:rsid w:val="005D0EA2"/>
    <w:rsid w:val="005D4ACD"/>
    <w:rsid w:val="005D52EC"/>
    <w:rsid w:val="005D733C"/>
    <w:rsid w:val="005E1974"/>
    <w:rsid w:val="005E2685"/>
    <w:rsid w:val="005E278D"/>
    <w:rsid w:val="005E3AF1"/>
    <w:rsid w:val="005E3F95"/>
    <w:rsid w:val="005E47BB"/>
    <w:rsid w:val="005E5015"/>
    <w:rsid w:val="005E5CB7"/>
    <w:rsid w:val="005E7153"/>
    <w:rsid w:val="005E7184"/>
    <w:rsid w:val="005E75D9"/>
    <w:rsid w:val="005F1DB4"/>
    <w:rsid w:val="005F2232"/>
    <w:rsid w:val="005F37C2"/>
    <w:rsid w:val="005F4C76"/>
    <w:rsid w:val="005F4F56"/>
    <w:rsid w:val="005F74AD"/>
    <w:rsid w:val="00600555"/>
    <w:rsid w:val="00601D92"/>
    <w:rsid w:val="00602210"/>
    <w:rsid w:val="00604080"/>
    <w:rsid w:val="00604EAF"/>
    <w:rsid w:val="00605AA8"/>
    <w:rsid w:val="00606EA6"/>
    <w:rsid w:val="00610D08"/>
    <w:rsid w:val="00611EAA"/>
    <w:rsid w:val="006125D4"/>
    <w:rsid w:val="006134D1"/>
    <w:rsid w:val="00613C3B"/>
    <w:rsid w:val="006140EB"/>
    <w:rsid w:val="00615B16"/>
    <w:rsid w:val="00615BED"/>
    <w:rsid w:val="00615C7D"/>
    <w:rsid w:val="006177DE"/>
    <w:rsid w:val="006230CD"/>
    <w:rsid w:val="00623513"/>
    <w:rsid w:val="0062369A"/>
    <w:rsid w:val="00624BD0"/>
    <w:rsid w:val="00624D10"/>
    <w:rsid w:val="00627195"/>
    <w:rsid w:val="00627D5D"/>
    <w:rsid w:val="006318E6"/>
    <w:rsid w:val="00631B1E"/>
    <w:rsid w:val="00634299"/>
    <w:rsid w:val="00635229"/>
    <w:rsid w:val="00635990"/>
    <w:rsid w:val="00635A43"/>
    <w:rsid w:val="00635F80"/>
    <w:rsid w:val="00636FC7"/>
    <w:rsid w:val="00640AC5"/>
    <w:rsid w:val="00641530"/>
    <w:rsid w:val="006439AF"/>
    <w:rsid w:val="006441F0"/>
    <w:rsid w:val="00645109"/>
    <w:rsid w:val="00645CC0"/>
    <w:rsid w:val="00647D52"/>
    <w:rsid w:val="006525DC"/>
    <w:rsid w:val="00652806"/>
    <w:rsid w:val="00652B5A"/>
    <w:rsid w:val="00652D50"/>
    <w:rsid w:val="00653501"/>
    <w:rsid w:val="00655262"/>
    <w:rsid w:val="0065527C"/>
    <w:rsid w:val="00655307"/>
    <w:rsid w:val="006577D1"/>
    <w:rsid w:val="00657EB2"/>
    <w:rsid w:val="00660324"/>
    <w:rsid w:val="006603A4"/>
    <w:rsid w:val="00660769"/>
    <w:rsid w:val="00660D57"/>
    <w:rsid w:val="00661314"/>
    <w:rsid w:val="00661A8F"/>
    <w:rsid w:val="00661BA7"/>
    <w:rsid w:val="006629DA"/>
    <w:rsid w:val="00663384"/>
    <w:rsid w:val="006633BF"/>
    <w:rsid w:val="00663409"/>
    <w:rsid w:val="006646E7"/>
    <w:rsid w:val="00664A02"/>
    <w:rsid w:val="006651D8"/>
    <w:rsid w:val="00665228"/>
    <w:rsid w:val="0066523E"/>
    <w:rsid w:val="00666261"/>
    <w:rsid w:val="006668BA"/>
    <w:rsid w:val="0067128D"/>
    <w:rsid w:val="006714B4"/>
    <w:rsid w:val="006719B6"/>
    <w:rsid w:val="006724F0"/>
    <w:rsid w:val="0067404B"/>
    <w:rsid w:val="00674259"/>
    <w:rsid w:val="00674B76"/>
    <w:rsid w:val="00677961"/>
    <w:rsid w:val="0068155A"/>
    <w:rsid w:val="00682137"/>
    <w:rsid w:val="006827B2"/>
    <w:rsid w:val="006832D3"/>
    <w:rsid w:val="00685C3B"/>
    <w:rsid w:val="00685ECF"/>
    <w:rsid w:val="0068623C"/>
    <w:rsid w:val="006870D5"/>
    <w:rsid w:val="00691C5D"/>
    <w:rsid w:val="006936FA"/>
    <w:rsid w:val="00693D63"/>
    <w:rsid w:val="00694AAA"/>
    <w:rsid w:val="00694C7C"/>
    <w:rsid w:val="0069630A"/>
    <w:rsid w:val="00696349"/>
    <w:rsid w:val="006A00BC"/>
    <w:rsid w:val="006A0CE8"/>
    <w:rsid w:val="006A1727"/>
    <w:rsid w:val="006A3891"/>
    <w:rsid w:val="006A4EC0"/>
    <w:rsid w:val="006A5B98"/>
    <w:rsid w:val="006A686B"/>
    <w:rsid w:val="006A72A2"/>
    <w:rsid w:val="006B0929"/>
    <w:rsid w:val="006B1AA1"/>
    <w:rsid w:val="006B208C"/>
    <w:rsid w:val="006B35DB"/>
    <w:rsid w:val="006B37CD"/>
    <w:rsid w:val="006B68FB"/>
    <w:rsid w:val="006B708D"/>
    <w:rsid w:val="006B7960"/>
    <w:rsid w:val="006C0819"/>
    <w:rsid w:val="006C164A"/>
    <w:rsid w:val="006C3A96"/>
    <w:rsid w:val="006C4926"/>
    <w:rsid w:val="006C4978"/>
    <w:rsid w:val="006C4AAB"/>
    <w:rsid w:val="006C57D7"/>
    <w:rsid w:val="006C66D3"/>
    <w:rsid w:val="006C7949"/>
    <w:rsid w:val="006C7DF2"/>
    <w:rsid w:val="006D0501"/>
    <w:rsid w:val="006D0970"/>
    <w:rsid w:val="006D09A1"/>
    <w:rsid w:val="006D0EF0"/>
    <w:rsid w:val="006D1142"/>
    <w:rsid w:val="006D161F"/>
    <w:rsid w:val="006D1ACD"/>
    <w:rsid w:val="006D1AD2"/>
    <w:rsid w:val="006D1D15"/>
    <w:rsid w:val="006D3144"/>
    <w:rsid w:val="006D39DC"/>
    <w:rsid w:val="006D3E37"/>
    <w:rsid w:val="006D44F3"/>
    <w:rsid w:val="006D5CAF"/>
    <w:rsid w:val="006D6689"/>
    <w:rsid w:val="006D78E8"/>
    <w:rsid w:val="006E016C"/>
    <w:rsid w:val="006E1101"/>
    <w:rsid w:val="006E18BE"/>
    <w:rsid w:val="006E2C1A"/>
    <w:rsid w:val="006E49A4"/>
    <w:rsid w:val="006F27A0"/>
    <w:rsid w:val="006F36FD"/>
    <w:rsid w:val="006F38E8"/>
    <w:rsid w:val="006F3B54"/>
    <w:rsid w:val="006F55ED"/>
    <w:rsid w:val="006F5E43"/>
    <w:rsid w:val="006F6351"/>
    <w:rsid w:val="0070141C"/>
    <w:rsid w:val="00702849"/>
    <w:rsid w:val="00703135"/>
    <w:rsid w:val="00705066"/>
    <w:rsid w:val="00705EB7"/>
    <w:rsid w:val="0070691E"/>
    <w:rsid w:val="00706A3F"/>
    <w:rsid w:val="00706DB8"/>
    <w:rsid w:val="00707CB1"/>
    <w:rsid w:val="007109EB"/>
    <w:rsid w:val="00711141"/>
    <w:rsid w:val="00711270"/>
    <w:rsid w:val="00712A52"/>
    <w:rsid w:val="00712F3E"/>
    <w:rsid w:val="00714748"/>
    <w:rsid w:val="00714F37"/>
    <w:rsid w:val="00716E4C"/>
    <w:rsid w:val="0072123C"/>
    <w:rsid w:val="00722542"/>
    <w:rsid w:val="007232B1"/>
    <w:rsid w:val="00723B2D"/>
    <w:rsid w:val="0072596E"/>
    <w:rsid w:val="007276CF"/>
    <w:rsid w:val="00727BD1"/>
    <w:rsid w:val="00730CC8"/>
    <w:rsid w:val="00730FB9"/>
    <w:rsid w:val="00731660"/>
    <w:rsid w:val="00732241"/>
    <w:rsid w:val="0073314C"/>
    <w:rsid w:val="00733EBA"/>
    <w:rsid w:val="00734A63"/>
    <w:rsid w:val="00737A47"/>
    <w:rsid w:val="00740136"/>
    <w:rsid w:val="00740BA8"/>
    <w:rsid w:val="0074138A"/>
    <w:rsid w:val="007427F9"/>
    <w:rsid w:val="00742DBA"/>
    <w:rsid w:val="0074484C"/>
    <w:rsid w:val="00745A45"/>
    <w:rsid w:val="00745D02"/>
    <w:rsid w:val="00745DE0"/>
    <w:rsid w:val="00746D10"/>
    <w:rsid w:val="00746F1C"/>
    <w:rsid w:val="00747035"/>
    <w:rsid w:val="00747C51"/>
    <w:rsid w:val="00752070"/>
    <w:rsid w:val="0075220C"/>
    <w:rsid w:val="0075368D"/>
    <w:rsid w:val="0075406D"/>
    <w:rsid w:val="007540E1"/>
    <w:rsid w:val="00754A22"/>
    <w:rsid w:val="00755421"/>
    <w:rsid w:val="00756314"/>
    <w:rsid w:val="00756A95"/>
    <w:rsid w:val="00757EDA"/>
    <w:rsid w:val="00762EC9"/>
    <w:rsid w:val="007631A8"/>
    <w:rsid w:val="00763DE0"/>
    <w:rsid w:val="00764833"/>
    <w:rsid w:val="00765A21"/>
    <w:rsid w:val="0077039C"/>
    <w:rsid w:val="00770F77"/>
    <w:rsid w:val="007716CB"/>
    <w:rsid w:val="00771710"/>
    <w:rsid w:val="007729F5"/>
    <w:rsid w:val="00772E48"/>
    <w:rsid w:val="00772F06"/>
    <w:rsid w:val="007747F1"/>
    <w:rsid w:val="00774D49"/>
    <w:rsid w:val="00774FA8"/>
    <w:rsid w:val="007760FF"/>
    <w:rsid w:val="00776A19"/>
    <w:rsid w:val="00780DC3"/>
    <w:rsid w:val="00781DE2"/>
    <w:rsid w:val="0078447E"/>
    <w:rsid w:val="007848CB"/>
    <w:rsid w:val="00784B86"/>
    <w:rsid w:val="00784CD8"/>
    <w:rsid w:val="00786097"/>
    <w:rsid w:val="00787227"/>
    <w:rsid w:val="00787C20"/>
    <w:rsid w:val="00787D04"/>
    <w:rsid w:val="00790E5C"/>
    <w:rsid w:val="0079354B"/>
    <w:rsid w:val="0079631F"/>
    <w:rsid w:val="007969B6"/>
    <w:rsid w:val="007A1009"/>
    <w:rsid w:val="007A15EF"/>
    <w:rsid w:val="007A243A"/>
    <w:rsid w:val="007A260E"/>
    <w:rsid w:val="007A2692"/>
    <w:rsid w:val="007A316E"/>
    <w:rsid w:val="007A3E81"/>
    <w:rsid w:val="007A5E24"/>
    <w:rsid w:val="007A6B5C"/>
    <w:rsid w:val="007A7A11"/>
    <w:rsid w:val="007A7D7C"/>
    <w:rsid w:val="007B0606"/>
    <w:rsid w:val="007B43FC"/>
    <w:rsid w:val="007B49AC"/>
    <w:rsid w:val="007B53AB"/>
    <w:rsid w:val="007B5503"/>
    <w:rsid w:val="007B57DB"/>
    <w:rsid w:val="007B5FEA"/>
    <w:rsid w:val="007C08FC"/>
    <w:rsid w:val="007C16CE"/>
    <w:rsid w:val="007C2E54"/>
    <w:rsid w:val="007C3795"/>
    <w:rsid w:val="007C593C"/>
    <w:rsid w:val="007C5BFF"/>
    <w:rsid w:val="007C7F91"/>
    <w:rsid w:val="007D06E1"/>
    <w:rsid w:val="007D0AE4"/>
    <w:rsid w:val="007D0BB7"/>
    <w:rsid w:val="007D0EE4"/>
    <w:rsid w:val="007D28C7"/>
    <w:rsid w:val="007D3279"/>
    <w:rsid w:val="007D3A93"/>
    <w:rsid w:val="007D49B6"/>
    <w:rsid w:val="007D61E3"/>
    <w:rsid w:val="007D6303"/>
    <w:rsid w:val="007D691E"/>
    <w:rsid w:val="007D747D"/>
    <w:rsid w:val="007E05E1"/>
    <w:rsid w:val="007E2096"/>
    <w:rsid w:val="007E2F5D"/>
    <w:rsid w:val="007E3A6A"/>
    <w:rsid w:val="007E3D32"/>
    <w:rsid w:val="007E3FEB"/>
    <w:rsid w:val="007E5BA1"/>
    <w:rsid w:val="007E7DED"/>
    <w:rsid w:val="007F033C"/>
    <w:rsid w:val="007F0500"/>
    <w:rsid w:val="007F296E"/>
    <w:rsid w:val="007F3573"/>
    <w:rsid w:val="007F4B42"/>
    <w:rsid w:val="007F65D4"/>
    <w:rsid w:val="007F6853"/>
    <w:rsid w:val="007F6954"/>
    <w:rsid w:val="007F6F5B"/>
    <w:rsid w:val="008005FD"/>
    <w:rsid w:val="008013B7"/>
    <w:rsid w:val="008017B1"/>
    <w:rsid w:val="00802572"/>
    <w:rsid w:val="008031E7"/>
    <w:rsid w:val="00803514"/>
    <w:rsid w:val="00804D6A"/>
    <w:rsid w:val="008055FC"/>
    <w:rsid w:val="0080567B"/>
    <w:rsid w:val="00806269"/>
    <w:rsid w:val="008128D1"/>
    <w:rsid w:val="00814CFE"/>
    <w:rsid w:val="00815F6B"/>
    <w:rsid w:val="00815FB4"/>
    <w:rsid w:val="00817804"/>
    <w:rsid w:val="00820BD1"/>
    <w:rsid w:val="00821F65"/>
    <w:rsid w:val="00823187"/>
    <w:rsid w:val="0082334C"/>
    <w:rsid w:val="00823958"/>
    <w:rsid w:val="00824250"/>
    <w:rsid w:val="00825369"/>
    <w:rsid w:val="00826650"/>
    <w:rsid w:val="0082706F"/>
    <w:rsid w:val="008272EC"/>
    <w:rsid w:val="008279BF"/>
    <w:rsid w:val="00830623"/>
    <w:rsid w:val="00830ADD"/>
    <w:rsid w:val="0083119C"/>
    <w:rsid w:val="0083391D"/>
    <w:rsid w:val="00833E39"/>
    <w:rsid w:val="00833E74"/>
    <w:rsid w:val="00834760"/>
    <w:rsid w:val="00834867"/>
    <w:rsid w:val="008363B2"/>
    <w:rsid w:val="00837B5E"/>
    <w:rsid w:val="008414CD"/>
    <w:rsid w:val="00841D04"/>
    <w:rsid w:val="0084326E"/>
    <w:rsid w:val="00843EF4"/>
    <w:rsid w:val="00845033"/>
    <w:rsid w:val="0084650A"/>
    <w:rsid w:val="00846A30"/>
    <w:rsid w:val="0084757B"/>
    <w:rsid w:val="0084767B"/>
    <w:rsid w:val="00847FC0"/>
    <w:rsid w:val="00851D87"/>
    <w:rsid w:val="00851DEA"/>
    <w:rsid w:val="00854504"/>
    <w:rsid w:val="0085505A"/>
    <w:rsid w:val="0085559F"/>
    <w:rsid w:val="00855E1D"/>
    <w:rsid w:val="0085619C"/>
    <w:rsid w:val="008605FC"/>
    <w:rsid w:val="0086212C"/>
    <w:rsid w:val="00862FBB"/>
    <w:rsid w:val="0086318A"/>
    <w:rsid w:val="00863524"/>
    <w:rsid w:val="00863E35"/>
    <w:rsid w:val="00865BF9"/>
    <w:rsid w:val="00866030"/>
    <w:rsid w:val="00867214"/>
    <w:rsid w:val="00871397"/>
    <w:rsid w:val="008734C9"/>
    <w:rsid w:val="00874B87"/>
    <w:rsid w:val="008751E2"/>
    <w:rsid w:val="00876037"/>
    <w:rsid w:val="008760C7"/>
    <w:rsid w:val="0087623C"/>
    <w:rsid w:val="00882D29"/>
    <w:rsid w:val="0088353C"/>
    <w:rsid w:val="00883DEC"/>
    <w:rsid w:val="0088577B"/>
    <w:rsid w:val="008874A8"/>
    <w:rsid w:val="008875E9"/>
    <w:rsid w:val="00893063"/>
    <w:rsid w:val="00894245"/>
    <w:rsid w:val="008947CC"/>
    <w:rsid w:val="008977E8"/>
    <w:rsid w:val="00897CBF"/>
    <w:rsid w:val="00897E52"/>
    <w:rsid w:val="008A0CEE"/>
    <w:rsid w:val="008A21B9"/>
    <w:rsid w:val="008A3AE0"/>
    <w:rsid w:val="008A5652"/>
    <w:rsid w:val="008B1404"/>
    <w:rsid w:val="008B1FD3"/>
    <w:rsid w:val="008B3B8E"/>
    <w:rsid w:val="008B4027"/>
    <w:rsid w:val="008B5AA9"/>
    <w:rsid w:val="008B66D4"/>
    <w:rsid w:val="008B7536"/>
    <w:rsid w:val="008C0102"/>
    <w:rsid w:val="008C16A0"/>
    <w:rsid w:val="008C2721"/>
    <w:rsid w:val="008C3AA6"/>
    <w:rsid w:val="008C4640"/>
    <w:rsid w:val="008C46F3"/>
    <w:rsid w:val="008C64F0"/>
    <w:rsid w:val="008C7514"/>
    <w:rsid w:val="008C795D"/>
    <w:rsid w:val="008D0FA7"/>
    <w:rsid w:val="008D32ED"/>
    <w:rsid w:val="008D3C7B"/>
    <w:rsid w:val="008D3E60"/>
    <w:rsid w:val="008D489F"/>
    <w:rsid w:val="008E09A8"/>
    <w:rsid w:val="008E1478"/>
    <w:rsid w:val="008E153D"/>
    <w:rsid w:val="008E1D05"/>
    <w:rsid w:val="008E2B3F"/>
    <w:rsid w:val="008E2C40"/>
    <w:rsid w:val="008E3B43"/>
    <w:rsid w:val="008E4141"/>
    <w:rsid w:val="008E41F0"/>
    <w:rsid w:val="008E4871"/>
    <w:rsid w:val="008E5963"/>
    <w:rsid w:val="008E6222"/>
    <w:rsid w:val="008F14D4"/>
    <w:rsid w:val="008F24D2"/>
    <w:rsid w:val="008F34D6"/>
    <w:rsid w:val="008F353E"/>
    <w:rsid w:val="008F4EB9"/>
    <w:rsid w:val="008F553F"/>
    <w:rsid w:val="008F5C2C"/>
    <w:rsid w:val="008F640E"/>
    <w:rsid w:val="008F78C4"/>
    <w:rsid w:val="008F7DF2"/>
    <w:rsid w:val="00900441"/>
    <w:rsid w:val="00900C5D"/>
    <w:rsid w:val="00900D52"/>
    <w:rsid w:val="00901B24"/>
    <w:rsid w:val="0090205C"/>
    <w:rsid w:val="0090322D"/>
    <w:rsid w:val="009041A0"/>
    <w:rsid w:val="0090632B"/>
    <w:rsid w:val="00907234"/>
    <w:rsid w:val="009076EC"/>
    <w:rsid w:val="00910609"/>
    <w:rsid w:val="0091164F"/>
    <w:rsid w:val="00911D35"/>
    <w:rsid w:val="00911E08"/>
    <w:rsid w:val="00913DCF"/>
    <w:rsid w:val="009232C7"/>
    <w:rsid w:val="00925337"/>
    <w:rsid w:val="00925F70"/>
    <w:rsid w:val="00927C59"/>
    <w:rsid w:val="00927D4C"/>
    <w:rsid w:val="009307F4"/>
    <w:rsid w:val="0093094E"/>
    <w:rsid w:val="00931003"/>
    <w:rsid w:val="009321D6"/>
    <w:rsid w:val="00933A04"/>
    <w:rsid w:val="009346E0"/>
    <w:rsid w:val="009376D6"/>
    <w:rsid w:val="009416D8"/>
    <w:rsid w:val="00941905"/>
    <w:rsid w:val="009423C6"/>
    <w:rsid w:val="00942A2F"/>
    <w:rsid w:val="00942F9B"/>
    <w:rsid w:val="009430B7"/>
    <w:rsid w:val="00945233"/>
    <w:rsid w:val="009512C5"/>
    <w:rsid w:val="00951B5F"/>
    <w:rsid w:val="00952B45"/>
    <w:rsid w:val="00953CA8"/>
    <w:rsid w:val="0095495C"/>
    <w:rsid w:val="00954D9B"/>
    <w:rsid w:val="0095599E"/>
    <w:rsid w:val="00955AA2"/>
    <w:rsid w:val="00955D40"/>
    <w:rsid w:val="0095788F"/>
    <w:rsid w:val="00957FC8"/>
    <w:rsid w:val="0096019D"/>
    <w:rsid w:val="00961772"/>
    <w:rsid w:val="00963BB6"/>
    <w:rsid w:val="00964AA4"/>
    <w:rsid w:val="00964BC8"/>
    <w:rsid w:val="00964E0D"/>
    <w:rsid w:val="00965D0E"/>
    <w:rsid w:val="009661D6"/>
    <w:rsid w:val="00967173"/>
    <w:rsid w:val="00967D0A"/>
    <w:rsid w:val="009721E1"/>
    <w:rsid w:val="00972F90"/>
    <w:rsid w:val="0097320F"/>
    <w:rsid w:val="009754B3"/>
    <w:rsid w:val="009760CD"/>
    <w:rsid w:val="0097671C"/>
    <w:rsid w:val="009770A5"/>
    <w:rsid w:val="0098003B"/>
    <w:rsid w:val="0098034E"/>
    <w:rsid w:val="0098227E"/>
    <w:rsid w:val="00982DEA"/>
    <w:rsid w:val="00982E27"/>
    <w:rsid w:val="0098417E"/>
    <w:rsid w:val="00984509"/>
    <w:rsid w:val="00985752"/>
    <w:rsid w:val="00990350"/>
    <w:rsid w:val="00990E57"/>
    <w:rsid w:val="00991FAE"/>
    <w:rsid w:val="0099538E"/>
    <w:rsid w:val="009A0B36"/>
    <w:rsid w:val="009A1294"/>
    <w:rsid w:val="009A35BE"/>
    <w:rsid w:val="009A38E9"/>
    <w:rsid w:val="009A43CE"/>
    <w:rsid w:val="009A5E45"/>
    <w:rsid w:val="009A6745"/>
    <w:rsid w:val="009A7473"/>
    <w:rsid w:val="009A7766"/>
    <w:rsid w:val="009A7A57"/>
    <w:rsid w:val="009B22E2"/>
    <w:rsid w:val="009B2A26"/>
    <w:rsid w:val="009B39F7"/>
    <w:rsid w:val="009B3C61"/>
    <w:rsid w:val="009B3D6A"/>
    <w:rsid w:val="009B41AB"/>
    <w:rsid w:val="009B7C79"/>
    <w:rsid w:val="009C235F"/>
    <w:rsid w:val="009C3338"/>
    <w:rsid w:val="009C396B"/>
    <w:rsid w:val="009C4577"/>
    <w:rsid w:val="009C467A"/>
    <w:rsid w:val="009C5AC5"/>
    <w:rsid w:val="009C5D10"/>
    <w:rsid w:val="009C6F2C"/>
    <w:rsid w:val="009D1BAB"/>
    <w:rsid w:val="009D2A10"/>
    <w:rsid w:val="009D2B3A"/>
    <w:rsid w:val="009D3945"/>
    <w:rsid w:val="009D4773"/>
    <w:rsid w:val="009D5B69"/>
    <w:rsid w:val="009D6017"/>
    <w:rsid w:val="009E4B6E"/>
    <w:rsid w:val="009E5990"/>
    <w:rsid w:val="009E7175"/>
    <w:rsid w:val="009E7944"/>
    <w:rsid w:val="009F0957"/>
    <w:rsid w:val="009F4CF9"/>
    <w:rsid w:val="009F50DE"/>
    <w:rsid w:val="009F536E"/>
    <w:rsid w:val="009F57E1"/>
    <w:rsid w:val="00A00EAC"/>
    <w:rsid w:val="00A01B30"/>
    <w:rsid w:val="00A02147"/>
    <w:rsid w:val="00A03ECE"/>
    <w:rsid w:val="00A05829"/>
    <w:rsid w:val="00A05838"/>
    <w:rsid w:val="00A074D9"/>
    <w:rsid w:val="00A07DCF"/>
    <w:rsid w:val="00A1219D"/>
    <w:rsid w:val="00A12C0C"/>
    <w:rsid w:val="00A12CD7"/>
    <w:rsid w:val="00A1398A"/>
    <w:rsid w:val="00A15556"/>
    <w:rsid w:val="00A17DC4"/>
    <w:rsid w:val="00A20DBE"/>
    <w:rsid w:val="00A21055"/>
    <w:rsid w:val="00A22ABB"/>
    <w:rsid w:val="00A2306B"/>
    <w:rsid w:val="00A23724"/>
    <w:rsid w:val="00A23D19"/>
    <w:rsid w:val="00A26339"/>
    <w:rsid w:val="00A27F72"/>
    <w:rsid w:val="00A300F2"/>
    <w:rsid w:val="00A30FCF"/>
    <w:rsid w:val="00A31E9D"/>
    <w:rsid w:val="00A3237D"/>
    <w:rsid w:val="00A33F71"/>
    <w:rsid w:val="00A34353"/>
    <w:rsid w:val="00A343E1"/>
    <w:rsid w:val="00A353FF"/>
    <w:rsid w:val="00A37095"/>
    <w:rsid w:val="00A41A79"/>
    <w:rsid w:val="00A421A3"/>
    <w:rsid w:val="00A4360A"/>
    <w:rsid w:val="00A46195"/>
    <w:rsid w:val="00A46B1A"/>
    <w:rsid w:val="00A479CC"/>
    <w:rsid w:val="00A47B75"/>
    <w:rsid w:val="00A47C79"/>
    <w:rsid w:val="00A50271"/>
    <w:rsid w:val="00A50D2D"/>
    <w:rsid w:val="00A546EC"/>
    <w:rsid w:val="00A54749"/>
    <w:rsid w:val="00A550AE"/>
    <w:rsid w:val="00A558D9"/>
    <w:rsid w:val="00A56B10"/>
    <w:rsid w:val="00A56FBB"/>
    <w:rsid w:val="00A57056"/>
    <w:rsid w:val="00A57837"/>
    <w:rsid w:val="00A603E2"/>
    <w:rsid w:val="00A62310"/>
    <w:rsid w:val="00A628A4"/>
    <w:rsid w:val="00A6291F"/>
    <w:rsid w:val="00A6392C"/>
    <w:rsid w:val="00A67DCF"/>
    <w:rsid w:val="00A70237"/>
    <w:rsid w:val="00A7248F"/>
    <w:rsid w:val="00A72849"/>
    <w:rsid w:val="00A74548"/>
    <w:rsid w:val="00A7472D"/>
    <w:rsid w:val="00A75B09"/>
    <w:rsid w:val="00A7699F"/>
    <w:rsid w:val="00A76E62"/>
    <w:rsid w:val="00A77936"/>
    <w:rsid w:val="00A8234E"/>
    <w:rsid w:val="00A82696"/>
    <w:rsid w:val="00A86DDD"/>
    <w:rsid w:val="00A92D6B"/>
    <w:rsid w:val="00A93214"/>
    <w:rsid w:val="00A93FF6"/>
    <w:rsid w:val="00A94513"/>
    <w:rsid w:val="00A95E1B"/>
    <w:rsid w:val="00A97B04"/>
    <w:rsid w:val="00AA103A"/>
    <w:rsid w:val="00AA1162"/>
    <w:rsid w:val="00AA1D13"/>
    <w:rsid w:val="00AA305C"/>
    <w:rsid w:val="00AA4AF8"/>
    <w:rsid w:val="00AA4CF5"/>
    <w:rsid w:val="00AA4D22"/>
    <w:rsid w:val="00AA561B"/>
    <w:rsid w:val="00AA69D7"/>
    <w:rsid w:val="00AB0556"/>
    <w:rsid w:val="00AB0620"/>
    <w:rsid w:val="00AB0D69"/>
    <w:rsid w:val="00AB0DBD"/>
    <w:rsid w:val="00AB1F96"/>
    <w:rsid w:val="00AB2057"/>
    <w:rsid w:val="00AB24AD"/>
    <w:rsid w:val="00AB2CF6"/>
    <w:rsid w:val="00AB4670"/>
    <w:rsid w:val="00AB57B3"/>
    <w:rsid w:val="00AB5BAC"/>
    <w:rsid w:val="00AC01B4"/>
    <w:rsid w:val="00AC0E3D"/>
    <w:rsid w:val="00AC1853"/>
    <w:rsid w:val="00AC33F2"/>
    <w:rsid w:val="00AC340A"/>
    <w:rsid w:val="00AC35E8"/>
    <w:rsid w:val="00AC4454"/>
    <w:rsid w:val="00AC4943"/>
    <w:rsid w:val="00AC55F8"/>
    <w:rsid w:val="00AC622A"/>
    <w:rsid w:val="00AC634B"/>
    <w:rsid w:val="00AC777E"/>
    <w:rsid w:val="00AD1220"/>
    <w:rsid w:val="00AD4347"/>
    <w:rsid w:val="00AD526B"/>
    <w:rsid w:val="00AD55B7"/>
    <w:rsid w:val="00AD6105"/>
    <w:rsid w:val="00AD6E00"/>
    <w:rsid w:val="00AD7288"/>
    <w:rsid w:val="00AD79B4"/>
    <w:rsid w:val="00AE08B6"/>
    <w:rsid w:val="00AE19B4"/>
    <w:rsid w:val="00AE24EF"/>
    <w:rsid w:val="00AE39D0"/>
    <w:rsid w:val="00AE400C"/>
    <w:rsid w:val="00AE4098"/>
    <w:rsid w:val="00AE4B59"/>
    <w:rsid w:val="00AE55C1"/>
    <w:rsid w:val="00AE5987"/>
    <w:rsid w:val="00AE5EE1"/>
    <w:rsid w:val="00AE769A"/>
    <w:rsid w:val="00AE7AB4"/>
    <w:rsid w:val="00AF0585"/>
    <w:rsid w:val="00AF15AA"/>
    <w:rsid w:val="00AF5BEA"/>
    <w:rsid w:val="00AF6475"/>
    <w:rsid w:val="00AF69B8"/>
    <w:rsid w:val="00AF6B79"/>
    <w:rsid w:val="00B0040D"/>
    <w:rsid w:val="00B042F7"/>
    <w:rsid w:val="00B04507"/>
    <w:rsid w:val="00B05C17"/>
    <w:rsid w:val="00B06FDC"/>
    <w:rsid w:val="00B073AA"/>
    <w:rsid w:val="00B116F6"/>
    <w:rsid w:val="00B14210"/>
    <w:rsid w:val="00B159E8"/>
    <w:rsid w:val="00B1678E"/>
    <w:rsid w:val="00B17892"/>
    <w:rsid w:val="00B17C16"/>
    <w:rsid w:val="00B20C60"/>
    <w:rsid w:val="00B20FFC"/>
    <w:rsid w:val="00B21578"/>
    <w:rsid w:val="00B21EDA"/>
    <w:rsid w:val="00B2277F"/>
    <w:rsid w:val="00B22853"/>
    <w:rsid w:val="00B23FF5"/>
    <w:rsid w:val="00B25DFF"/>
    <w:rsid w:val="00B2609E"/>
    <w:rsid w:val="00B30D6F"/>
    <w:rsid w:val="00B35201"/>
    <w:rsid w:val="00B35474"/>
    <w:rsid w:val="00B41F33"/>
    <w:rsid w:val="00B42228"/>
    <w:rsid w:val="00B42479"/>
    <w:rsid w:val="00B432CC"/>
    <w:rsid w:val="00B45EE4"/>
    <w:rsid w:val="00B47CAA"/>
    <w:rsid w:val="00B47E09"/>
    <w:rsid w:val="00B5242A"/>
    <w:rsid w:val="00B559CA"/>
    <w:rsid w:val="00B57FCD"/>
    <w:rsid w:val="00B61B21"/>
    <w:rsid w:val="00B6214F"/>
    <w:rsid w:val="00B630E4"/>
    <w:rsid w:val="00B63415"/>
    <w:rsid w:val="00B6669D"/>
    <w:rsid w:val="00B674C9"/>
    <w:rsid w:val="00B705AA"/>
    <w:rsid w:val="00B71340"/>
    <w:rsid w:val="00B726F1"/>
    <w:rsid w:val="00B730DE"/>
    <w:rsid w:val="00B7326D"/>
    <w:rsid w:val="00B740E4"/>
    <w:rsid w:val="00B74671"/>
    <w:rsid w:val="00B767BD"/>
    <w:rsid w:val="00B77175"/>
    <w:rsid w:val="00B77384"/>
    <w:rsid w:val="00B80085"/>
    <w:rsid w:val="00B81D93"/>
    <w:rsid w:val="00B8219F"/>
    <w:rsid w:val="00B83582"/>
    <w:rsid w:val="00B837A9"/>
    <w:rsid w:val="00B848FC"/>
    <w:rsid w:val="00B84EFF"/>
    <w:rsid w:val="00B85108"/>
    <w:rsid w:val="00B8635B"/>
    <w:rsid w:val="00B86734"/>
    <w:rsid w:val="00B90771"/>
    <w:rsid w:val="00B93229"/>
    <w:rsid w:val="00B93D2C"/>
    <w:rsid w:val="00B94F79"/>
    <w:rsid w:val="00B963E7"/>
    <w:rsid w:val="00B971DF"/>
    <w:rsid w:val="00B97FF4"/>
    <w:rsid w:val="00BA03E1"/>
    <w:rsid w:val="00BA0B4B"/>
    <w:rsid w:val="00BA209E"/>
    <w:rsid w:val="00BA4E31"/>
    <w:rsid w:val="00BA5562"/>
    <w:rsid w:val="00BA613F"/>
    <w:rsid w:val="00BA6C6B"/>
    <w:rsid w:val="00BA7948"/>
    <w:rsid w:val="00BA7B0B"/>
    <w:rsid w:val="00BA7B40"/>
    <w:rsid w:val="00BB0AF6"/>
    <w:rsid w:val="00BB0F1B"/>
    <w:rsid w:val="00BB2568"/>
    <w:rsid w:val="00BB3DC8"/>
    <w:rsid w:val="00BB630D"/>
    <w:rsid w:val="00BB748D"/>
    <w:rsid w:val="00BB7FD0"/>
    <w:rsid w:val="00BC0B8F"/>
    <w:rsid w:val="00BC0C51"/>
    <w:rsid w:val="00BC1E34"/>
    <w:rsid w:val="00BC2206"/>
    <w:rsid w:val="00BC2B92"/>
    <w:rsid w:val="00BC2C9E"/>
    <w:rsid w:val="00BC3C85"/>
    <w:rsid w:val="00BC46B7"/>
    <w:rsid w:val="00BC46FF"/>
    <w:rsid w:val="00BC5BF1"/>
    <w:rsid w:val="00BC62B2"/>
    <w:rsid w:val="00BC6DFD"/>
    <w:rsid w:val="00BD0B90"/>
    <w:rsid w:val="00BD3197"/>
    <w:rsid w:val="00BD35D4"/>
    <w:rsid w:val="00BD3849"/>
    <w:rsid w:val="00BD48B2"/>
    <w:rsid w:val="00BD5EE0"/>
    <w:rsid w:val="00BD681F"/>
    <w:rsid w:val="00BD727D"/>
    <w:rsid w:val="00BD740A"/>
    <w:rsid w:val="00BD766E"/>
    <w:rsid w:val="00BE1163"/>
    <w:rsid w:val="00BE4BA6"/>
    <w:rsid w:val="00BE6E65"/>
    <w:rsid w:val="00BE6F80"/>
    <w:rsid w:val="00BF022E"/>
    <w:rsid w:val="00BF02E4"/>
    <w:rsid w:val="00BF0611"/>
    <w:rsid w:val="00BF196C"/>
    <w:rsid w:val="00BF23B1"/>
    <w:rsid w:val="00BF339F"/>
    <w:rsid w:val="00BF3FD7"/>
    <w:rsid w:val="00BF4C20"/>
    <w:rsid w:val="00BF5366"/>
    <w:rsid w:val="00BF65B9"/>
    <w:rsid w:val="00BF6F2B"/>
    <w:rsid w:val="00BF75C4"/>
    <w:rsid w:val="00C02285"/>
    <w:rsid w:val="00C0285B"/>
    <w:rsid w:val="00C03A1A"/>
    <w:rsid w:val="00C03D18"/>
    <w:rsid w:val="00C04A46"/>
    <w:rsid w:val="00C04F90"/>
    <w:rsid w:val="00C055DC"/>
    <w:rsid w:val="00C07128"/>
    <w:rsid w:val="00C07295"/>
    <w:rsid w:val="00C10FE4"/>
    <w:rsid w:val="00C1127D"/>
    <w:rsid w:val="00C1141C"/>
    <w:rsid w:val="00C115E5"/>
    <w:rsid w:val="00C120B3"/>
    <w:rsid w:val="00C128D3"/>
    <w:rsid w:val="00C13C02"/>
    <w:rsid w:val="00C13FE8"/>
    <w:rsid w:val="00C14648"/>
    <w:rsid w:val="00C148B3"/>
    <w:rsid w:val="00C15198"/>
    <w:rsid w:val="00C1527A"/>
    <w:rsid w:val="00C1548C"/>
    <w:rsid w:val="00C17304"/>
    <w:rsid w:val="00C176D3"/>
    <w:rsid w:val="00C2014F"/>
    <w:rsid w:val="00C205EE"/>
    <w:rsid w:val="00C22016"/>
    <w:rsid w:val="00C22CC1"/>
    <w:rsid w:val="00C23060"/>
    <w:rsid w:val="00C24E31"/>
    <w:rsid w:val="00C27F55"/>
    <w:rsid w:val="00C305DC"/>
    <w:rsid w:val="00C31DB8"/>
    <w:rsid w:val="00C34FC8"/>
    <w:rsid w:val="00C35D3B"/>
    <w:rsid w:val="00C40449"/>
    <w:rsid w:val="00C40A42"/>
    <w:rsid w:val="00C4700E"/>
    <w:rsid w:val="00C47E62"/>
    <w:rsid w:val="00C50414"/>
    <w:rsid w:val="00C50486"/>
    <w:rsid w:val="00C50582"/>
    <w:rsid w:val="00C522FD"/>
    <w:rsid w:val="00C52603"/>
    <w:rsid w:val="00C541A7"/>
    <w:rsid w:val="00C561A6"/>
    <w:rsid w:val="00C576C7"/>
    <w:rsid w:val="00C605FE"/>
    <w:rsid w:val="00C61C35"/>
    <w:rsid w:val="00C626F8"/>
    <w:rsid w:val="00C64D77"/>
    <w:rsid w:val="00C6658E"/>
    <w:rsid w:val="00C67460"/>
    <w:rsid w:val="00C676AA"/>
    <w:rsid w:val="00C7089A"/>
    <w:rsid w:val="00C72F67"/>
    <w:rsid w:val="00C732F0"/>
    <w:rsid w:val="00C7503F"/>
    <w:rsid w:val="00C752CF"/>
    <w:rsid w:val="00C75332"/>
    <w:rsid w:val="00C776F8"/>
    <w:rsid w:val="00C8093B"/>
    <w:rsid w:val="00C822CA"/>
    <w:rsid w:val="00C822EE"/>
    <w:rsid w:val="00C82F56"/>
    <w:rsid w:val="00C840B0"/>
    <w:rsid w:val="00C8444C"/>
    <w:rsid w:val="00C84B9A"/>
    <w:rsid w:val="00C84D93"/>
    <w:rsid w:val="00C8622D"/>
    <w:rsid w:val="00C87E14"/>
    <w:rsid w:val="00C914EB"/>
    <w:rsid w:val="00C93753"/>
    <w:rsid w:val="00C93A03"/>
    <w:rsid w:val="00C965CE"/>
    <w:rsid w:val="00C97A94"/>
    <w:rsid w:val="00C97B3C"/>
    <w:rsid w:val="00CA092D"/>
    <w:rsid w:val="00CA2815"/>
    <w:rsid w:val="00CA437F"/>
    <w:rsid w:val="00CA55C3"/>
    <w:rsid w:val="00CA5780"/>
    <w:rsid w:val="00CA5FBD"/>
    <w:rsid w:val="00CA7B11"/>
    <w:rsid w:val="00CB1EC5"/>
    <w:rsid w:val="00CB512B"/>
    <w:rsid w:val="00CB5590"/>
    <w:rsid w:val="00CC098D"/>
    <w:rsid w:val="00CC0B13"/>
    <w:rsid w:val="00CC2AC3"/>
    <w:rsid w:val="00CC2B36"/>
    <w:rsid w:val="00CC32F5"/>
    <w:rsid w:val="00CC55A8"/>
    <w:rsid w:val="00CC78A8"/>
    <w:rsid w:val="00CC7944"/>
    <w:rsid w:val="00CD03FB"/>
    <w:rsid w:val="00CD10A6"/>
    <w:rsid w:val="00CD1921"/>
    <w:rsid w:val="00CD34D4"/>
    <w:rsid w:val="00CD5352"/>
    <w:rsid w:val="00CD5D9E"/>
    <w:rsid w:val="00CD5F74"/>
    <w:rsid w:val="00CD642E"/>
    <w:rsid w:val="00CD6528"/>
    <w:rsid w:val="00CD6A4D"/>
    <w:rsid w:val="00CD7453"/>
    <w:rsid w:val="00CE07F2"/>
    <w:rsid w:val="00CE3BAA"/>
    <w:rsid w:val="00CE3CAC"/>
    <w:rsid w:val="00CE5466"/>
    <w:rsid w:val="00CE7DE4"/>
    <w:rsid w:val="00CF03BB"/>
    <w:rsid w:val="00CF09D7"/>
    <w:rsid w:val="00CF1100"/>
    <w:rsid w:val="00CF1A22"/>
    <w:rsid w:val="00CF323D"/>
    <w:rsid w:val="00CF3A80"/>
    <w:rsid w:val="00CF5021"/>
    <w:rsid w:val="00CF5365"/>
    <w:rsid w:val="00CF655B"/>
    <w:rsid w:val="00CF749F"/>
    <w:rsid w:val="00CF7CFA"/>
    <w:rsid w:val="00D01878"/>
    <w:rsid w:val="00D029A5"/>
    <w:rsid w:val="00D02CF8"/>
    <w:rsid w:val="00D02DDA"/>
    <w:rsid w:val="00D03607"/>
    <w:rsid w:val="00D04A2B"/>
    <w:rsid w:val="00D0510E"/>
    <w:rsid w:val="00D1188C"/>
    <w:rsid w:val="00D137A6"/>
    <w:rsid w:val="00D1414D"/>
    <w:rsid w:val="00D14B7F"/>
    <w:rsid w:val="00D15825"/>
    <w:rsid w:val="00D168B2"/>
    <w:rsid w:val="00D21121"/>
    <w:rsid w:val="00D21508"/>
    <w:rsid w:val="00D228EF"/>
    <w:rsid w:val="00D22994"/>
    <w:rsid w:val="00D239A9"/>
    <w:rsid w:val="00D23BC1"/>
    <w:rsid w:val="00D30280"/>
    <w:rsid w:val="00D337E4"/>
    <w:rsid w:val="00D34BD8"/>
    <w:rsid w:val="00D35C3F"/>
    <w:rsid w:val="00D362EE"/>
    <w:rsid w:val="00D40BE2"/>
    <w:rsid w:val="00D417A7"/>
    <w:rsid w:val="00D426E4"/>
    <w:rsid w:val="00D42857"/>
    <w:rsid w:val="00D43411"/>
    <w:rsid w:val="00D435FF"/>
    <w:rsid w:val="00D465C6"/>
    <w:rsid w:val="00D46887"/>
    <w:rsid w:val="00D5000B"/>
    <w:rsid w:val="00D519F7"/>
    <w:rsid w:val="00D5283A"/>
    <w:rsid w:val="00D52EF6"/>
    <w:rsid w:val="00D53B30"/>
    <w:rsid w:val="00D544C5"/>
    <w:rsid w:val="00D5450D"/>
    <w:rsid w:val="00D54D1D"/>
    <w:rsid w:val="00D55219"/>
    <w:rsid w:val="00D555EA"/>
    <w:rsid w:val="00D56100"/>
    <w:rsid w:val="00D568C2"/>
    <w:rsid w:val="00D60BA2"/>
    <w:rsid w:val="00D60DEA"/>
    <w:rsid w:val="00D60FDD"/>
    <w:rsid w:val="00D624DA"/>
    <w:rsid w:val="00D62D3B"/>
    <w:rsid w:val="00D6335C"/>
    <w:rsid w:val="00D63393"/>
    <w:rsid w:val="00D63B8B"/>
    <w:rsid w:val="00D63F8E"/>
    <w:rsid w:val="00D66B68"/>
    <w:rsid w:val="00D66CA6"/>
    <w:rsid w:val="00D670E0"/>
    <w:rsid w:val="00D673C9"/>
    <w:rsid w:val="00D675DD"/>
    <w:rsid w:val="00D7335E"/>
    <w:rsid w:val="00D73CEA"/>
    <w:rsid w:val="00D747F1"/>
    <w:rsid w:val="00D7620A"/>
    <w:rsid w:val="00D765AB"/>
    <w:rsid w:val="00D76F1D"/>
    <w:rsid w:val="00D77C24"/>
    <w:rsid w:val="00D77F83"/>
    <w:rsid w:val="00D80C5E"/>
    <w:rsid w:val="00D81CDE"/>
    <w:rsid w:val="00D81EE1"/>
    <w:rsid w:val="00D82F3D"/>
    <w:rsid w:val="00D847F0"/>
    <w:rsid w:val="00D84AB3"/>
    <w:rsid w:val="00D84C89"/>
    <w:rsid w:val="00D84FD0"/>
    <w:rsid w:val="00D87233"/>
    <w:rsid w:val="00D87683"/>
    <w:rsid w:val="00D905D6"/>
    <w:rsid w:val="00D90A6D"/>
    <w:rsid w:val="00D93184"/>
    <w:rsid w:val="00D961DC"/>
    <w:rsid w:val="00D96F38"/>
    <w:rsid w:val="00DA0BB7"/>
    <w:rsid w:val="00DA266B"/>
    <w:rsid w:val="00DA2968"/>
    <w:rsid w:val="00DA2DD4"/>
    <w:rsid w:val="00DA4BF5"/>
    <w:rsid w:val="00DA5DA5"/>
    <w:rsid w:val="00DB12B6"/>
    <w:rsid w:val="00DB2C9D"/>
    <w:rsid w:val="00DB3714"/>
    <w:rsid w:val="00DB38B2"/>
    <w:rsid w:val="00DB417E"/>
    <w:rsid w:val="00DB53BD"/>
    <w:rsid w:val="00DB54F5"/>
    <w:rsid w:val="00DB7698"/>
    <w:rsid w:val="00DC397B"/>
    <w:rsid w:val="00DC441E"/>
    <w:rsid w:val="00DC517E"/>
    <w:rsid w:val="00DC5418"/>
    <w:rsid w:val="00DC60DF"/>
    <w:rsid w:val="00DC63BB"/>
    <w:rsid w:val="00DC74A3"/>
    <w:rsid w:val="00DD06A9"/>
    <w:rsid w:val="00DD3E8E"/>
    <w:rsid w:val="00DD41B1"/>
    <w:rsid w:val="00DD5A9E"/>
    <w:rsid w:val="00DD5E97"/>
    <w:rsid w:val="00DD7971"/>
    <w:rsid w:val="00DE0D44"/>
    <w:rsid w:val="00DE0D5A"/>
    <w:rsid w:val="00DE1F43"/>
    <w:rsid w:val="00DE2CF1"/>
    <w:rsid w:val="00DE2E69"/>
    <w:rsid w:val="00DE65AE"/>
    <w:rsid w:val="00DF0999"/>
    <w:rsid w:val="00DF2385"/>
    <w:rsid w:val="00DF2541"/>
    <w:rsid w:val="00DF2804"/>
    <w:rsid w:val="00DF7C92"/>
    <w:rsid w:val="00E003FA"/>
    <w:rsid w:val="00E0154B"/>
    <w:rsid w:val="00E0237E"/>
    <w:rsid w:val="00E02593"/>
    <w:rsid w:val="00E02897"/>
    <w:rsid w:val="00E047D0"/>
    <w:rsid w:val="00E06674"/>
    <w:rsid w:val="00E07D20"/>
    <w:rsid w:val="00E11C9F"/>
    <w:rsid w:val="00E11D56"/>
    <w:rsid w:val="00E12482"/>
    <w:rsid w:val="00E13106"/>
    <w:rsid w:val="00E131B3"/>
    <w:rsid w:val="00E15236"/>
    <w:rsid w:val="00E152ED"/>
    <w:rsid w:val="00E165F4"/>
    <w:rsid w:val="00E16989"/>
    <w:rsid w:val="00E17C16"/>
    <w:rsid w:val="00E203D0"/>
    <w:rsid w:val="00E22ECA"/>
    <w:rsid w:val="00E2315F"/>
    <w:rsid w:val="00E23306"/>
    <w:rsid w:val="00E242E1"/>
    <w:rsid w:val="00E244AD"/>
    <w:rsid w:val="00E25AFD"/>
    <w:rsid w:val="00E26742"/>
    <w:rsid w:val="00E27714"/>
    <w:rsid w:val="00E27792"/>
    <w:rsid w:val="00E3119E"/>
    <w:rsid w:val="00E31260"/>
    <w:rsid w:val="00E314B3"/>
    <w:rsid w:val="00E3353C"/>
    <w:rsid w:val="00E338A2"/>
    <w:rsid w:val="00E3393F"/>
    <w:rsid w:val="00E3415E"/>
    <w:rsid w:val="00E34422"/>
    <w:rsid w:val="00E34709"/>
    <w:rsid w:val="00E35C29"/>
    <w:rsid w:val="00E37043"/>
    <w:rsid w:val="00E37CED"/>
    <w:rsid w:val="00E37E03"/>
    <w:rsid w:val="00E4040C"/>
    <w:rsid w:val="00E405B1"/>
    <w:rsid w:val="00E40732"/>
    <w:rsid w:val="00E411A4"/>
    <w:rsid w:val="00E425F6"/>
    <w:rsid w:val="00E458EC"/>
    <w:rsid w:val="00E5311D"/>
    <w:rsid w:val="00E5521F"/>
    <w:rsid w:val="00E560D7"/>
    <w:rsid w:val="00E568B6"/>
    <w:rsid w:val="00E5696D"/>
    <w:rsid w:val="00E57274"/>
    <w:rsid w:val="00E617DA"/>
    <w:rsid w:val="00E61B15"/>
    <w:rsid w:val="00E65ED2"/>
    <w:rsid w:val="00E661CD"/>
    <w:rsid w:val="00E6698C"/>
    <w:rsid w:val="00E70E23"/>
    <w:rsid w:val="00E71C27"/>
    <w:rsid w:val="00E72627"/>
    <w:rsid w:val="00E73793"/>
    <w:rsid w:val="00E74283"/>
    <w:rsid w:val="00E75CBE"/>
    <w:rsid w:val="00E773CC"/>
    <w:rsid w:val="00E77436"/>
    <w:rsid w:val="00E806DB"/>
    <w:rsid w:val="00E822B5"/>
    <w:rsid w:val="00E829F8"/>
    <w:rsid w:val="00E83358"/>
    <w:rsid w:val="00E8498A"/>
    <w:rsid w:val="00E85575"/>
    <w:rsid w:val="00E90CEA"/>
    <w:rsid w:val="00E91BDF"/>
    <w:rsid w:val="00E921E5"/>
    <w:rsid w:val="00E92331"/>
    <w:rsid w:val="00E92D8E"/>
    <w:rsid w:val="00E932D7"/>
    <w:rsid w:val="00E93E83"/>
    <w:rsid w:val="00E94A7B"/>
    <w:rsid w:val="00E94E6F"/>
    <w:rsid w:val="00E95187"/>
    <w:rsid w:val="00E96A53"/>
    <w:rsid w:val="00E96E4B"/>
    <w:rsid w:val="00E97C1B"/>
    <w:rsid w:val="00EA05E0"/>
    <w:rsid w:val="00EA0DA4"/>
    <w:rsid w:val="00EA1A51"/>
    <w:rsid w:val="00EA2499"/>
    <w:rsid w:val="00EA2563"/>
    <w:rsid w:val="00EA36EC"/>
    <w:rsid w:val="00EA3FE1"/>
    <w:rsid w:val="00EA6213"/>
    <w:rsid w:val="00EB0329"/>
    <w:rsid w:val="00EB060B"/>
    <w:rsid w:val="00EB2622"/>
    <w:rsid w:val="00EB2C69"/>
    <w:rsid w:val="00EB436D"/>
    <w:rsid w:val="00EB4C60"/>
    <w:rsid w:val="00EB588E"/>
    <w:rsid w:val="00EB5A19"/>
    <w:rsid w:val="00EB5D45"/>
    <w:rsid w:val="00EB6CED"/>
    <w:rsid w:val="00EB7006"/>
    <w:rsid w:val="00EC09B9"/>
    <w:rsid w:val="00EC118D"/>
    <w:rsid w:val="00EC2ABC"/>
    <w:rsid w:val="00EC36DD"/>
    <w:rsid w:val="00EC4421"/>
    <w:rsid w:val="00EC5597"/>
    <w:rsid w:val="00EC59AA"/>
    <w:rsid w:val="00ED1476"/>
    <w:rsid w:val="00ED17EE"/>
    <w:rsid w:val="00ED1824"/>
    <w:rsid w:val="00ED1C32"/>
    <w:rsid w:val="00ED283A"/>
    <w:rsid w:val="00ED2C7C"/>
    <w:rsid w:val="00ED4195"/>
    <w:rsid w:val="00ED7E47"/>
    <w:rsid w:val="00ED7FEC"/>
    <w:rsid w:val="00EE0CB2"/>
    <w:rsid w:val="00EE0F3C"/>
    <w:rsid w:val="00EE1429"/>
    <w:rsid w:val="00EE15B8"/>
    <w:rsid w:val="00EE575E"/>
    <w:rsid w:val="00EE71C3"/>
    <w:rsid w:val="00EE7B54"/>
    <w:rsid w:val="00EF0D97"/>
    <w:rsid w:val="00EF102C"/>
    <w:rsid w:val="00EF1E50"/>
    <w:rsid w:val="00EF2C98"/>
    <w:rsid w:val="00EF5229"/>
    <w:rsid w:val="00EF5742"/>
    <w:rsid w:val="00EF69AB"/>
    <w:rsid w:val="00F001FF"/>
    <w:rsid w:val="00F008A8"/>
    <w:rsid w:val="00F015D4"/>
    <w:rsid w:val="00F01F6E"/>
    <w:rsid w:val="00F023E1"/>
    <w:rsid w:val="00F037FB"/>
    <w:rsid w:val="00F05519"/>
    <w:rsid w:val="00F05A4F"/>
    <w:rsid w:val="00F076CF"/>
    <w:rsid w:val="00F10C22"/>
    <w:rsid w:val="00F1227E"/>
    <w:rsid w:val="00F1276A"/>
    <w:rsid w:val="00F1290F"/>
    <w:rsid w:val="00F140EB"/>
    <w:rsid w:val="00F141CA"/>
    <w:rsid w:val="00F20695"/>
    <w:rsid w:val="00F22844"/>
    <w:rsid w:val="00F233A4"/>
    <w:rsid w:val="00F23A3A"/>
    <w:rsid w:val="00F23BA4"/>
    <w:rsid w:val="00F23C42"/>
    <w:rsid w:val="00F244BF"/>
    <w:rsid w:val="00F24BCB"/>
    <w:rsid w:val="00F25FCE"/>
    <w:rsid w:val="00F270D9"/>
    <w:rsid w:val="00F27B3A"/>
    <w:rsid w:val="00F325E7"/>
    <w:rsid w:val="00F3275F"/>
    <w:rsid w:val="00F34E90"/>
    <w:rsid w:val="00F35666"/>
    <w:rsid w:val="00F37711"/>
    <w:rsid w:val="00F37C67"/>
    <w:rsid w:val="00F402BD"/>
    <w:rsid w:val="00F40C5A"/>
    <w:rsid w:val="00F423D2"/>
    <w:rsid w:val="00F42910"/>
    <w:rsid w:val="00F4406C"/>
    <w:rsid w:val="00F4590B"/>
    <w:rsid w:val="00F47F03"/>
    <w:rsid w:val="00F525C9"/>
    <w:rsid w:val="00F526C6"/>
    <w:rsid w:val="00F539C8"/>
    <w:rsid w:val="00F56287"/>
    <w:rsid w:val="00F60B5C"/>
    <w:rsid w:val="00F60CC3"/>
    <w:rsid w:val="00F61113"/>
    <w:rsid w:val="00F61894"/>
    <w:rsid w:val="00F6192C"/>
    <w:rsid w:val="00F61DD7"/>
    <w:rsid w:val="00F62786"/>
    <w:rsid w:val="00F62D48"/>
    <w:rsid w:val="00F63719"/>
    <w:rsid w:val="00F63B39"/>
    <w:rsid w:val="00F64C21"/>
    <w:rsid w:val="00F67BE2"/>
    <w:rsid w:val="00F72308"/>
    <w:rsid w:val="00F72852"/>
    <w:rsid w:val="00F74234"/>
    <w:rsid w:val="00F812C6"/>
    <w:rsid w:val="00F816D3"/>
    <w:rsid w:val="00F82DBC"/>
    <w:rsid w:val="00F84D29"/>
    <w:rsid w:val="00F8548C"/>
    <w:rsid w:val="00F86D4B"/>
    <w:rsid w:val="00F87CE1"/>
    <w:rsid w:val="00F90095"/>
    <w:rsid w:val="00F90DEE"/>
    <w:rsid w:val="00F90F0F"/>
    <w:rsid w:val="00F9233D"/>
    <w:rsid w:val="00F92A07"/>
    <w:rsid w:val="00F93079"/>
    <w:rsid w:val="00F93114"/>
    <w:rsid w:val="00F93BDC"/>
    <w:rsid w:val="00F94656"/>
    <w:rsid w:val="00F948DB"/>
    <w:rsid w:val="00F9524A"/>
    <w:rsid w:val="00F959DF"/>
    <w:rsid w:val="00F95ED9"/>
    <w:rsid w:val="00F97930"/>
    <w:rsid w:val="00F97D4A"/>
    <w:rsid w:val="00F97DE9"/>
    <w:rsid w:val="00FA2F5C"/>
    <w:rsid w:val="00FA2F9A"/>
    <w:rsid w:val="00FA38AF"/>
    <w:rsid w:val="00FA5DEC"/>
    <w:rsid w:val="00FA60BB"/>
    <w:rsid w:val="00FA724D"/>
    <w:rsid w:val="00FA7B8F"/>
    <w:rsid w:val="00FB1610"/>
    <w:rsid w:val="00FB1DCC"/>
    <w:rsid w:val="00FB2024"/>
    <w:rsid w:val="00FB2159"/>
    <w:rsid w:val="00FB24C3"/>
    <w:rsid w:val="00FB2CED"/>
    <w:rsid w:val="00FB342A"/>
    <w:rsid w:val="00FB40DC"/>
    <w:rsid w:val="00FB428E"/>
    <w:rsid w:val="00FB60AF"/>
    <w:rsid w:val="00FB624B"/>
    <w:rsid w:val="00FB6455"/>
    <w:rsid w:val="00FB6CCD"/>
    <w:rsid w:val="00FB7ACA"/>
    <w:rsid w:val="00FB7BD2"/>
    <w:rsid w:val="00FC1E4A"/>
    <w:rsid w:val="00FC22A9"/>
    <w:rsid w:val="00FC2DEE"/>
    <w:rsid w:val="00FC3320"/>
    <w:rsid w:val="00FC4859"/>
    <w:rsid w:val="00FC57F1"/>
    <w:rsid w:val="00FC5B21"/>
    <w:rsid w:val="00FC5E78"/>
    <w:rsid w:val="00FC62EA"/>
    <w:rsid w:val="00FC792E"/>
    <w:rsid w:val="00FC7DC7"/>
    <w:rsid w:val="00FD0366"/>
    <w:rsid w:val="00FD06A3"/>
    <w:rsid w:val="00FD279A"/>
    <w:rsid w:val="00FD28EC"/>
    <w:rsid w:val="00FD2D2D"/>
    <w:rsid w:val="00FD34DF"/>
    <w:rsid w:val="00FD4221"/>
    <w:rsid w:val="00FD4771"/>
    <w:rsid w:val="00FD57BB"/>
    <w:rsid w:val="00FD5A98"/>
    <w:rsid w:val="00FE159F"/>
    <w:rsid w:val="00FE3E38"/>
    <w:rsid w:val="00FE5059"/>
    <w:rsid w:val="00FE5D35"/>
    <w:rsid w:val="00FE63C2"/>
    <w:rsid w:val="00FE6853"/>
    <w:rsid w:val="00FE7653"/>
    <w:rsid w:val="00FF003E"/>
    <w:rsid w:val="00FF027C"/>
    <w:rsid w:val="00FF169E"/>
    <w:rsid w:val="00FF2026"/>
    <w:rsid w:val="00FF2C06"/>
    <w:rsid w:val="00FF303F"/>
    <w:rsid w:val="00FF3807"/>
    <w:rsid w:val="00FF59DC"/>
    <w:rsid w:val="00FF6F92"/>
    <w:rsid w:val="00FF7939"/>
    <w:rsid w:val="013400CB"/>
    <w:rsid w:val="015E4A50"/>
    <w:rsid w:val="020B6BDD"/>
    <w:rsid w:val="02E67B34"/>
    <w:rsid w:val="047044EB"/>
    <w:rsid w:val="06EE64F0"/>
    <w:rsid w:val="08023787"/>
    <w:rsid w:val="084D398F"/>
    <w:rsid w:val="09104C48"/>
    <w:rsid w:val="09295F6F"/>
    <w:rsid w:val="09844A0B"/>
    <w:rsid w:val="09B454FB"/>
    <w:rsid w:val="0B8C1437"/>
    <w:rsid w:val="0BEE3F68"/>
    <w:rsid w:val="0CFB4AF3"/>
    <w:rsid w:val="0D1A7A2D"/>
    <w:rsid w:val="0DC25344"/>
    <w:rsid w:val="0E9C63E1"/>
    <w:rsid w:val="0EC6401B"/>
    <w:rsid w:val="11CD2D87"/>
    <w:rsid w:val="11E36C04"/>
    <w:rsid w:val="12795170"/>
    <w:rsid w:val="13494C53"/>
    <w:rsid w:val="13F37142"/>
    <w:rsid w:val="14B32625"/>
    <w:rsid w:val="154B3E6D"/>
    <w:rsid w:val="15613455"/>
    <w:rsid w:val="157F5199"/>
    <w:rsid w:val="158D509D"/>
    <w:rsid w:val="16842FDE"/>
    <w:rsid w:val="1685597A"/>
    <w:rsid w:val="16DD1796"/>
    <w:rsid w:val="171414E8"/>
    <w:rsid w:val="17955EFC"/>
    <w:rsid w:val="181F0348"/>
    <w:rsid w:val="18437CEB"/>
    <w:rsid w:val="18CD544F"/>
    <w:rsid w:val="18D72C40"/>
    <w:rsid w:val="1A4867AC"/>
    <w:rsid w:val="1B0558F2"/>
    <w:rsid w:val="1C6F5974"/>
    <w:rsid w:val="1C7663BC"/>
    <w:rsid w:val="1CE75E9E"/>
    <w:rsid w:val="1CF5663E"/>
    <w:rsid w:val="1D3874CA"/>
    <w:rsid w:val="1D774813"/>
    <w:rsid w:val="1E5E78AE"/>
    <w:rsid w:val="1E7921A6"/>
    <w:rsid w:val="1E943A61"/>
    <w:rsid w:val="20046914"/>
    <w:rsid w:val="204049F0"/>
    <w:rsid w:val="208A2BE6"/>
    <w:rsid w:val="20F45183"/>
    <w:rsid w:val="216A3BBF"/>
    <w:rsid w:val="22B47A65"/>
    <w:rsid w:val="25C05EBF"/>
    <w:rsid w:val="25F1356A"/>
    <w:rsid w:val="27B4496C"/>
    <w:rsid w:val="27C92B18"/>
    <w:rsid w:val="27FD4897"/>
    <w:rsid w:val="2845387F"/>
    <w:rsid w:val="2B210591"/>
    <w:rsid w:val="2C461E8C"/>
    <w:rsid w:val="2E1B4DF9"/>
    <w:rsid w:val="2E291696"/>
    <w:rsid w:val="2F792F9A"/>
    <w:rsid w:val="324713FB"/>
    <w:rsid w:val="3392336E"/>
    <w:rsid w:val="33D0729D"/>
    <w:rsid w:val="34576AAE"/>
    <w:rsid w:val="34740F7F"/>
    <w:rsid w:val="34B10983"/>
    <w:rsid w:val="35344668"/>
    <w:rsid w:val="356B7F8B"/>
    <w:rsid w:val="3661313C"/>
    <w:rsid w:val="36C46CA5"/>
    <w:rsid w:val="379C6B98"/>
    <w:rsid w:val="384E4BE3"/>
    <w:rsid w:val="38AB6B2B"/>
    <w:rsid w:val="390A0D71"/>
    <w:rsid w:val="39993FA0"/>
    <w:rsid w:val="3A2F7FB5"/>
    <w:rsid w:val="3A320E6A"/>
    <w:rsid w:val="3A686ECC"/>
    <w:rsid w:val="3A761945"/>
    <w:rsid w:val="3ABC66E8"/>
    <w:rsid w:val="3B10365C"/>
    <w:rsid w:val="3DE01D5E"/>
    <w:rsid w:val="3E6F141D"/>
    <w:rsid w:val="3F6D181A"/>
    <w:rsid w:val="3F7C2E6A"/>
    <w:rsid w:val="3F88293C"/>
    <w:rsid w:val="4026604C"/>
    <w:rsid w:val="416C4385"/>
    <w:rsid w:val="417239D1"/>
    <w:rsid w:val="43324DEF"/>
    <w:rsid w:val="43555638"/>
    <w:rsid w:val="43643CE8"/>
    <w:rsid w:val="436A3C9B"/>
    <w:rsid w:val="436C7313"/>
    <w:rsid w:val="451772B5"/>
    <w:rsid w:val="45376A7E"/>
    <w:rsid w:val="4593096E"/>
    <w:rsid w:val="480466D2"/>
    <w:rsid w:val="48BD7EC5"/>
    <w:rsid w:val="49654CB6"/>
    <w:rsid w:val="49890025"/>
    <w:rsid w:val="49971A83"/>
    <w:rsid w:val="4D6B5BFE"/>
    <w:rsid w:val="4DD62B95"/>
    <w:rsid w:val="4DD85A07"/>
    <w:rsid w:val="4ECF0F43"/>
    <w:rsid w:val="4F1A6692"/>
    <w:rsid w:val="4F985B92"/>
    <w:rsid w:val="510F0C06"/>
    <w:rsid w:val="512E4CE9"/>
    <w:rsid w:val="517337CD"/>
    <w:rsid w:val="519330A8"/>
    <w:rsid w:val="51A84404"/>
    <w:rsid w:val="524F3D78"/>
    <w:rsid w:val="52887892"/>
    <w:rsid w:val="52D73966"/>
    <w:rsid w:val="532B27A6"/>
    <w:rsid w:val="533E34B5"/>
    <w:rsid w:val="543D543C"/>
    <w:rsid w:val="54BC3746"/>
    <w:rsid w:val="55044EFF"/>
    <w:rsid w:val="552D2E3F"/>
    <w:rsid w:val="55BF1E4F"/>
    <w:rsid w:val="55EB1CF8"/>
    <w:rsid w:val="5746535E"/>
    <w:rsid w:val="57AB1E6B"/>
    <w:rsid w:val="58856132"/>
    <w:rsid w:val="59544FB3"/>
    <w:rsid w:val="5A0713F1"/>
    <w:rsid w:val="5A556559"/>
    <w:rsid w:val="5A5E5361"/>
    <w:rsid w:val="5AA62BFA"/>
    <w:rsid w:val="5CD25E91"/>
    <w:rsid w:val="5D073AD3"/>
    <w:rsid w:val="5ED42480"/>
    <w:rsid w:val="5F363C41"/>
    <w:rsid w:val="5F5063BC"/>
    <w:rsid w:val="6064706C"/>
    <w:rsid w:val="6116217B"/>
    <w:rsid w:val="61EA21D7"/>
    <w:rsid w:val="62330473"/>
    <w:rsid w:val="625C28AF"/>
    <w:rsid w:val="631D7276"/>
    <w:rsid w:val="64153AD8"/>
    <w:rsid w:val="64223436"/>
    <w:rsid w:val="642A7ED0"/>
    <w:rsid w:val="646A03AD"/>
    <w:rsid w:val="64DA70BD"/>
    <w:rsid w:val="65747848"/>
    <w:rsid w:val="66AC5E67"/>
    <w:rsid w:val="68E057F9"/>
    <w:rsid w:val="69A85C28"/>
    <w:rsid w:val="69EF0736"/>
    <w:rsid w:val="6A202439"/>
    <w:rsid w:val="6A7C365C"/>
    <w:rsid w:val="6AE274A2"/>
    <w:rsid w:val="6C997243"/>
    <w:rsid w:val="6DA67274"/>
    <w:rsid w:val="6DC244BD"/>
    <w:rsid w:val="709F023F"/>
    <w:rsid w:val="71EB2AA4"/>
    <w:rsid w:val="722D0EC4"/>
    <w:rsid w:val="723345A1"/>
    <w:rsid w:val="72BB5D92"/>
    <w:rsid w:val="748371D7"/>
    <w:rsid w:val="749D363B"/>
    <w:rsid w:val="75634DBB"/>
    <w:rsid w:val="760118D8"/>
    <w:rsid w:val="763D1FCB"/>
    <w:rsid w:val="76CE2A4C"/>
    <w:rsid w:val="78573804"/>
    <w:rsid w:val="78C07987"/>
    <w:rsid w:val="78C15DFC"/>
    <w:rsid w:val="79364FB0"/>
    <w:rsid w:val="79687B88"/>
    <w:rsid w:val="7A136D76"/>
    <w:rsid w:val="7B2B5B27"/>
    <w:rsid w:val="7B495047"/>
    <w:rsid w:val="7C554CEC"/>
    <w:rsid w:val="7C745883"/>
    <w:rsid w:val="7C940EE7"/>
    <w:rsid w:val="7CAE4465"/>
    <w:rsid w:val="7D8900C4"/>
    <w:rsid w:val="7DCC2A02"/>
    <w:rsid w:val="7E1643F2"/>
    <w:rsid w:val="7E7F0A21"/>
    <w:rsid w:val="7EF4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9"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qFormat="1"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nhideWhenUsed="0" w:uiPriority="0" w:semiHidden="0" w:name="HTML Typewriter"/>
    <w:lsdException w:qFormat="1"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99" w:name="Table Simple 2"/>
    <w:lsdException w:uiPriority="99" w:name="Table Simple 3"/>
    <w:lsdException w:qFormat="1"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qFormat="1" w:unhideWhenUsed="0" w:uiPriority="0" w:semiHidden="0" w:name="Table Grid 8"/>
    <w:lsdException w:uiPriority="99" w:name="Table List 1"/>
    <w:lsdException w:uiPriority="99" w:name="Table List 2"/>
    <w:lsdException w:qFormat="1" w:unhideWhenUsed="0" w:uiPriority="0" w:semiHidden="0"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20"/>
    <w:qFormat/>
    <w:uiPriority w:val="0"/>
    <w:pPr>
      <w:keepNext/>
      <w:keepLines/>
      <w:numPr>
        <w:ilvl w:val="0"/>
        <w:numId w:val="1"/>
      </w:numPr>
      <w:adjustRightInd w:val="0"/>
      <w:snapToGrid w:val="0"/>
      <w:spacing w:beforeLines="100" w:afterLines="100"/>
      <w:jc w:val="left"/>
      <w:outlineLvl w:val="0"/>
    </w:pPr>
    <w:rPr>
      <w:rFonts w:eastAsia="黑体"/>
      <w:bCs/>
      <w:kern w:val="44"/>
      <w:sz w:val="44"/>
      <w:szCs w:val="44"/>
    </w:rPr>
  </w:style>
  <w:style w:type="paragraph" w:styleId="5">
    <w:name w:val="heading 2"/>
    <w:basedOn w:val="1"/>
    <w:next w:val="1"/>
    <w:link w:val="121"/>
    <w:qFormat/>
    <w:uiPriority w:val="0"/>
    <w:pPr>
      <w:keepNext/>
      <w:keepLines/>
      <w:numPr>
        <w:ilvl w:val="1"/>
        <w:numId w:val="1"/>
      </w:numPr>
      <w:adjustRightInd w:val="0"/>
      <w:snapToGrid w:val="0"/>
      <w:spacing w:beforeLines="50" w:afterLines="50"/>
      <w:jc w:val="left"/>
      <w:outlineLvl w:val="1"/>
    </w:pPr>
    <w:rPr>
      <w:rFonts w:eastAsia="黑体"/>
      <w:bCs/>
      <w:sz w:val="32"/>
      <w:szCs w:val="32"/>
    </w:rPr>
  </w:style>
  <w:style w:type="paragraph" w:styleId="6">
    <w:name w:val="heading 3"/>
    <w:basedOn w:val="1"/>
    <w:next w:val="1"/>
    <w:link w:val="122"/>
    <w:qFormat/>
    <w:uiPriority w:val="0"/>
    <w:pPr>
      <w:keepNext/>
      <w:keepLines/>
      <w:numPr>
        <w:ilvl w:val="2"/>
        <w:numId w:val="1"/>
      </w:numPr>
      <w:adjustRightInd w:val="0"/>
      <w:snapToGrid w:val="0"/>
      <w:spacing w:line="360" w:lineRule="auto"/>
      <w:outlineLvl w:val="2"/>
    </w:pPr>
    <w:rPr>
      <w:rFonts w:eastAsia="黑体"/>
      <w:bCs/>
      <w:sz w:val="30"/>
      <w:szCs w:val="32"/>
    </w:rPr>
  </w:style>
  <w:style w:type="paragraph" w:styleId="7">
    <w:name w:val="heading 4"/>
    <w:basedOn w:val="1"/>
    <w:next w:val="1"/>
    <w:link w:val="123"/>
    <w:qFormat/>
    <w:uiPriority w:val="0"/>
    <w:pPr>
      <w:keepNext/>
      <w:keepLines/>
      <w:numPr>
        <w:ilvl w:val="3"/>
        <w:numId w:val="1"/>
      </w:numPr>
      <w:adjustRightInd w:val="0"/>
      <w:snapToGrid w:val="0"/>
      <w:spacing w:line="360" w:lineRule="auto"/>
      <w:outlineLvl w:val="3"/>
    </w:pPr>
    <w:rPr>
      <w:rFonts w:eastAsia="黑体"/>
      <w:bCs/>
      <w:sz w:val="28"/>
      <w:szCs w:val="28"/>
    </w:rPr>
  </w:style>
  <w:style w:type="paragraph" w:styleId="8">
    <w:name w:val="heading 5"/>
    <w:basedOn w:val="1"/>
    <w:next w:val="1"/>
    <w:link w:val="124"/>
    <w:qFormat/>
    <w:uiPriority w:val="0"/>
    <w:pPr>
      <w:keepNext/>
      <w:keepLines/>
      <w:numPr>
        <w:ilvl w:val="4"/>
        <w:numId w:val="1"/>
      </w:numPr>
      <w:adjustRightInd w:val="0"/>
      <w:spacing w:before="280" w:after="290" w:line="376" w:lineRule="atLeast"/>
      <w:textAlignment w:val="baseline"/>
      <w:outlineLvl w:val="4"/>
    </w:pPr>
    <w:rPr>
      <w:b/>
      <w:bCs/>
      <w:kern w:val="0"/>
      <w:sz w:val="28"/>
      <w:szCs w:val="28"/>
    </w:rPr>
  </w:style>
  <w:style w:type="paragraph" w:styleId="9">
    <w:name w:val="heading 6"/>
    <w:basedOn w:val="1"/>
    <w:next w:val="1"/>
    <w:link w:val="336"/>
    <w:qFormat/>
    <w:uiPriority w:val="0"/>
    <w:pPr>
      <w:keepNext/>
      <w:keepLines/>
      <w:numPr>
        <w:ilvl w:val="5"/>
        <w:numId w:val="1"/>
      </w:numPr>
      <w:adjustRightInd w:val="0"/>
      <w:spacing w:before="240" w:after="64" w:line="320" w:lineRule="atLeast"/>
      <w:textAlignment w:val="baseline"/>
      <w:outlineLvl w:val="5"/>
    </w:pPr>
    <w:rPr>
      <w:rFonts w:ascii="Arial" w:hAnsi="Arial" w:eastAsia="黑体"/>
      <w:b/>
      <w:bCs/>
      <w:kern w:val="0"/>
      <w:sz w:val="20"/>
    </w:rPr>
  </w:style>
  <w:style w:type="paragraph" w:styleId="10">
    <w:name w:val="heading 7"/>
    <w:basedOn w:val="1"/>
    <w:next w:val="1"/>
    <w:link w:val="126"/>
    <w:qFormat/>
    <w:uiPriority w:val="0"/>
    <w:pPr>
      <w:keepNext/>
      <w:keepLines/>
      <w:numPr>
        <w:ilvl w:val="6"/>
        <w:numId w:val="1"/>
      </w:numPr>
      <w:adjustRightInd w:val="0"/>
      <w:spacing w:before="240" w:after="64" w:line="320" w:lineRule="atLeast"/>
      <w:textAlignment w:val="baseline"/>
      <w:outlineLvl w:val="6"/>
    </w:pPr>
    <w:rPr>
      <w:b/>
      <w:bCs/>
      <w:kern w:val="0"/>
      <w:sz w:val="20"/>
    </w:rPr>
  </w:style>
  <w:style w:type="paragraph" w:styleId="11">
    <w:name w:val="heading 8"/>
    <w:basedOn w:val="1"/>
    <w:next w:val="1"/>
    <w:link w:val="337"/>
    <w:qFormat/>
    <w:uiPriority w:val="0"/>
    <w:pPr>
      <w:keepNext/>
      <w:keepLines/>
      <w:numPr>
        <w:ilvl w:val="7"/>
        <w:numId w:val="1"/>
      </w:numPr>
      <w:adjustRightInd w:val="0"/>
      <w:spacing w:before="240" w:after="64" w:line="320" w:lineRule="atLeast"/>
      <w:textAlignment w:val="baseline"/>
      <w:outlineLvl w:val="7"/>
    </w:pPr>
    <w:rPr>
      <w:rFonts w:ascii="Arial" w:hAnsi="Arial" w:eastAsia="黑体"/>
      <w:kern w:val="0"/>
      <w:sz w:val="20"/>
    </w:rPr>
  </w:style>
  <w:style w:type="paragraph" w:styleId="12">
    <w:name w:val="heading 9"/>
    <w:basedOn w:val="1"/>
    <w:next w:val="1"/>
    <w:link w:val="128"/>
    <w:qFormat/>
    <w:uiPriority w:val="9"/>
    <w:pPr>
      <w:keepNext/>
      <w:keepLines/>
      <w:numPr>
        <w:ilvl w:val="8"/>
        <w:numId w:val="1"/>
      </w:numPr>
      <w:adjustRightInd w:val="0"/>
      <w:spacing w:before="240" w:after="64" w:line="320" w:lineRule="atLeast"/>
      <w:textAlignment w:val="baseline"/>
      <w:outlineLvl w:val="8"/>
    </w:pPr>
    <w:rPr>
      <w:rFonts w:ascii="Arial" w:hAnsi="Arial" w:eastAsia="黑体"/>
      <w:kern w:val="0"/>
      <w:szCs w:val="21"/>
    </w:rPr>
  </w:style>
  <w:style w:type="character" w:default="1" w:styleId="10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503"/>
    <w:qFormat/>
    <w:uiPriority w:val="0"/>
    <w:pPr>
      <w:spacing w:after="120" w:line="360" w:lineRule="exact"/>
      <w:ind w:firstLine="200" w:firstLineChars="200"/>
    </w:pPr>
    <w:rPr>
      <w:snapToGrid w:val="0"/>
      <w:kern w:val="0"/>
      <w:sz w:val="24"/>
    </w:rPr>
  </w:style>
  <w:style w:type="paragraph" w:styleId="3">
    <w:name w:val="macro"/>
    <w:link w:val="103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宋体" w:cs="Times New Roman"/>
      <w:kern w:val="2"/>
      <w:sz w:val="24"/>
      <w:lang w:val="en-US" w:eastAsia="zh-CN" w:bidi="ar-SA"/>
    </w:rPr>
  </w:style>
  <w:style w:type="paragraph" w:styleId="13">
    <w:name w:val="List 3"/>
    <w:basedOn w:val="1"/>
    <w:qFormat/>
    <w:uiPriority w:val="0"/>
    <w:pPr>
      <w:spacing w:line="440" w:lineRule="exact"/>
      <w:ind w:left="100" w:leftChars="400" w:hanging="200" w:hangingChars="200"/>
    </w:pPr>
    <w:rPr>
      <w:sz w:val="24"/>
    </w:rPr>
  </w:style>
  <w:style w:type="paragraph" w:styleId="14">
    <w:name w:val="toc 7"/>
    <w:basedOn w:val="1"/>
    <w:next w:val="1"/>
    <w:qFormat/>
    <w:uiPriority w:val="39"/>
    <w:pPr>
      <w:ind w:left="1260"/>
      <w:jc w:val="left"/>
    </w:pPr>
    <w:rPr>
      <w:sz w:val="18"/>
      <w:szCs w:val="18"/>
    </w:rPr>
  </w:style>
  <w:style w:type="paragraph" w:styleId="15">
    <w:name w:val="List Number 2"/>
    <w:basedOn w:val="1"/>
    <w:qFormat/>
    <w:uiPriority w:val="0"/>
    <w:pPr>
      <w:tabs>
        <w:tab w:val="left" w:pos="780"/>
      </w:tabs>
      <w:adjustRightInd w:val="0"/>
      <w:snapToGrid w:val="0"/>
      <w:spacing w:beforeLines="50" w:afterLines="50" w:line="400" w:lineRule="exact"/>
      <w:ind w:firstLine="200" w:firstLineChars="200"/>
      <w:jc w:val="center"/>
    </w:pPr>
    <w:rPr>
      <w:rFonts w:eastAsia="黑体"/>
      <w:sz w:val="24"/>
      <w:szCs w:val="20"/>
    </w:rPr>
  </w:style>
  <w:style w:type="paragraph" w:styleId="16">
    <w:name w:val="table of authorities"/>
    <w:basedOn w:val="1"/>
    <w:next w:val="1"/>
    <w:qFormat/>
    <w:uiPriority w:val="0"/>
    <w:pPr>
      <w:ind w:left="420" w:leftChars="200"/>
    </w:pPr>
    <w:rPr>
      <w:szCs w:val="20"/>
    </w:rPr>
  </w:style>
  <w:style w:type="paragraph" w:styleId="17">
    <w:name w:val="Note Heading"/>
    <w:basedOn w:val="1"/>
    <w:next w:val="1"/>
    <w:link w:val="305"/>
    <w:qFormat/>
    <w:uiPriority w:val="0"/>
    <w:pPr>
      <w:jc w:val="center"/>
    </w:pPr>
  </w:style>
  <w:style w:type="paragraph" w:styleId="18">
    <w:name w:val="List Bullet 4"/>
    <w:basedOn w:val="1"/>
    <w:qFormat/>
    <w:uiPriority w:val="0"/>
    <w:pPr>
      <w:tabs>
        <w:tab w:val="left" w:pos="1620"/>
      </w:tabs>
      <w:ind w:left="1620" w:hanging="360"/>
    </w:pPr>
  </w:style>
  <w:style w:type="paragraph" w:styleId="19">
    <w:name w:val="index 8"/>
    <w:basedOn w:val="1"/>
    <w:next w:val="1"/>
    <w:qFormat/>
    <w:uiPriority w:val="0"/>
    <w:pPr>
      <w:ind w:left="1680" w:hanging="210"/>
      <w:jc w:val="left"/>
    </w:pPr>
    <w:rPr>
      <w:sz w:val="18"/>
      <w:szCs w:val="18"/>
    </w:rPr>
  </w:style>
  <w:style w:type="paragraph" w:styleId="20">
    <w:name w:val="E-mail Signature"/>
    <w:basedOn w:val="1"/>
    <w:link w:val="1542"/>
    <w:qFormat/>
    <w:uiPriority w:val="0"/>
    <w:rPr>
      <w:szCs w:val="20"/>
    </w:rPr>
  </w:style>
  <w:style w:type="paragraph" w:styleId="21">
    <w:name w:val="List Number"/>
    <w:basedOn w:val="1"/>
    <w:qFormat/>
    <w:uiPriority w:val="0"/>
    <w:pPr>
      <w:tabs>
        <w:tab w:val="left" w:pos="432"/>
      </w:tabs>
      <w:spacing w:line="360" w:lineRule="exact"/>
      <w:ind w:left="432" w:hanging="432"/>
    </w:pPr>
    <w:rPr>
      <w:snapToGrid w:val="0"/>
      <w:kern w:val="0"/>
      <w:sz w:val="24"/>
    </w:rPr>
  </w:style>
  <w:style w:type="paragraph" w:styleId="22">
    <w:name w:val="Normal Indent"/>
    <w:basedOn w:val="1"/>
    <w:link w:val="314"/>
    <w:qFormat/>
    <w:uiPriority w:val="0"/>
    <w:pPr>
      <w:ind w:firstLine="420" w:firstLineChars="200"/>
    </w:pPr>
  </w:style>
  <w:style w:type="paragraph" w:styleId="23">
    <w:name w:val="caption"/>
    <w:basedOn w:val="1"/>
    <w:next w:val="1"/>
    <w:link w:val="902"/>
    <w:qFormat/>
    <w:uiPriority w:val="0"/>
    <w:pPr>
      <w:spacing w:line="360" w:lineRule="exact"/>
      <w:ind w:firstLine="200" w:firstLineChars="200"/>
    </w:pPr>
    <w:rPr>
      <w:rFonts w:ascii="Arial" w:hAnsi="Arial" w:eastAsia="黑体" w:cs="Arial"/>
      <w:snapToGrid w:val="0"/>
      <w:kern w:val="0"/>
      <w:sz w:val="20"/>
      <w:szCs w:val="20"/>
    </w:rPr>
  </w:style>
  <w:style w:type="paragraph" w:styleId="24">
    <w:name w:val="index 5"/>
    <w:basedOn w:val="1"/>
    <w:next w:val="1"/>
    <w:qFormat/>
    <w:uiPriority w:val="0"/>
    <w:pPr>
      <w:ind w:left="1050" w:hanging="210"/>
      <w:jc w:val="left"/>
    </w:pPr>
    <w:rPr>
      <w:sz w:val="18"/>
      <w:szCs w:val="18"/>
    </w:rPr>
  </w:style>
  <w:style w:type="paragraph" w:styleId="25">
    <w:name w:val="List Bullet"/>
    <w:basedOn w:val="1"/>
    <w:qFormat/>
    <w:uiPriority w:val="0"/>
    <w:pPr>
      <w:tabs>
        <w:tab w:val="left" w:pos="900"/>
      </w:tabs>
      <w:adjustRightInd w:val="0"/>
      <w:spacing w:line="312" w:lineRule="atLeast"/>
      <w:ind w:left="900" w:hanging="420"/>
      <w:textAlignment w:val="baseline"/>
    </w:pPr>
    <w:rPr>
      <w:rFonts w:ascii="仿宋_GB2312" w:hAnsi="Courier New" w:eastAsia="仿宋_GB2312"/>
      <w:kern w:val="0"/>
      <w:sz w:val="28"/>
      <w:szCs w:val="20"/>
    </w:rPr>
  </w:style>
  <w:style w:type="paragraph" w:styleId="26">
    <w:name w:val="envelope address"/>
    <w:basedOn w:val="1"/>
    <w:qFormat/>
    <w:uiPriority w:val="0"/>
    <w:pPr>
      <w:framePr w:w="7920" w:h="1980" w:hRule="exact" w:hSpace="180" w:wrap="around" w:vAnchor="margin" w:hAnchor="page" w:xAlign="center" w:yAlign="bottom"/>
      <w:adjustRightInd w:val="0"/>
      <w:snapToGrid w:val="0"/>
      <w:spacing w:line="312" w:lineRule="atLeast"/>
      <w:ind w:left="2880"/>
      <w:textAlignment w:val="baseline"/>
    </w:pPr>
    <w:rPr>
      <w:rFonts w:ascii="Arial" w:hAnsi="Arial" w:eastAsia="仿宋_GB2312"/>
      <w:kern w:val="0"/>
      <w:sz w:val="24"/>
      <w:szCs w:val="20"/>
    </w:rPr>
  </w:style>
  <w:style w:type="paragraph" w:styleId="27">
    <w:name w:val="Document Map"/>
    <w:basedOn w:val="1"/>
    <w:link w:val="133"/>
    <w:qFormat/>
    <w:uiPriority w:val="0"/>
    <w:pPr>
      <w:shd w:val="clear" w:color="auto" w:fill="000080"/>
    </w:pPr>
  </w:style>
  <w:style w:type="paragraph" w:styleId="28">
    <w:name w:val="toa heading"/>
    <w:basedOn w:val="1"/>
    <w:next w:val="1"/>
    <w:qFormat/>
    <w:uiPriority w:val="0"/>
    <w:pPr>
      <w:spacing w:before="120"/>
    </w:pPr>
    <w:rPr>
      <w:rFonts w:ascii="Arial" w:hAnsi="Arial" w:cs="Arial"/>
      <w:sz w:val="24"/>
    </w:rPr>
  </w:style>
  <w:style w:type="paragraph" w:styleId="29">
    <w:name w:val="annotation text"/>
    <w:basedOn w:val="1"/>
    <w:link w:val="284"/>
    <w:qFormat/>
    <w:uiPriority w:val="0"/>
    <w:pPr>
      <w:adjustRightInd w:val="0"/>
      <w:spacing w:line="440" w:lineRule="exact"/>
      <w:ind w:firstLine="480" w:firstLineChars="200"/>
      <w:jc w:val="left"/>
      <w:textAlignment w:val="baseline"/>
    </w:pPr>
    <w:rPr>
      <w:kern w:val="0"/>
      <w:sz w:val="24"/>
      <w:szCs w:val="20"/>
    </w:rPr>
  </w:style>
  <w:style w:type="paragraph" w:styleId="30">
    <w:name w:val="index 6"/>
    <w:basedOn w:val="1"/>
    <w:next w:val="1"/>
    <w:qFormat/>
    <w:uiPriority w:val="0"/>
    <w:pPr>
      <w:ind w:left="1260" w:hanging="210"/>
      <w:jc w:val="left"/>
    </w:pPr>
    <w:rPr>
      <w:sz w:val="18"/>
      <w:szCs w:val="18"/>
    </w:rPr>
  </w:style>
  <w:style w:type="paragraph" w:styleId="31">
    <w:name w:val="Salutation"/>
    <w:basedOn w:val="1"/>
    <w:next w:val="1"/>
    <w:link w:val="1095"/>
    <w:qFormat/>
    <w:uiPriority w:val="0"/>
    <w:pPr>
      <w:tabs>
        <w:tab w:val="left" w:pos="0"/>
      </w:tabs>
      <w:jc w:val="left"/>
    </w:pPr>
    <w:rPr>
      <w:sz w:val="24"/>
      <w:szCs w:val="20"/>
    </w:rPr>
  </w:style>
  <w:style w:type="paragraph" w:styleId="32">
    <w:name w:val="Body Text 3"/>
    <w:basedOn w:val="1"/>
    <w:link w:val="289"/>
    <w:qFormat/>
    <w:uiPriority w:val="0"/>
    <w:pPr>
      <w:autoSpaceDE w:val="0"/>
      <w:autoSpaceDN w:val="0"/>
      <w:adjustRightInd w:val="0"/>
      <w:jc w:val="left"/>
    </w:pPr>
    <w:rPr>
      <w:rFonts w:ascii="宋体"/>
      <w:kern w:val="0"/>
      <w:sz w:val="24"/>
      <w:szCs w:val="20"/>
    </w:rPr>
  </w:style>
  <w:style w:type="paragraph" w:styleId="33">
    <w:name w:val="Closing"/>
    <w:basedOn w:val="1"/>
    <w:link w:val="1543"/>
    <w:qFormat/>
    <w:uiPriority w:val="0"/>
    <w:pPr>
      <w:ind w:left="100" w:leftChars="2100"/>
    </w:pPr>
    <w:rPr>
      <w:szCs w:val="20"/>
    </w:rPr>
  </w:style>
  <w:style w:type="paragraph" w:styleId="34">
    <w:name w:val="List Bullet 3"/>
    <w:basedOn w:val="1"/>
    <w:qFormat/>
    <w:uiPriority w:val="0"/>
    <w:pPr>
      <w:spacing w:before="50" w:line="500" w:lineRule="exact"/>
    </w:pPr>
    <w:rPr>
      <w:spacing w:val="6"/>
      <w:sz w:val="28"/>
      <w:szCs w:val="20"/>
    </w:rPr>
  </w:style>
  <w:style w:type="paragraph" w:styleId="35">
    <w:name w:val="Body Text Indent"/>
    <w:basedOn w:val="1"/>
    <w:link w:val="321"/>
    <w:qFormat/>
    <w:uiPriority w:val="0"/>
    <w:pPr>
      <w:ind w:firstLine="421"/>
    </w:pPr>
    <w:rPr>
      <w:szCs w:val="20"/>
    </w:rPr>
  </w:style>
  <w:style w:type="paragraph" w:styleId="36">
    <w:name w:val="List Number 3"/>
    <w:basedOn w:val="1"/>
    <w:qFormat/>
    <w:uiPriority w:val="0"/>
    <w:pPr>
      <w:tabs>
        <w:tab w:val="left" w:pos="1200"/>
      </w:tabs>
      <w:ind w:left="1200" w:hanging="360"/>
    </w:pPr>
  </w:style>
  <w:style w:type="paragraph" w:styleId="37">
    <w:name w:val="List 2"/>
    <w:basedOn w:val="1"/>
    <w:qFormat/>
    <w:uiPriority w:val="0"/>
    <w:pPr>
      <w:ind w:left="100" w:leftChars="200" w:hanging="200" w:hangingChars="200"/>
      <w:contextualSpacing/>
    </w:pPr>
  </w:style>
  <w:style w:type="paragraph" w:styleId="38">
    <w:name w:val="List Continue"/>
    <w:basedOn w:val="1"/>
    <w:qFormat/>
    <w:uiPriority w:val="0"/>
    <w:pPr>
      <w:spacing w:after="120" w:line="400" w:lineRule="atLeast"/>
      <w:ind w:left="420" w:right="-79"/>
    </w:pPr>
    <w:rPr>
      <w:rFonts w:ascii="宋体"/>
      <w:szCs w:val="20"/>
    </w:rPr>
  </w:style>
  <w:style w:type="paragraph" w:styleId="39">
    <w:name w:val="Block Text"/>
    <w:basedOn w:val="1"/>
    <w:qFormat/>
    <w:uiPriority w:val="0"/>
    <w:pPr>
      <w:autoSpaceDE w:val="0"/>
      <w:autoSpaceDN w:val="0"/>
      <w:adjustRightInd w:val="0"/>
      <w:ind w:left="-57" w:right="-57"/>
      <w:jc w:val="center"/>
    </w:pPr>
    <w:rPr>
      <w:rFonts w:ascii="宋体"/>
      <w:kern w:val="0"/>
      <w:sz w:val="18"/>
      <w:szCs w:val="20"/>
    </w:rPr>
  </w:style>
  <w:style w:type="paragraph" w:styleId="40">
    <w:name w:val="List Bullet 2"/>
    <w:basedOn w:val="25"/>
    <w:qFormat/>
    <w:uiPriority w:val="0"/>
    <w:pPr>
      <w:widowControl/>
      <w:tabs>
        <w:tab w:val="left" w:pos="1483"/>
        <w:tab w:val="clear" w:pos="900"/>
      </w:tabs>
      <w:snapToGrid w:val="0"/>
      <w:spacing w:before="120" w:after="220" w:line="220" w:lineRule="atLeast"/>
      <w:ind w:left="2160" w:right="720" w:hanging="360"/>
      <w:jc w:val="left"/>
      <w:textAlignment w:val="auto"/>
    </w:pPr>
    <w:rPr>
      <w:rFonts w:ascii="Times New Roman" w:hAnsi="Times New Roman" w:eastAsia="宋体"/>
      <w:sz w:val="24"/>
    </w:rPr>
  </w:style>
  <w:style w:type="paragraph" w:styleId="41">
    <w:name w:val="HTML Address"/>
    <w:basedOn w:val="1"/>
    <w:link w:val="1541"/>
    <w:qFormat/>
    <w:uiPriority w:val="0"/>
    <w:rPr>
      <w:i/>
      <w:iCs/>
      <w:szCs w:val="20"/>
    </w:rPr>
  </w:style>
  <w:style w:type="paragraph" w:styleId="42">
    <w:name w:val="index 4"/>
    <w:basedOn w:val="1"/>
    <w:next w:val="1"/>
    <w:qFormat/>
    <w:uiPriority w:val="0"/>
    <w:pPr>
      <w:ind w:left="840" w:hanging="210"/>
      <w:jc w:val="left"/>
    </w:pPr>
    <w:rPr>
      <w:sz w:val="18"/>
      <w:szCs w:val="18"/>
    </w:rPr>
  </w:style>
  <w:style w:type="paragraph" w:styleId="43">
    <w:name w:val="toc 5"/>
    <w:basedOn w:val="1"/>
    <w:next w:val="1"/>
    <w:qFormat/>
    <w:uiPriority w:val="39"/>
    <w:pPr>
      <w:ind w:left="840"/>
      <w:jc w:val="left"/>
    </w:pPr>
    <w:rPr>
      <w:sz w:val="18"/>
      <w:szCs w:val="18"/>
    </w:rPr>
  </w:style>
  <w:style w:type="paragraph" w:styleId="44">
    <w:name w:val="toc 3"/>
    <w:basedOn w:val="1"/>
    <w:next w:val="1"/>
    <w:qFormat/>
    <w:uiPriority w:val="39"/>
    <w:pPr>
      <w:ind w:left="420"/>
      <w:jc w:val="left"/>
    </w:pPr>
    <w:rPr>
      <w:i/>
      <w:iCs/>
      <w:sz w:val="20"/>
      <w:szCs w:val="20"/>
    </w:rPr>
  </w:style>
  <w:style w:type="paragraph" w:styleId="45">
    <w:name w:val="Plain Text"/>
    <w:basedOn w:val="1"/>
    <w:link w:val="316"/>
    <w:qFormat/>
    <w:uiPriority w:val="99"/>
    <w:pPr>
      <w:spacing w:line="240" w:lineRule="atLeast"/>
    </w:pPr>
    <w:rPr>
      <w:rFonts w:ascii="宋体" w:hAnsi="Courier New"/>
      <w:szCs w:val="28"/>
    </w:rPr>
  </w:style>
  <w:style w:type="paragraph" w:styleId="46">
    <w:name w:val="List Bullet 5"/>
    <w:basedOn w:val="1"/>
    <w:qFormat/>
    <w:uiPriority w:val="0"/>
    <w:pPr>
      <w:tabs>
        <w:tab w:val="left" w:pos="2040"/>
      </w:tabs>
      <w:ind w:left="2040" w:leftChars="800" w:hanging="360" w:hangingChars="200"/>
    </w:pPr>
    <w:rPr>
      <w:rFonts w:hint="eastAsia" w:ascii="宋体" w:hAnsi="宋体"/>
      <w:sz w:val="24"/>
    </w:rPr>
  </w:style>
  <w:style w:type="paragraph" w:styleId="47">
    <w:name w:val="List Number 4"/>
    <w:basedOn w:val="1"/>
    <w:qFormat/>
    <w:uiPriority w:val="0"/>
    <w:pPr>
      <w:tabs>
        <w:tab w:val="left" w:pos="780"/>
      </w:tabs>
      <w:ind w:left="780" w:hanging="360"/>
    </w:pPr>
  </w:style>
  <w:style w:type="paragraph" w:styleId="48">
    <w:name w:val="toc 8"/>
    <w:basedOn w:val="1"/>
    <w:next w:val="1"/>
    <w:qFormat/>
    <w:uiPriority w:val="39"/>
    <w:pPr>
      <w:ind w:left="1470"/>
      <w:jc w:val="left"/>
    </w:pPr>
    <w:rPr>
      <w:sz w:val="18"/>
      <w:szCs w:val="18"/>
    </w:rPr>
  </w:style>
  <w:style w:type="paragraph" w:styleId="49">
    <w:name w:val="index 3"/>
    <w:basedOn w:val="1"/>
    <w:next w:val="1"/>
    <w:qFormat/>
    <w:uiPriority w:val="0"/>
    <w:pPr>
      <w:ind w:left="630" w:hanging="210"/>
      <w:jc w:val="left"/>
    </w:pPr>
    <w:rPr>
      <w:sz w:val="18"/>
      <w:szCs w:val="18"/>
    </w:rPr>
  </w:style>
  <w:style w:type="paragraph" w:styleId="50">
    <w:name w:val="Date"/>
    <w:basedOn w:val="1"/>
    <w:next w:val="1"/>
    <w:link w:val="130"/>
    <w:qFormat/>
    <w:uiPriority w:val="0"/>
    <w:pPr>
      <w:adjustRightInd w:val="0"/>
      <w:spacing w:line="312" w:lineRule="atLeast"/>
      <w:textAlignment w:val="baseline"/>
    </w:pPr>
    <w:rPr>
      <w:kern w:val="0"/>
      <w:sz w:val="24"/>
      <w:szCs w:val="20"/>
    </w:rPr>
  </w:style>
  <w:style w:type="paragraph" w:styleId="51">
    <w:name w:val="Body Text Indent 2"/>
    <w:basedOn w:val="1"/>
    <w:link w:val="132"/>
    <w:qFormat/>
    <w:uiPriority w:val="0"/>
    <w:pPr>
      <w:spacing w:after="120" w:line="480" w:lineRule="auto"/>
      <w:ind w:left="420" w:leftChars="200"/>
    </w:pPr>
  </w:style>
  <w:style w:type="paragraph" w:styleId="52">
    <w:name w:val="endnote text"/>
    <w:basedOn w:val="1"/>
    <w:link w:val="1544"/>
    <w:qFormat/>
    <w:uiPriority w:val="0"/>
    <w:pPr>
      <w:snapToGrid w:val="0"/>
      <w:jc w:val="left"/>
    </w:pPr>
    <w:rPr>
      <w:szCs w:val="20"/>
    </w:rPr>
  </w:style>
  <w:style w:type="paragraph" w:styleId="53">
    <w:name w:val="List Continue 5"/>
    <w:basedOn w:val="1"/>
    <w:qFormat/>
    <w:uiPriority w:val="0"/>
    <w:pPr>
      <w:spacing w:after="120" w:line="440" w:lineRule="exact"/>
      <w:ind w:left="2100" w:leftChars="1000"/>
    </w:pPr>
    <w:rPr>
      <w:sz w:val="24"/>
    </w:rPr>
  </w:style>
  <w:style w:type="paragraph" w:styleId="54">
    <w:name w:val="Balloon Text"/>
    <w:basedOn w:val="1"/>
    <w:link w:val="285"/>
    <w:qFormat/>
    <w:uiPriority w:val="0"/>
    <w:pPr>
      <w:spacing w:line="360" w:lineRule="exact"/>
      <w:ind w:firstLine="200" w:firstLineChars="200"/>
    </w:pPr>
    <w:rPr>
      <w:snapToGrid w:val="0"/>
      <w:kern w:val="0"/>
      <w:sz w:val="18"/>
      <w:szCs w:val="18"/>
    </w:rPr>
  </w:style>
  <w:style w:type="paragraph" w:styleId="55">
    <w:name w:val="footer"/>
    <w:basedOn w:val="1"/>
    <w:link w:val="119"/>
    <w:unhideWhenUsed/>
    <w:qFormat/>
    <w:uiPriority w:val="0"/>
    <w:pPr>
      <w:tabs>
        <w:tab w:val="center" w:pos="4153"/>
        <w:tab w:val="right" w:pos="8306"/>
      </w:tabs>
      <w:snapToGrid w:val="0"/>
      <w:jc w:val="left"/>
    </w:pPr>
    <w:rPr>
      <w:sz w:val="18"/>
      <w:szCs w:val="18"/>
    </w:rPr>
  </w:style>
  <w:style w:type="paragraph" w:styleId="56">
    <w:name w:val="envelope return"/>
    <w:basedOn w:val="1"/>
    <w:qFormat/>
    <w:uiPriority w:val="0"/>
    <w:pPr>
      <w:snapToGrid w:val="0"/>
    </w:pPr>
    <w:rPr>
      <w:rFonts w:ascii="Arial" w:hAnsi="Arial" w:cs="Arial"/>
      <w:szCs w:val="20"/>
    </w:rPr>
  </w:style>
  <w:style w:type="paragraph" w:styleId="57">
    <w:name w:val="header"/>
    <w:basedOn w:val="1"/>
    <w:link w:val="118"/>
    <w:unhideWhenUsed/>
    <w:qFormat/>
    <w:uiPriority w:val="0"/>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221"/>
    <w:qFormat/>
    <w:uiPriority w:val="0"/>
    <w:pPr>
      <w:ind w:left="100" w:leftChars="2100"/>
    </w:pPr>
  </w:style>
  <w:style w:type="paragraph" w:styleId="59">
    <w:name w:val="toc 1"/>
    <w:basedOn w:val="1"/>
    <w:next w:val="1"/>
    <w:qFormat/>
    <w:uiPriority w:val="39"/>
    <w:pPr>
      <w:tabs>
        <w:tab w:val="right" w:leader="dot" w:pos="8302"/>
      </w:tabs>
      <w:spacing w:before="120" w:after="120"/>
      <w:jc w:val="left"/>
    </w:pPr>
    <w:rPr>
      <w:rFonts w:ascii="宋体" w:hAnsi="宋体" w:eastAsia="黑体"/>
      <w:bCs/>
      <w:caps/>
      <w:kern w:val="0"/>
      <w:szCs w:val="21"/>
    </w:rPr>
  </w:style>
  <w:style w:type="paragraph" w:styleId="60">
    <w:name w:val="List Continue 4"/>
    <w:basedOn w:val="1"/>
    <w:qFormat/>
    <w:uiPriority w:val="0"/>
    <w:pPr>
      <w:spacing w:after="120" w:line="440" w:lineRule="exact"/>
      <w:ind w:left="1680" w:leftChars="800"/>
    </w:pPr>
    <w:rPr>
      <w:sz w:val="24"/>
    </w:rPr>
  </w:style>
  <w:style w:type="paragraph" w:styleId="61">
    <w:name w:val="toc 4"/>
    <w:basedOn w:val="1"/>
    <w:next w:val="1"/>
    <w:qFormat/>
    <w:uiPriority w:val="39"/>
    <w:pPr>
      <w:ind w:left="630"/>
      <w:jc w:val="left"/>
    </w:pPr>
    <w:rPr>
      <w:sz w:val="18"/>
      <w:szCs w:val="18"/>
    </w:rPr>
  </w:style>
  <w:style w:type="paragraph" w:styleId="62">
    <w:name w:val="index heading"/>
    <w:basedOn w:val="1"/>
    <w:next w:val="63"/>
    <w:qFormat/>
    <w:uiPriority w:val="0"/>
    <w:pPr>
      <w:spacing w:before="240" w:after="120"/>
      <w:jc w:val="center"/>
    </w:pPr>
    <w:rPr>
      <w:b/>
      <w:bCs/>
      <w:sz w:val="26"/>
      <w:szCs w:val="26"/>
    </w:rPr>
  </w:style>
  <w:style w:type="paragraph" w:styleId="63">
    <w:name w:val="index 1"/>
    <w:basedOn w:val="1"/>
    <w:next w:val="1"/>
    <w:qFormat/>
    <w:uiPriority w:val="0"/>
    <w:pPr>
      <w:adjustRightInd w:val="0"/>
      <w:snapToGrid w:val="0"/>
      <w:jc w:val="center"/>
    </w:pPr>
    <w:rPr>
      <w:rFonts w:ascii="宋体" w:hAnsi="宋体"/>
      <w:szCs w:val="21"/>
    </w:rPr>
  </w:style>
  <w:style w:type="paragraph" w:styleId="64">
    <w:name w:val="Subtitle"/>
    <w:basedOn w:val="1"/>
    <w:next w:val="1"/>
    <w:link w:val="159"/>
    <w:qFormat/>
    <w:uiPriority w:val="0"/>
    <w:pPr>
      <w:spacing w:before="120" w:after="60" w:line="240" w:lineRule="exact"/>
      <w:jc w:val="center"/>
      <w:outlineLvl w:val="4"/>
    </w:pPr>
    <w:rPr>
      <w:rFonts w:ascii="Arial" w:hAnsi="Arial" w:eastAsia="黑体"/>
      <w:kern w:val="28"/>
      <w:szCs w:val="20"/>
    </w:rPr>
  </w:style>
  <w:style w:type="paragraph" w:styleId="65">
    <w:name w:val="List Number 5"/>
    <w:basedOn w:val="1"/>
    <w:qFormat/>
    <w:uiPriority w:val="0"/>
    <w:pPr>
      <w:tabs>
        <w:tab w:val="left" w:pos="1200"/>
      </w:tabs>
      <w:ind w:left="1200" w:hanging="360"/>
    </w:pPr>
    <w:rPr>
      <w:szCs w:val="20"/>
    </w:rPr>
  </w:style>
  <w:style w:type="paragraph" w:styleId="66">
    <w:name w:val="List"/>
    <w:basedOn w:val="1"/>
    <w:qFormat/>
    <w:uiPriority w:val="0"/>
    <w:pPr>
      <w:spacing w:line="360" w:lineRule="auto"/>
    </w:pPr>
    <w:rPr>
      <w:sz w:val="24"/>
      <w:szCs w:val="20"/>
    </w:rPr>
  </w:style>
  <w:style w:type="paragraph" w:styleId="67">
    <w:name w:val="footnote text"/>
    <w:basedOn w:val="1"/>
    <w:link w:val="136"/>
    <w:qFormat/>
    <w:uiPriority w:val="0"/>
    <w:pPr>
      <w:adjustRightInd w:val="0"/>
      <w:snapToGrid w:val="0"/>
      <w:spacing w:before="120" w:after="120" w:line="360" w:lineRule="auto"/>
      <w:ind w:firstLine="200" w:firstLineChars="200"/>
      <w:jc w:val="left"/>
    </w:pPr>
    <w:rPr>
      <w:rFonts w:ascii="Arial" w:hAnsi="Arial" w:eastAsia="黑体"/>
      <w:b/>
      <w:bCs/>
      <w:snapToGrid w:val="0"/>
      <w:sz w:val="30"/>
      <w:szCs w:val="32"/>
    </w:rPr>
  </w:style>
  <w:style w:type="paragraph" w:styleId="68">
    <w:name w:val="toc 6"/>
    <w:basedOn w:val="1"/>
    <w:next w:val="1"/>
    <w:qFormat/>
    <w:uiPriority w:val="39"/>
    <w:pPr>
      <w:ind w:left="1050"/>
      <w:jc w:val="left"/>
    </w:pPr>
    <w:rPr>
      <w:sz w:val="18"/>
      <w:szCs w:val="18"/>
    </w:rPr>
  </w:style>
  <w:style w:type="paragraph" w:styleId="69">
    <w:name w:val="List 5"/>
    <w:basedOn w:val="1"/>
    <w:qFormat/>
    <w:uiPriority w:val="0"/>
    <w:pPr>
      <w:spacing w:line="440" w:lineRule="exact"/>
      <w:ind w:left="100" w:leftChars="800" w:hanging="200" w:hangingChars="200"/>
    </w:pPr>
    <w:rPr>
      <w:sz w:val="24"/>
    </w:rPr>
  </w:style>
  <w:style w:type="paragraph" w:styleId="70">
    <w:name w:val="Body Text Indent 3"/>
    <w:basedOn w:val="1"/>
    <w:link w:val="131"/>
    <w:qFormat/>
    <w:uiPriority w:val="0"/>
    <w:pPr>
      <w:spacing w:after="120"/>
      <w:ind w:left="420" w:leftChars="200"/>
    </w:pPr>
    <w:rPr>
      <w:sz w:val="16"/>
      <w:szCs w:val="16"/>
    </w:rPr>
  </w:style>
  <w:style w:type="paragraph" w:styleId="71">
    <w:name w:val="index 7"/>
    <w:basedOn w:val="1"/>
    <w:next w:val="1"/>
    <w:qFormat/>
    <w:uiPriority w:val="0"/>
    <w:pPr>
      <w:ind w:left="1470" w:hanging="210"/>
      <w:jc w:val="left"/>
    </w:pPr>
    <w:rPr>
      <w:sz w:val="18"/>
      <w:szCs w:val="18"/>
    </w:rPr>
  </w:style>
  <w:style w:type="paragraph" w:styleId="72">
    <w:name w:val="index 9"/>
    <w:basedOn w:val="1"/>
    <w:next w:val="1"/>
    <w:qFormat/>
    <w:uiPriority w:val="0"/>
    <w:pPr>
      <w:adjustRightInd w:val="0"/>
      <w:snapToGrid w:val="0"/>
      <w:spacing w:before="120" w:after="120" w:line="360" w:lineRule="auto"/>
      <w:ind w:left="1600" w:leftChars="1600" w:firstLine="200" w:firstLineChars="200"/>
    </w:pPr>
    <w:rPr>
      <w:sz w:val="24"/>
      <w:szCs w:val="21"/>
    </w:rPr>
  </w:style>
  <w:style w:type="paragraph" w:styleId="73">
    <w:name w:val="table of figures"/>
    <w:basedOn w:val="1"/>
    <w:next w:val="1"/>
    <w:qFormat/>
    <w:uiPriority w:val="0"/>
    <w:pPr>
      <w:ind w:left="420" w:hanging="420"/>
      <w:jc w:val="left"/>
    </w:pPr>
    <w:rPr>
      <w:smallCaps/>
      <w:sz w:val="20"/>
      <w:szCs w:val="20"/>
    </w:rPr>
  </w:style>
  <w:style w:type="paragraph" w:styleId="74">
    <w:name w:val="toc 2"/>
    <w:basedOn w:val="1"/>
    <w:next w:val="1"/>
    <w:qFormat/>
    <w:uiPriority w:val="39"/>
    <w:pPr>
      <w:ind w:left="210"/>
      <w:jc w:val="left"/>
    </w:pPr>
    <w:rPr>
      <w:smallCaps/>
      <w:sz w:val="20"/>
      <w:szCs w:val="20"/>
    </w:rPr>
  </w:style>
  <w:style w:type="paragraph" w:styleId="75">
    <w:name w:val="toc 9"/>
    <w:basedOn w:val="1"/>
    <w:next w:val="1"/>
    <w:qFormat/>
    <w:uiPriority w:val="39"/>
    <w:pPr>
      <w:ind w:left="1680"/>
      <w:jc w:val="left"/>
    </w:pPr>
    <w:rPr>
      <w:sz w:val="18"/>
      <w:szCs w:val="18"/>
    </w:rPr>
  </w:style>
  <w:style w:type="paragraph" w:styleId="76">
    <w:name w:val="Body Text 2"/>
    <w:basedOn w:val="1"/>
    <w:link w:val="379"/>
    <w:qFormat/>
    <w:uiPriority w:val="0"/>
    <w:pPr>
      <w:spacing w:after="120" w:line="480" w:lineRule="auto"/>
    </w:pPr>
  </w:style>
  <w:style w:type="paragraph" w:styleId="77">
    <w:name w:val="List 4"/>
    <w:basedOn w:val="1"/>
    <w:qFormat/>
    <w:uiPriority w:val="0"/>
    <w:pPr>
      <w:spacing w:line="440" w:lineRule="exact"/>
      <w:ind w:left="100" w:leftChars="600" w:hanging="200" w:hangingChars="200"/>
    </w:pPr>
    <w:rPr>
      <w:sz w:val="24"/>
    </w:rPr>
  </w:style>
  <w:style w:type="paragraph" w:styleId="78">
    <w:name w:val="List Continue 2"/>
    <w:basedOn w:val="1"/>
    <w:qFormat/>
    <w:uiPriority w:val="0"/>
    <w:pPr>
      <w:spacing w:after="120" w:line="440" w:lineRule="exact"/>
      <w:ind w:left="840" w:leftChars="400"/>
    </w:pPr>
    <w:rPr>
      <w:sz w:val="24"/>
    </w:rPr>
  </w:style>
  <w:style w:type="paragraph" w:styleId="79">
    <w:name w:val="Message Header"/>
    <w:basedOn w:val="1"/>
    <w:link w:val="154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0">
    <w:name w:val="HTML Preformatted"/>
    <w:basedOn w:val="1"/>
    <w:link w:val="246"/>
    <w:qFormat/>
    <w:uiPriority w:val="0"/>
    <w:rPr>
      <w:rFonts w:ascii="Courier New" w:hAnsi="Courier New" w:cs="Courier New"/>
      <w:sz w:val="20"/>
      <w:szCs w:val="20"/>
    </w:rPr>
  </w:style>
  <w:style w:type="paragraph" w:styleId="81">
    <w:name w:val="Normal (Web)"/>
    <w:basedOn w:val="1"/>
    <w:link w:val="2799"/>
    <w:qFormat/>
    <w:uiPriority w:val="99"/>
    <w:pPr>
      <w:widowControl/>
      <w:spacing w:before="100" w:beforeAutospacing="1" w:after="100" w:afterAutospacing="1"/>
      <w:jc w:val="left"/>
    </w:pPr>
    <w:rPr>
      <w:rFonts w:ascii="宋体" w:hAnsi="宋体" w:cs="宋体"/>
      <w:kern w:val="0"/>
      <w:sz w:val="24"/>
    </w:rPr>
  </w:style>
  <w:style w:type="paragraph" w:styleId="82">
    <w:name w:val="List Continue 3"/>
    <w:basedOn w:val="1"/>
    <w:qFormat/>
    <w:uiPriority w:val="0"/>
    <w:pPr>
      <w:spacing w:after="120"/>
      <w:ind w:left="1260" w:leftChars="600"/>
    </w:pPr>
  </w:style>
  <w:style w:type="paragraph" w:styleId="83">
    <w:name w:val="index 2"/>
    <w:basedOn w:val="1"/>
    <w:next w:val="1"/>
    <w:qFormat/>
    <w:uiPriority w:val="0"/>
    <w:pPr>
      <w:adjustRightInd w:val="0"/>
      <w:snapToGrid w:val="0"/>
      <w:spacing w:before="120" w:after="120" w:line="360" w:lineRule="auto"/>
      <w:ind w:left="200" w:leftChars="200" w:firstLine="200" w:firstLineChars="200"/>
    </w:pPr>
    <w:rPr>
      <w:sz w:val="24"/>
    </w:rPr>
  </w:style>
  <w:style w:type="paragraph" w:styleId="84">
    <w:name w:val="Title"/>
    <w:basedOn w:val="1"/>
    <w:link w:val="245"/>
    <w:qFormat/>
    <w:uiPriority w:val="0"/>
    <w:pPr>
      <w:adjustRightInd w:val="0"/>
      <w:spacing w:before="360" w:after="360" w:line="312" w:lineRule="atLeast"/>
      <w:jc w:val="center"/>
      <w:textAlignment w:val="baseline"/>
      <w:outlineLvl w:val="0"/>
    </w:pPr>
    <w:rPr>
      <w:rFonts w:ascii="Arial" w:hAnsi="Arial" w:eastAsia="黑体"/>
      <w:kern w:val="0"/>
      <w:sz w:val="44"/>
      <w:szCs w:val="20"/>
    </w:rPr>
  </w:style>
  <w:style w:type="paragraph" w:styleId="85">
    <w:name w:val="annotation subject"/>
    <w:basedOn w:val="29"/>
    <w:next w:val="29"/>
    <w:link w:val="286"/>
    <w:qFormat/>
    <w:uiPriority w:val="0"/>
    <w:pPr>
      <w:adjustRightInd/>
      <w:spacing w:line="240" w:lineRule="auto"/>
      <w:ind w:firstLine="0" w:firstLineChars="0"/>
      <w:textAlignment w:val="auto"/>
    </w:pPr>
    <w:rPr>
      <w:b/>
      <w:bCs/>
      <w:kern w:val="2"/>
      <w:sz w:val="21"/>
      <w:szCs w:val="24"/>
    </w:rPr>
  </w:style>
  <w:style w:type="paragraph" w:styleId="86">
    <w:name w:val="Body Text First Indent"/>
    <w:basedOn w:val="2"/>
    <w:link w:val="387"/>
    <w:qFormat/>
    <w:uiPriority w:val="0"/>
    <w:pPr>
      <w:ind w:firstLine="420"/>
    </w:pPr>
    <w:rPr>
      <w:kern w:val="2"/>
    </w:rPr>
  </w:style>
  <w:style w:type="paragraph" w:styleId="87">
    <w:name w:val="Body Text First Indent 2"/>
    <w:basedOn w:val="1"/>
    <w:next w:val="1"/>
    <w:link w:val="1662"/>
    <w:qFormat/>
    <w:uiPriority w:val="0"/>
    <w:pPr>
      <w:tabs>
        <w:tab w:val="left" w:pos="360"/>
      </w:tabs>
      <w:spacing w:line="240" w:lineRule="atLeast"/>
      <w:ind w:firstLine="630"/>
    </w:pPr>
    <w:rPr>
      <w:rFonts w:ascii="宋体"/>
      <w:sz w:val="28"/>
    </w:rPr>
  </w:style>
  <w:style w:type="table" w:styleId="89">
    <w:name w:val="Table Grid"/>
    <w:basedOn w:val="88"/>
    <w:qFormat/>
    <w:uiPriority w:val="0"/>
    <w:pPr>
      <w:widowControl w:val="0"/>
      <w:jc w:val="both"/>
    </w:pPr>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Elegant"/>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2">
    <w:name w:val="Table Classic 1"/>
    <w:basedOn w:val="88"/>
    <w:unhideWhenUsed/>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3">
    <w:name w:val="Table Simple 1"/>
    <w:basedOn w:val="88"/>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94">
    <w:name w:val="Table List 3"/>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95">
    <w:name w:val="Table Contemporary"/>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96">
    <w:name w:val="Table Grid 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97">
    <w:name w:val="Table Grid 5"/>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98">
    <w:name w:val="Table Grid 7"/>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99">
    <w:name w:val="Table Grid 8"/>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00">
    <w:name w:val="Table Professional"/>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character" w:styleId="102">
    <w:name w:val="Strong"/>
    <w:qFormat/>
    <w:uiPriority w:val="22"/>
    <w:rPr>
      <w:b/>
      <w:bCs/>
    </w:rPr>
  </w:style>
  <w:style w:type="character" w:styleId="103">
    <w:name w:val="page number"/>
    <w:qFormat/>
    <w:uiPriority w:val="0"/>
  </w:style>
  <w:style w:type="character" w:styleId="104">
    <w:name w:val="FollowedHyperlink"/>
    <w:qFormat/>
    <w:uiPriority w:val="99"/>
    <w:rPr>
      <w:color w:val="800080"/>
      <w:u w:val="single"/>
    </w:rPr>
  </w:style>
  <w:style w:type="character" w:styleId="105">
    <w:name w:val="Emphasis"/>
    <w:qFormat/>
    <w:uiPriority w:val="0"/>
    <w:rPr>
      <w:color w:val="CC0033"/>
    </w:rPr>
  </w:style>
  <w:style w:type="character" w:styleId="106">
    <w:name w:val="line number"/>
    <w:qFormat/>
    <w:uiPriority w:val="0"/>
  </w:style>
  <w:style w:type="character" w:styleId="107">
    <w:name w:val="HTML Definition"/>
    <w:unhideWhenUsed/>
    <w:qFormat/>
    <w:uiPriority w:val="0"/>
    <w:rPr>
      <w:rFonts w:hint="eastAsia" w:ascii="黑体" w:hAnsi="Arial" w:eastAsia="华文中宋" w:cs="宋体"/>
      <w:i/>
      <w:iCs/>
      <w:kern w:val="2"/>
      <w:sz w:val="44"/>
      <w:szCs w:val="44"/>
      <w:lang w:val="en-US" w:eastAsia="zh-CN" w:bidi="ar-SA"/>
    </w:rPr>
  </w:style>
  <w:style w:type="character" w:styleId="108">
    <w:name w:val="HTML Typewriter"/>
    <w:qFormat/>
    <w:uiPriority w:val="0"/>
    <w:rPr>
      <w:rFonts w:ascii="宋体" w:hAnsi="宋体" w:eastAsia="宋体" w:cs="宋体"/>
      <w:sz w:val="24"/>
      <w:szCs w:val="24"/>
    </w:rPr>
  </w:style>
  <w:style w:type="character" w:styleId="109">
    <w:name w:val="HTML Acronym"/>
    <w:unhideWhenUsed/>
    <w:qFormat/>
    <w:uiPriority w:val="0"/>
    <w:rPr>
      <w:rFonts w:hint="eastAsia" w:ascii="黑体" w:hAnsi="Arial" w:eastAsia="华文中宋" w:cs="宋体"/>
      <w:kern w:val="2"/>
      <w:sz w:val="44"/>
      <w:szCs w:val="44"/>
      <w:lang w:val="en-US" w:eastAsia="zh-CN" w:bidi="ar-SA"/>
    </w:rPr>
  </w:style>
  <w:style w:type="character" w:styleId="110">
    <w:name w:val="HTML Variable"/>
    <w:unhideWhenUsed/>
    <w:qFormat/>
    <w:uiPriority w:val="0"/>
    <w:rPr>
      <w:rFonts w:hint="eastAsia" w:ascii="黑体" w:hAnsi="Arial" w:eastAsia="华文中宋" w:cs="宋体"/>
      <w:i/>
      <w:iCs/>
      <w:kern w:val="2"/>
      <w:sz w:val="44"/>
      <w:szCs w:val="44"/>
      <w:lang w:val="en-US" w:eastAsia="zh-CN" w:bidi="ar-SA"/>
    </w:rPr>
  </w:style>
  <w:style w:type="character" w:styleId="111">
    <w:name w:val="Hyperlink"/>
    <w:qFormat/>
    <w:uiPriority w:val="99"/>
    <w:rPr>
      <w:color w:val="0000FF"/>
      <w:u w:val="single"/>
    </w:rPr>
  </w:style>
  <w:style w:type="character" w:styleId="112">
    <w:name w:val="HTML Code"/>
    <w:unhideWhenUsed/>
    <w:qFormat/>
    <w:uiPriority w:val="0"/>
    <w:rPr>
      <w:rFonts w:hint="eastAsia" w:ascii="黑体" w:hAnsi="Courier New" w:eastAsia="黑体" w:cs="Courier New"/>
      <w:sz w:val="24"/>
      <w:szCs w:val="24"/>
    </w:rPr>
  </w:style>
  <w:style w:type="character" w:styleId="113">
    <w:name w:val="annotation reference"/>
    <w:qFormat/>
    <w:uiPriority w:val="0"/>
    <w:rPr>
      <w:sz w:val="21"/>
      <w:szCs w:val="21"/>
    </w:rPr>
  </w:style>
  <w:style w:type="character" w:styleId="114">
    <w:name w:val="HTML Cite"/>
    <w:unhideWhenUsed/>
    <w:qFormat/>
    <w:uiPriority w:val="0"/>
    <w:rPr>
      <w:rFonts w:hint="eastAsia" w:ascii="黑体" w:hAnsi="Arial" w:eastAsia="华文中宋" w:cs="宋体"/>
      <w:i/>
      <w:iCs/>
      <w:kern w:val="2"/>
      <w:sz w:val="44"/>
      <w:szCs w:val="44"/>
      <w:lang w:val="en-US" w:eastAsia="zh-CN" w:bidi="ar-SA"/>
    </w:rPr>
  </w:style>
  <w:style w:type="character" w:styleId="115">
    <w:name w:val="footnote reference"/>
    <w:qFormat/>
    <w:uiPriority w:val="0"/>
    <w:rPr>
      <w:rFonts w:ascii="Times New Roman" w:hAnsi="Times New Roman" w:eastAsia="宋体"/>
      <w:kern w:val="0"/>
      <w:vertAlign w:val="superscript"/>
    </w:rPr>
  </w:style>
  <w:style w:type="character" w:styleId="116">
    <w:name w:val="HTML Keyboard"/>
    <w:unhideWhenUsed/>
    <w:qFormat/>
    <w:uiPriority w:val="0"/>
    <w:rPr>
      <w:rFonts w:hint="default" w:ascii="Courier New" w:hAnsi="Courier New" w:eastAsia="华文中宋" w:cs="Courier New"/>
      <w:kern w:val="2"/>
      <w:sz w:val="24"/>
      <w:szCs w:val="24"/>
      <w:lang w:val="en-US" w:eastAsia="zh-CN" w:bidi="ar-SA"/>
    </w:rPr>
  </w:style>
  <w:style w:type="character" w:styleId="117">
    <w:name w:val="HTML Sample"/>
    <w:unhideWhenUsed/>
    <w:qFormat/>
    <w:uiPriority w:val="0"/>
    <w:rPr>
      <w:rFonts w:hint="default" w:ascii="Courier New" w:hAnsi="Courier New" w:eastAsia="华文中宋" w:cs="Courier New"/>
      <w:kern w:val="2"/>
      <w:sz w:val="44"/>
      <w:szCs w:val="44"/>
      <w:lang w:val="en-US" w:eastAsia="zh-CN" w:bidi="ar-SA"/>
    </w:rPr>
  </w:style>
  <w:style w:type="character" w:customStyle="1" w:styleId="118">
    <w:name w:val="页眉 Char"/>
    <w:link w:val="57"/>
    <w:qFormat/>
    <w:uiPriority w:val="0"/>
    <w:rPr>
      <w:sz w:val="18"/>
      <w:szCs w:val="18"/>
    </w:rPr>
  </w:style>
  <w:style w:type="character" w:customStyle="1" w:styleId="119">
    <w:name w:val="页脚 Char"/>
    <w:link w:val="55"/>
    <w:qFormat/>
    <w:uiPriority w:val="0"/>
    <w:rPr>
      <w:sz w:val="18"/>
      <w:szCs w:val="18"/>
    </w:rPr>
  </w:style>
  <w:style w:type="character" w:customStyle="1" w:styleId="120">
    <w:name w:val="标题 1 Char"/>
    <w:link w:val="4"/>
    <w:qFormat/>
    <w:uiPriority w:val="0"/>
    <w:rPr>
      <w:rFonts w:ascii="Times New Roman" w:hAnsi="Times New Roman" w:eastAsia="黑体"/>
      <w:bCs/>
      <w:kern w:val="44"/>
      <w:sz w:val="44"/>
      <w:szCs w:val="44"/>
    </w:rPr>
  </w:style>
  <w:style w:type="character" w:customStyle="1" w:styleId="121">
    <w:name w:val="标题 2 Char"/>
    <w:link w:val="5"/>
    <w:qFormat/>
    <w:uiPriority w:val="0"/>
    <w:rPr>
      <w:rFonts w:ascii="Times New Roman" w:hAnsi="Times New Roman" w:eastAsia="黑体"/>
      <w:bCs/>
      <w:kern w:val="2"/>
      <w:sz w:val="32"/>
      <w:szCs w:val="32"/>
    </w:rPr>
  </w:style>
  <w:style w:type="character" w:customStyle="1" w:styleId="122">
    <w:name w:val="标题 3 Char"/>
    <w:link w:val="6"/>
    <w:qFormat/>
    <w:uiPriority w:val="0"/>
    <w:rPr>
      <w:rFonts w:ascii="Times New Roman" w:hAnsi="Times New Roman" w:eastAsia="黑体"/>
      <w:bCs/>
      <w:kern w:val="2"/>
      <w:sz w:val="30"/>
      <w:szCs w:val="32"/>
    </w:rPr>
  </w:style>
  <w:style w:type="character" w:customStyle="1" w:styleId="123">
    <w:name w:val="标题 4 Char"/>
    <w:link w:val="7"/>
    <w:qFormat/>
    <w:uiPriority w:val="0"/>
    <w:rPr>
      <w:rFonts w:ascii="Times New Roman" w:hAnsi="Times New Roman" w:eastAsia="黑体"/>
      <w:bCs/>
      <w:kern w:val="2"/>
      <w:sz w:val="28"/>
      <w:szCs w:val="28"/>
    </w:rPr>
  </w:style>
  <w:style w:type="character" w:customStyle="1" w:styleId="124">
    <w:name w:val="标题 5 Char"/>
    <w:link w:val="8"/>
    <w:qFormat/>
    <w:uiPriority w:val="0"/>
    <w:rPr>
      <w:rFonts w:ascii="Times New Roman" w:hAnsi="Times New Roman"/>
      <w:b/>
      <w:bCs/>
      <w:sz w:val="28"/>
      <w:szCs w:val="28"/>
    </w:rPr>
  </w:style>
  <w:style w:type="character" w:customStyle="1" w:styleId="125">
    <w:name w:val="标题 6 Char"/>
    <w:qFormat/>
    <w:uiPriority w:val="0"/>
    <w:rPr>
      <w:rFonts w:ascii="Cambria" w:hAnsi="Cambria" w:eastAsia="宋体" w:cs="Times New Roman"/>
      <w:b/>
      <w:bCs/>
      <w:sz w:val="24"/>
      <w:szCs w:val="24"/>
    </w:rPr>
  </w:style>
  <w:style w:type="character" w:customStyle="1" w:styleId="126">
    <w:name w:val="标题 7 Char"/>
    <w:link w:val="10"/>
    <w:qFormat/>
    <w:uiPriority w:val="0"/>
    <w:rPr>
      <w:rFonts w:ascii="Times New Roman" w:hAnsi="Times New Roman"/>
      <w:b/>
      <w:bCs/>
      <w:szCs w:val="24"/>
    </w:rPr>
  </w:style>
  <w:style w:type="character" w:customStyle="1" w:styleId="127">
    <w:name w:val="标题 8 Char"/>
    <w:qFormat/>
    <w:uiPriority w:val="0"/>
    <w:rPr>
      <w:rFonts w:ascii="Cambria" w:hAnsi="Cambria" w:eastAsia="宋体" w:cs="Times New Roman"/>
      <w:sz w:val="24"/>
      <w:szCs w:val="24"/>
    </w:rPr>
  </w:style>
  <w:style w:type="character" w:customStyle="1" w:styleId="128">
    <w:name w:val="标题 9 Char"/>
    <w:link w:val="12"/>
    <w:qFormat/>
    <w:uiPriority w:val="9"/>
    <w:rPr>
      <w:rFonts w:ascii="Arial" w:hAnsi="Arial" w:eastAsia="黑体"/>
      <w:sz w:val="21"/>
      <w:szCs w:val="21"/>
    </w:rPr>
  </w:style>
  <w:style w:type="paragraph" w:customStyle="1" w:styleId="129">
    <w:name w:val="Char Char Char"/>
    <w:basedOn w:val="1"/>
    <w:qFormat/>
    <w:uiPriority w:val="0"/>
    <w:rPr>
      <w:sz w:val="24"/>
    </w:rPr>
  </w:style>
  <w:style w:type="character" w:customStyle="1" w:styleId="130">
    <w:name w:val="日期 Char"/>
    <w:link w:val="50"/>
    <w:qFormat/>
    <w:uiPriority w:val="0"/>
    <w:rPr>
      <w:rFonts w:ascii="Times New Roman" w:hAnsi="Times New Roman" w:eastAsia="宋体" w:cs="Times New Roman"/>
      <w:kern w:val="0"/>
      <w:sz w:val="24"/>
      <w:szCs w:val="20"/>
    </w:rPr>
  </w:style>
  <w:style w:type="character" w:customStyle="1" w:styleId="131">
    <w:name w:val="正文文本缩进 3 Char"/>
    <w:link w:val="70"/>
    <w:qFormat/>
    <w:uiPriority w:val="0"/>
    <w:rPr>
      <w:rFonts w:ascii="Times New Roman" w:hAnsi="Times New Roman" w:eastAsia="宋体" w:cs="Times New Roman"/>
      <w:sz w:val="16"/>
      <w:szCs w:val="16"/>
    </w:rPr>
  </w:style>
  <w:style w:type="character" w:customStyle="1" w:styleId="132">
    <w:name w:val="正文文本缩进 2 Char"/>
    <w:link w:val="51"/>
    <w:qFormat/>
    <w:uiPriority w:val="0"/>
    <w:rPr>
      <w:rFonts w:ascii="Times New Roman" w:hAnsi="Times New Roman" w:eastAsia="宋体" w:cs="Times New Roman"/>
      <w:szCs w:val="24"/>
    </w:rPr>
  </w:style>
  <w:style w:type="character" w:customStyle="1" w:styleId="133">
    <w:name w:val="文档结构图 Char"/>
    <w:link w:val="27"/>
    <w:qFormat/>
    <w:uiPriority w:val="0"/>
    <w:rPr>
      <w:rFonts w:ascii="Times New Roman" w:hAnsi="Times New Roman" w:eastAsia="宋体" w:cs="Times New Roman"/>
      <w:szCs w:val="24"/>
      <w:shd w:val="clear" w:color="auto" w:fill="000080"/>
    </w:rPr>
  </w:style>
  <w:style w:type="character" w:customStyle="1" w:styleId="134">
    <w:name w:val="Char Char4"/>
    <w:qFormat/>
    <w:uiPriority w:val="0"/>
    <w:rPr>
      <w:rFonts w:eastAsia="黑体"/>
      <w:b/>
      <w:bCs/>
      <w:snapToGrid w:val="0"/>
      <w:kern w:val="44"/>
      <w:sz w:val="44"/>
      <w:szCs w:val="44"/>
      <w:lang w:val="en-US" w:eastAsia="zh-CN" w:bidi="ar-SA"/>
    </w:rPr>
  </w:style>
  <w:style w:type="paragraph" w:customStyle="1" w:styleId="135">
    <w:name w:val="Char Char Char Char Char Char Char Char Char Char"/>
    <w:basedOn w:val="1"/>
    <w:qFormat/>
    <w:uiPriority w:val="0"/>
    <w:rPr>
      <w:sz w:val="24"/>
    </w:rPr>
  </w:style>
  <w:style w:type="character" w:customStyle="1" w:styleId="136">
    <w:name w:val="脚注文本 Char"/>
    <w:link w:val="67"/>
    <w:qFormat/>
    <w:uiPriority w:val="0"/>
    <w:rPr>
      <w:rFonts w:ascii="Arial" w:hAnsi="Arial" w:eastAsia="黑体"/>
      <w:b/>
      <w:bCs/>
      <w:snapToGrid w:val="0"/>
      <w:sz w:val="30"/>
      <w:szCs w:val="32"/>
    </w:rPr>
  </w:style>
  <w:style w:type="character" w:customStyle="1" w:styleId="137">
    <w:name w:val="Char Char2"/>
    <w:qFormat/>
    <w:uiPriority w:val="0"/>
    <w:rPr>
      <w:rFonts w:eastAsia="宋体"/>
      <w:b/>
      <w:bCs/>
      <w:snapToGrid w:val="0"/>
      <w:sz w:val="28"/>
      <w:szCs w:val="32"/>
      <w:lang w:val="en-US" w:eastAsia="zh-CN" w:bidi="ar-SA"/>
    </w:rPr>
  </w:style>
  <w:style w:type="character" w:customStyle="1" w:styleId="138">
    <w:name w:val="z-窗体顶端 Char"/>
    <w:link w:val="139"/>
    <w:qFormat/>
    <w:uiPriority w:val="0"/>
    <w:rPr>
      <w:rFonts w:ascii="Arial" w:hAnsi="Arial" w:eastAsia="宋体"/>
      <w:b/>
      <w:bCs/>
      <w:snapToGrid w:val="0"/>
      <w:sz w:val="24"/>
      <w:szCs w:val="28"/>
    </w:rPr>
  </w:style>
  <w:style w:type="paragraph" w:customStyle="1" w:styleId="139">
    <w:name w:val="z-窗体顶端1"/>
    <w:basedOn w:val="1"/>
    <w:next w:val="1"/>
    <w:link w:val="138"/>
    <w:qFormat/>
    <w:uiPriority w:val="0"/>
    <w:pPr>
      <w:widowControl/>
      <w:pBdr>
        <w:bottom w:val="single" w:color="auto" w:sz="6" w:space="1"/>
      </w:pBdr>
      <w:adjustRightInd w:val="0"/>
      <w:snapToGrid w:val="0"/>
      <w:spacing w:before="120" w:after="120" w:line="360" w:lineRule="auto"/>
      <w:ind w:firstLine="200" w:firstLineChars="200"/>
      <w:jc w:val="center"/>
    </w:pPr>
    <w:rPr>
      <w:rFonts w:ascii="Arial" w:hAnsi="Arial"/>
      <w:b/>
      <w:bCs/>
      <w:snapToGrid w:val="0"/>
      <w:sz w:val="24"/>
      <w:szCs w:val="28"/>
    </w:rPr>
  </w:style>
  <w:style w:type="paragraph" w:customStyle="1" w:styleId="140">
    <w:name w:val="表名"/>
    <w:basedOn w:val="1"/>
    <w:qFormat/>
    <w:uiPriority w:val="0"/>
    <w:pPr>
      <w:keepNext/>
      <w:spacing w:line="360" w:lineRule="auto"/>
      <w:jc w:val="center"/>
      <w:outlineLvl w:val="3"/>
    </w:pPr>
    <w:rPr>
      <w:rFonts w:ascii="Arial" w:hAnsi="Arial"/>
      <w:b/>
      <w:snapToGrid w:val="0"/>
      <w:kern w:val="0"/>
      <w:sz w:val="24"/>
      <w:szCs w:val="18"/>
    </w:rPr>
  </w:style>
  <w:style w:type="character" w:customStyle="1" w:styleId="141">
    <w:name w:val="表名 Char"/>
    <w:semiHidden/>
    <w:qFormat/>
    <w:uiPriority w:val="0"/>
    <w:rPr>
      <w:rFonts w:ascii="Arial" w:hAnsi="Arial" w:eastAsia="宋体"/>
      <w:b/>
      <w:snapToGrid w:val="0"/>
      <w:sz w:val="24"/>
      <w:szCs w:val="18"/>
      <w:lang w:val="en-US" w:eastAsia="zh-CN" w:bidi="ar-SA"/>
    </w:rPr>
  </w:style>
  <w:style w:type="paragraph" w:customStyle="1" w:styleId="142">
    <w:name w:val="表中文字"/>
    <w:basedOn w:val="1"/>
    <w:link w:val="677"/>
    <w:qFormat/>
    <w:uiPriority w:val="0"/>
    <w:pPr>
      <w:snapToGrid w:val="0"/>
      <w:jc w:val="center"/>
    </w:pPr>
    <w:rPr>
      <w:snapToGrid w:val="0"/>
      <w:kern w:val="0"/>
      <w:szCs w:val="21"/>
      <w:lang w:eastAsia="zh-TW"/>
    </w:rPr>
  </w:style>
  <w:style w:type="paragraph" w:customStyle="1" w:styleId="143">
    <w:name w:val="环评正文"/>
    <w:link w:val="254"/>
    <w:qFormat/>
    <w:uiPriority w:val="0"/>
    <w:pPr>
      <w:spacing w:line="400" w:lineRule="exact"/>
      <w:ind w:firstLine="200" w:firstLineChars="200"/>
    </w:pPr>
    <w:rPr>
      <w:rFonts w:ascii="Times New Roman" w:hAnsi="Times New Roman" w:eastAsia="宋体" w:cs="Times New Roman"/>
      <w:bCs/>
      <w:kern w:val="2"/>
      <w:sz w:val="24"/>
      <w:szCs w:val="24"/>
      <w:lang w:val="en-US" w:eastAsia="zh-CN" w:bidi="ar-SA"/>
    </w:rPr>
  </w:style>
  <w:style w:type="character" w:customStyle="1" w:styleId="144">
    <w:name w:val="正文（首行缩进两字） Char1"/>
    <w:link w:val="145"/>
    <w:qFormat/>
    <w:uiPriority w:val="0"/>
    <w:rPr>
      <w:snapToGrid w:val="0"/>
      <w:sz w:val="24"/>
      <w:szCs w:val="24"/>
    </w:rPr>
  </w:style>
  <w:style w:type="paragraph" w:customStyle="1" w:styleId="145">
    <w:name w:val="正文（首行缩进）"/>
    <w:basedOn w:val="1"/>
    <w:link w:val="144"/>
    <w:qFormat/>
    <w:uiPriority w:val="0"/>
    <w:pPr>
      <w:adjustRightInd w:val="0"/>
      <w:snapToGrid w:val="0"/>
      <w:spacing w:line="360" w:lineRule="auto"/>
      <w:ind w:firstLine="200" w:firstLineChars="200"/>
      <w:jc w:val="left"/>
    </w:pPr>
    <w:rPr>
      <w:rFonts w:ascii="Calibri" w:hAnsi="Calibri"/>
      <w:snapToGrid w:val="0"/>
      <w:sz w:val="24"/>
    </w:rPr>
  </w:style>
  <w:style w:type="character" w:customStyle="1" w:styleId="146">
    <w:name w:val="正文文本 Char"/>
    <w:qFormat/>
    <w:uiPriority w:val="0"/>
    <w:rPr>
      <w:rFonts w:ascii="Times New Roman" w:hAnsi="Times New Roman" w:eastAsia="宋体" w:cs="Times New Roman"/>
      <w:szCs w:val="24"/>
    </w:rPr>
  </w:style>
  <w:style w:type="character" w:customStyle="1" w:styleId="147">
    <w:name w:val="正文文字 Char Char Char Char Char Char"/>
    <w:semiHidden/>
    <w:qFormat/>
    <w:uiPriority w:val="0"/>
    <w:rPr>
      <w:rFonts w:eastAsia="宋体"/>
      <w:snapToGrid w:val="0"/>
      <w:sz w:val="24"/>
      <w:szCs w:val="24"/>
      <w:lang w:val="en-US" w:eastAsia="zh-CN" w:bidi="ar-SA"/>
    </w:rPr>
  </w:style>
  <w:style w:type="character" w:customStyle="1" w:styleId="148">
    <w:name w:val="表中文字 Char Char Char Char Char Char"/>
    <w:semiHidden/>
    <w:qFormat/>
    <w:uiPriority w:val="0"/>
    <w:rPr>
      <w:rFonts w:eastAsia="宋体"/>
      <w:kern w:val="2"/>
      <w:sz w:val="21"/>
      <w:lang w:val="en-US" w:eastAsia="zh-CN" w:bidi="ar-SA"/>
    </w:rPr>
  </w:style>
  <w:style w:type="character" w:customStyle="1" w:styleId="149">
    <w:name w:val="正文首行缩进 Char"/>
    <w:qFormat/>
    <w:uiPriority w:val="0"/>
    <w:rPr>
      <w:rFonts w:ascii="Times New Roman" w:hAnsi="Times New Roman" w:eastAsia="宋体" w:cs="Times New Roman"/>
      <w:szCs w:val="24"/>
    </w:rPr>
  </w:style>
  <w:style w:type="character" w:customStyle="1" w:styleId="150">
    <w:name w:val="正文首行缩进 Char Char Char Char"/>
    <w:semiHidden/>
    <w:qFormat/>
    <w:uiPriority w:val="0"/>
  </w:style>
  <w:style w:type="paragraph" w:customStyle="1" w:styleId="151">
    <w:name w:val="图表名称"/>
    <w:basedOn w:val="86"/>
    <w:qFormat/>
    <w:uiPriority w:val="0"/>
    <w:pPr>
      <w:keepNext/>
      <w:keepLines/>
      <w:adjustRightInd w:val="0"/>
      <w:snapToGrid w:val="0"/>
      <w:spacing w:after="60"/>
      <w:ind w:firstLine="0"/>
      <w:jc w:val="center"/>
      <w:outlineLvl w:val="4"/>
    </w:pPr>
    <w:rPr>
      <w:rFonts w:ascii="宋体" w:hAnsi="宋体"/>
      <w:b/>
      <w:bCs/>
    </w:rPr>
  </w:style>
  <w:style w:type="character" w:customStyle="1" w:styleId="152">
    <w:name w:val="图表名称 Char"/>
    <w:semiHidden/>
    <w:qFormat/>
    <w:uiPriority w:val="0"/>
    <w:rPr>
      <w:rFonts w:ascii="宋体" w:hAnsi="宋体" w:eastAsia="宋体"/>
      <w:b/>
      <w:bCs/>
      <w:snapToGrid w:val="0"/>
      <w:sz w:val="24"/>
      <w:szCs w:val="24"/>
      <w:lang w:val="en-US" w:eastAsia="zh-CN" w:bidi="ar-SA"/>
    </w:rPr>
  </w:style>
  <w:style w:type="paragraph" w:customStyle="1" w:styleId="153">
    <w:name w:val="环评正文 Char Char"/>
    <w:semiHidden/>
    <w:qFormat/>
    <w:uiPriority w:val="0"/>
    <w:pPr>
      <w:spacing w:line="360" w:lineRule="exact"/>
      <w:ind w:firstLine="200" w:firstLineChars="200"/>
    </w:pPr>
    <w:rPr>
      <w:rFonts w:ascii="Times New Roman" w:hAnsi="Times New Roman" w:eastAsia="宋体" w:cs="Times New Roman"/>
      <w:snapToGrid w:val="0"/>
      <w:color w:val="000000"/>
      <w:kern w:val="21"/>
      <w:sz w:val="24"/>
      <w:szCs w:val="24"/>
      <w:lang w:val="en-US" w:eastAsia="zh-CN" w:bidi="ar-SA"/>
    </w:rPr>
  </w:style>
  <w:style w:type="character" w:customStyle="1" w:styleId="154">
    <w:name w:val="环评正文 Char Char Char"/>
    <w:semiHidden/>
    <w:qFormat/>
    <w:uiPriority w:val="0"/>
    <w:rPr>
      <w:rFonts w:eastAsia="宋体"/>
      <w:snapToGrid w:val="0"/>
      <w:color w:val="000000"/>
      <w:kern w:val="21"/>
      <w:sz w:val="24"/>
      <w:szCs w:val="24"/>
      <w:lang w:val="en-US" w:eastAsia="zh-CN" w:bidi="ar-SA"/>
    </w:rPr>
  </w:style>
  <w:style w:type="character" w:customStyle="1" w:styleId="155">
    <w:name w:val="燕山正文 Char Char Char Char Char"/>
    <w:link w:val="156"/>
    <w:semiHidden/>
    <w:qFormat/>
    <w:uiPriority w:val="0"/>
    <w:rPr>
      <w:rFonts w:ascii="宋体"/>
      <w:snapToGrid w:val="0"/>
      <w:sz w:val="24"/>
      <w:szCs w:val="24"/>
    </w:rPr>
  </w:style>
  <w:style w:type="paragraph" w:customStyle="1" w:styleId="156">
    <w:name w:val="燕山正文 Char Char Char Char"/>
    <w:basedOn w:val="1"/>
    <w:link w:val="155"/>
    <w:semiHidden/>
    <w:qFormat/>
    <w:uiPriority w:val="0"/>
    <w:pPr>
      <w:adjustRightInd w:val="0"/>
      <w:snapToGrid w:val="0"/>
      <w:spacing w:line="440" w:lineRule="exact"/>
      <w:ind w:firstLine="454"/>
    </w:pPr>
    <w:rPr>
      <w:rFonts w:ascii="宋体" w:hAnsi="Calibri"/>
      <w:snapToGrid w:val="0"/>
      <w:sz w:val="24"/>
    </w:rPr>
  </w:style>
  <w:style w:type="character" w:customStyle="1" w:styleId="157">
    <w:name w:val="环评正文 Char Char Char Char Char Char"/>
    <w:qFormat/>
    <w:uiPriority w:val="0"/>
    <w:rPr>
      <w:rFonts w:eastAsia="宋体"/>
      <w:color w:val="000000"/>
      <w:kern w:val="21"/>
      <w:sz w:val="24"/>
      <w:szCs w:val="24"/>
      <w:lang w:val="en-US" w:eastAsia="zh-CN" w:bidi="ar-SA"/>
    </w:rPr>
  </w:style>
  <w:style w:type="character" w:customStyle="1" w:styleId="158">
    <w:name w:val="环评正文 Char Char Char Char Char Char Char"/>
    <w:semiHidden/>
    <w:qFormat/>
    <w:uiPriority w:val="0"/>
    <w:rPr>
      <w:rFonts w:eastAsia="宋体"/>
      <w:color w:val="000000"/>
      <w:kern w:val="21"/>
      <w:sz w:val="24"/>
      <w:szCs w:val="24"/>
      <w:lang w:val="en-US" w:eastAsia="zh-CN" w:bidi="ar-SA"/>
    </w:rPr>
  </w:style>
  <w:style w:type="character" w:customStyle="1" w:styleId="159">
    <w:name w:val="副标题 Char"/>
    <w:link w:val="64"/>
    <w:qFormat/>
    <w:uiPriority w:val="0"/>
    <w:rPr>
      <w:rFonts w:ascii="Arial" w:hAnsi="Arial" w:eastAsia="黑体" w:cs="Times New Roman"/>
      <w:kern w:val="28"/>
      <w:szCs w:val="20"/>
    </w:rPr>
  </w:style>
  <w:style w:type="character" w:customStyle="1" w:styleId="160">
    <w:name w:val="环评正文 Char Char Char Char2"/>
    <w:semiHidden/>
    <w:qFormat/>
    <w:uiPriority w:val="0"/>
    <w:rPr>
      <w:rFonts w:eastAsia="宋体"/>
      <w:snapToGrid w:val="0"/>
      <w:color w:val="000000"/>
      <w:kern w:val="21"/>
      <w:sz w:val="24"/>
      <w:szCs w:val="24"/>
      <w:lang w:val="en-US" w:eastAsia="zh-CN" w:bidi="ar-SA"/>
    </w:rPr>
  </w:style>
  <w:style w:type="paragraph" w:customStyle="1" w:styleId="161">
    <w:name w:val="环评正文 Char Char Char1"/>
    <w:semiHidden/>
    <w:qFormat/>
    <w:uiPriority w:val="0"/>
    <w:pPr>
      <w:spacing w:line="400" w:lineRule="exact"/>
      <w:ind w:firstLine="200" w:firstLineChars="200"/>
      <w:jc w:val="both"/>
    </w:pPr>
    <w:rPr>
      <w:rFonts w:ascii="Times New Roman" w:hAnsi="Times New Roman" w:eastAsia="宋体" w:cs="Times New Roman"/>
      <w:snapToGrid w:val="0"/>
      <w:color w:val="000000"/>
      <w:kern w:val="21"/>
      <w:sz w:val="24"/>
      <w:szCs w:val="24"/>
      <w:lang w:val="en-US" w:eastAsia="zh-CN" w:bidi="ar-SA"/>
    </w:rPr>
  </w:style>
  <w:style w:type="character" w:customStyle="1" w:styleId="162">
    <w:name w:val="表中文字 Char2"/>
    <w:qFormat/>
    <w:uiPriority w:val="0"/>
    <w:rPr>
      <w:rFonts w:eastAsia="宋体"/>
      <w:snapToGrid w:val="0"/>
      <w:sz w:val="21"/>
      <w:szCs w:val="21"/>
      <w:lang w:val="en-US" w:eastAsia="zh-TW" w:bidi="ar-SA"/>
    </w:rPr>
  </w:style>
  <w:style w:type="paragraph" w:customStyle="1" w:styleId="163">
    <w:name w:val="样式 环评正文 Char Char + 首行缩进:  2 字符"/>
    <w:basedOn w:val="153"/>
    <w:semiHidden/>
    <w:qFormat/>
    <w:uiPriority w:val="0"/>
    <w:pPr>
      <w:spacing w:line="440" w:lineRule="exact"/>
      <w:jc w:val="both"/>
    </w:pPr>
    <w:rPr>
      <w:rFonts w:cs="宋体"/>
      <w:snapToGrid/>
      <w:szCs w:val="20"/>
    </w:rPr>
  </w:style>
  <w:style w:type="paragraph" w:customStyle="1" w:styleId="164">
    <w:name w:val="表体"/>
    <w:basedOn w:val="1"/>
    <w:qFormat/>
    <w:uiPriority w:val="0"/>
    <w:pPr>
      <w:spacing w:before="40" w:after="40"/>
      <w:jc w:val="center"/>
    </w:pPr>
  </w:style>
  <w:style w:type="paragraph" w:customStyle="1" w:styleId="165">
    <w:name w:val="Default"/>
    <w:link w:val="72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66">
    <w:name w:val="样式 标题 2标题 2 Char1 Char Char标题 21H2H21标题 2XW Char标题 2XW Cha..."/>
    <w:basedOn w:val="5"/>
    <w:semiHidden/>
    <w:qFormat/>
    <w:uiPriority w:val="0"/>
    <w:pPr>
      <w:spacing w:before="240" w:after="240" w:line="520" w:lineRule="exact"/>
    </w:pPr>
    <w:rPr>
      <w:rFonts w:ascii="Arial" w:hAnsi="Arial" w:cs="宋体"/>
      <w:snapToGrid w:val="0"/>
      <w:kern w:val="0"/>
      <w:sz w:val="28"/>
      <w:szCs w:val="20"/>
    </w:rPr>
  </w:style>
  <w:style w:type="paragraph" w:customStyle="1" w:styleId="167">
    <w:name w:val="样式 样式 样式 标题 3标题 31标题 3 Char1 Char Char Char标题 31 Char Char Char标...1"/>
    <w:basedOn w:val="1"/>
    <w:semiHidden/>
    <w:qFormat/>
    <w:uiPriority w:val="0"/>
    <w:pPr>
      <w:keepNext/>
      <w:keepLines/>
      <w:spacing w:beforeLines="50" w:afterLines="50" w:line="520" w:lineRule="exact"/>
      <w:outlineLvl w:val="2"/>
    </w:pPr>
    <w:rPr>
      <w:rFonts w:cs="宋体"/>
      <w:b/>
      <w:bCs/>
      <w:snapToGrid w:val="0"/>
      <w:kern w:val="0"/>
      <w:sz w:val="24"/>
      <w:szCs w:val="20"/>
    </w:rPr>
  </w:style>
  <w:style w:type="character" w:customStyle="1" w:styleId="168">
    <w:name w:val="标题 3 Char Char Char Char Char Char1"/>
    <w:semiHidden/>
    <w:qFormat/>
    <w:uiPriority w:val="0"/>
    <w:rPr>
      <w:rFonts w:eastAsia="宋体"/>
      <w:b/>
      <w:bCs/>
      <w:sz w:val="32"/>
      <w:szCs w:val="32"/>
      <w:lang w:val="en-US" w:eastAsia="zh-CN" w:bidi="ar-SA"/>
    </w:rPr>
  </w:style>
  <w:style w:type="character" w:customStyle="1" w:styleId="169">
    <w:name w:val="环评正文 Char1"/>
    <w:qFormat/>
    <w:uiPriority w:val="0"/>
    <w:rPr>
      <w:rFonts w:eastAsia="宋体"/>
      <w:bCs/>
      <w:kern w:val="2"/>
      <w:sz w:val="24"/>
      <w:szCs w:val="24"/>
      <w:lang w:val="en-US" w:eastAsia="zh-CN" w:bidi="ar-SA"/>
    </w:rPr>
  </w:style>
  <w:style w:type="character" w:customStyle="1" w:styleId="170">
    <w:name w:val="z-窗体底端 Char"/>
    <w:link w:val="171"/>
    <w:qFormat/>
    <w:uiPriority w:val="0"/>
    <w:rPr>
      <w:rFonts w:ascii="宋体" w:hAnsi="宋体" w:eastAsia="宋体" w:cs="宋体"/>
      <w:b/>
      <w:bCs/>
      <w:color w:val="000000"/>
      <w:sz w:val="28"/>
      <w:szCs w:val="28"/>
    </w:rPr>
  </w:style>
  <w:style w:type="paragraph" w:customStyle="1" w:styleId="171">
    <w:name w:val="z-窗体底端1"/>
    <w:basedOn w:val="1"/>
    <w:next w:val="1"/>
    <w:link w:val="170"/>
    <w:qFormat/>
    <w:uiPriority w:val="0"/>
    <w:pPr>
      <w:widowControl/>
      <w:pBdr>
        <w:top w:val="single" w:color="auto" w:sz="6" w:space="1"/>
      </w:pBdr>
      <w:adjustRightInd w:val="0"/>
      <w:snapToGrid w:val="0"/>
      <w:spacing w:before="120" w:after="120" w:line="360" w:lineRule="auto"/>
      <w:ind w:firstLine="200" w:firstLineChars="200"/>
      <w:jc w:val="center"/>
    </w:pPr>
    <w:rPr>
      <w:rFonts w:ascii="宋体" w:hAnsi="宋体" w:cs="宋体"/>
      <w:b/>
      <w:bCs/>
      <w:color w:val="000000"/>
      <w:sz w:val="28"/>
      <w:szCs w:val="28"/>
    </w:rPr>
  </w:style>
  <w:style w:type="paragraph" w:customStyle="1" w:styleId="172">
    <w:name w:val="标题4"/>
    <w:basedOn w:val="1"/>
    <w:qFormat/>
    <w:uiPriority w:val="0"/>
    <w:pPr>
      <w:spacing w:line="400" w:lineRule="exact"/>
      <w:jc w:val="left"/>
      <w:outlineLvl w:val="3"/>
    </w:pPr>
    <w:rPr>
      <w:b/>
      <w:bCs/>
      <w:sz w:val="24"/>
      <w:szCs w:val="20"/>
    </w:rPr>
  </w:style>
  <w:style w:type="character" w:customStyle="1" w:styleId="173">
    <w:name w:val="正文文本缩进 Char"/>
    <w:qFormat/>
    <w:uiPriority w:val="0"/>
    <w:rPr>
      <w:rFonts w:ascii="Times New Roman" w:hAnsi="Times New Roman" w:eastAsia="宋体" w:cs="Times New Roman"/>
      <w:szCs w:val="24"/>
    </w:rPr>
  </w:style>
  <w:style w:type="paragraph" w:customStyle="1" w:styleId="174">
    <w:name w:val="a1"/>
    <w:basedOn w:val="1"/>
    <w:semiHidden/>
    <w:qFormat/>
    <w:uiPriority w:val="0"/>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175">
    <w:name w:val="图表来源"/>
    <w:basedOn w:val="1"/>
    <w:semiHidden/>
    <w:qFormat/>
    <w:uiPriority w:val="0"/>
    <w:pPr>
      <w:snapToGrid w:val="0"/>
    </w:pPr>
    <w:rPr>
      <w:rFonts w:ascii="宋体" w:hAnsi="宋体"/>
      <w:snapToGrid w:val="0"/>
      <w:color w:val="000000"/>
      <w:lang w:val="en-GB"/>
    </w:rPr>
  </w:style>
  <w:style w:type="character" w:customStyle="1" w:styleId="176">
    <w:name w:val="纯文本 Char"/>
    <w:qFormat/>
    <w:uiPriority w:val="99"/>
    <w:rPr>
      <w:rFonts w:ascii="宋体" w:hAnsi="Courier New" w:eastAsia="宋体" w:cs="Courier New"/>
      <w:szCs w:val="21"/>
    </w:rPr>
  </w:style>
  <w:style w:type="paragraph" w:customStyle="1" w:styleId="177">
    <w:name w:val="图文框"/>
    <w:basedOn w:val="1"/>
    <w:qFormat/>
    <w:uiPriority w:val="0"/>
    <w:pPr>
      <w:adjustRightInd w:val="0"/>
      <w:snapToGrid w:val="0"/>
      <w:jc w:val="center"/>
    </w:pPr>
  </w:style>
  <w:style w:type="paragraph" w:customStyle="1" w:styleId="178">
    <w:name w:val="xl25"/>
    <w:basedOn w:val="1"/>
    <w:qFormat/>
    <w:uiPriority w:val="0"/>
    <w:pPr>
      <w:widowControl/>
      <w:spacing w:before="100" w:after="100"/>
      <w:jc w:val="center"/>
    </w:pPr>
    <w:rPr>
      <w:rFonts w:eastAsia="Arial Unicode MS"/>
      <w:kern w:val="0"/>
      <w:sz w:val="24"/>
      <w:szCs w:val="20"/>
    </w:rPr>
  </w:style>
  <w:style w:type="paragraph" w:customStyle="1" w:styleId="179">
    <w:name w:val="xl24"/>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customStyle="1" w:styleId="180">
    <w:name w:val="表格文字"/>
    <w:basedOn w:val="1"/>
    <w:link w:val="821"/>
    <w:qFormat/>
    <w:uiPriority w:val="0"/>
    <w:pPr>
      <w:jc w:val="center"/>
    </w:pPr>
    <w:rPr>
      <w:rFonts w:ascii="宋体" w:hAnsi="Arial Black"/>
      <w:color w:val="000000"/>
      <w:kern w:val="44"/>
      <w:sz w:val="24"/>
      <w:szCs w:val="20"/>
    </w:rPr>
  </w:style>
  <w:style w:type="character" w:customStyle="1" w:styleId="181">
    <w:name w:val="style231"/>
    <w:semiHidden/>
    <w:qFormat/>
    <w:uiPriority w:val="0"/>
    <w:rPr>
      <w:color w:val="666666"/>
      <w:sz w:val="20"/>
      <w:szCs w:val="20"/>
    </w:rPr>
  </w:style>
  <w:style w:type="character" w:customStyle="1" w:styleId="182">
    <w:name w:val="style111"/>
    <w:semiHidden/>
    <w:qFormat/>
    <w:uiPriority w:val="0"/>
    <w:rPr>
      <w:sz w:val="18"/>
      <w:szCs w:val="18"/>
    </w:rPr>
  </w:style>
  <w:style w:type="paragraph" w:customStyle="1" w:styleId="183">
    <w:name w:val="表格内文字"/>
    <w:basedOn w:val="1"/>
    <w:qFormat/>
    <w:uiPriority w:val="0"/>
    <w:pPr>
      <w:widowControl/>
      <w:kinsoku w:val="0"/>
      <w:wordWrap w:val="0"/>
      <w:overflowPunct w:val="0"/>
      <w:spacing w:line="425" w:lineRule="atLeast"/>
      <w:jc w:val="center"/>
      <w:textAlignment w:val="baseline"/>
    </w:pPr>
    <w:rPr>
      <w:snapToGrid w:val="0"/>
      <w:color w:val="000000"/>
      <w:kern w:val="0"/>
      <w:szCs w:val="20"/>
      <w:u w:color="000000"/>
    </w:rPr>
  </w:style>
  <w:style w:type="paragraph" w:customStyle="1" w:styleId="184">
    <w:name w:val="宏福4"/>
    <w:basedOn w:val="1"/>
    <w:qFormat/>
    <w:uiPriority w:val="0"/>
    <w:pPr>
      <w:adjustRightInd w:val="0"/>
      <w:spacing w:line="400" w:lineRule="atLeast"/>
      <w:ind w:firstLine="567"/>
      <w:jc w:val="left"/>
      <w:textAlignment w:val="baseline"/>
    </w:pPr>
    <w:rPr>
      <w:sz w:val="28"/>
      <w:szCs w:val="28"/>
    </w:rPr>
  </w:style>
  <w:style w:type="paragraph" w:customStyle="1" w:styleId="185">
    <w:name w:val="表居中（中文）"/>
    <w:basedOn w:val="1"/>
    <w:qFormat/>
    <w:uiPriority w:val="0"/>
    <w:pPr>
      <w:adjustRightInd w:val="0"/>
      <w:spacing w:line="380" w:lineRule="atLeast"/>
      <w:jc w:val="center"/>
      <w:textAlignment w:val="baseline"/>
    </w:pPr>
    <w:rPr>
      <w:rFonts w:eastAsia="楷体_GB2312"/>
      <w:kern w:val="0"/>
      <w:szCs w:val="20"/>
    </w:rPr>
  </w:style>
  <w:style w:type="paragraph" w:customStyle="1" w:styleId="186">
    <w:name w:val="正文1"/>
    <w:basedOn w:val="1"/>
    <w:qFormat/>
    <w:uiPriority w:val="0"/>
    <w:pPr>
      <w:adjustRightInd w:val="0"/>
      <w:snapToGrid w:val="0"/>
      <w:spacing w:line="500" w:lineRule="atLeast"/>
      <w:ind w:firstLine="567"/>
    </w:pPr>
    <w:rPr>
      <w:sz w:val="28"/>
      <w:szCs w:val="20"/>
    </w:rPr>
  </w:style>
  <w:style w:type="paragraph" w:customStyle="1" w:styleId="187">
    <w:name w:val="Char6"/>
    <w:basedOn w:val="27"/>
    <w:qFormat/>
    <w:uiPriority w:val="0"/>
    <w:rPr>
      <w:rFonts w:ascii="Tahoma" w:hAnsi="Tahoma"/>
      <w:sz w:val="24"/>
    </w:rPr>
  </w:style>
  <w:style w:type="paragraph" w:customStyle="1" w:styleId="188">
    <w:name w:val="小3仿"/>
    <w:basedOn w:val="2"/>
    <w:semiHidden/>
    <w:qFormat/>
    <w:uiPriority w:val="0"/>
    <w:pPr>
      <w:tabs>
        <w:tab w:val="left" w:pos="0"/>
        <w:tab w:val="left" w:pos="4020"/>
      </w:tabs>
      <w:spacing w:after="0" w:line="360" w:lineRule="auto"/>
      <w:ind w:firstLine="523" w:firstLineChars="218"/>
    </w:pPr>
    <w:rPr>
      <w:rFonts w:ascii="仿宋_GB2312" w:hAnsi="宋体" w:eastAsia="仿宋_GB2312"/>
      <w:snapToGrid/>
      <w:kern w:val="2"/>
    </w:rPr>
  </w:style>
  <w:style w:type="paragraph" w:customStyle="1" w:styleId="189">
    <w:name w:val="封面正文"/>
    <w:basedOn w:val="165"/>
    <w:next w:val="165"/>
    <w:semiHidden/>
    <w:qFormat/>
    <w:uiPriority w:val="0"/>
    <w:rPr>
      <w:color w:val="auto"/>
    </w:rPr>
  </w:style>
  <w:style w:type="paragraph" w:customStyle="1" w:styleId="190">
    <w:name w:val="环正文"/>
    <w:basedOn w:val="1"/>
    <w:link w:val="2891"/>
    <w:qFormat/>
    <w:uiPriority w:val="0"/>
    <w:pPr>
      <w:widowControl/>
      <w:suppressAutoHyphens/>
      <w:adjustRightInd w:val="0"/>
      <w:snapToGrid w:val="0"/>
      <w:spacing w:line="460" w:lineRule="exact"/>
      <w:ind w:firstLine="480" w:firstLineChars="200"/>
      <w:jc w:val="center"/>
      <w:textAlignment w:val="baseline"/>
    </w:pPr>
    <w:rPr>
      <w:rFonts w:eastAsia="仿宋_GB2312"/>
      <w:kern w:val="0"/>
      <w:sz w:val="24"/>
    </w:rPr>
  </w:style>
  <w:style w:type="paragraph" w:customStyle="1" w:styleId="191">
    <w:name w:val="环表头"/>
    <w:basedOn w:val="190"/>
    <w:next w:val="1"/>
    <w:link w:val="2892"/>
    <w:qFormat/>
    <w:uiPriority w:val="0"/>
    <w:pPr>
      <w:spacing w:line="240" w:lineRule="auto"/>
      <w:ind w:firstLine="0" w:firstLineChars="0"/>
    </w:pPr>
  </w:style>
  <w:style w:type="paragraph" w:customStyle="1" w:styleId="192">
    <w:name w:val="样式1"/>
    <w:basedOn w:val="70"/>
    <w:next w:val="7"/>
    <w:link w:val="716"/>
    <w:qFormat/>
    <w:uiPriority w:val="0"/>
    <w:pPr>
      <w:spacing w:after="0" w:line="500" w:lineRule="exact"/>
      <w:ind w:left="0" w:leftChars="0"/>
    </w:pPr>
    <w:rPr>
      <w:rFonts w:eastAsia="仿宋_GB2312"/>
      <w:b/>
      <w:color w:val="000000"/>
      <w:sz w:val="28"/>
      <w:szCs w:val="24"/>
    </w:rPr>
  </w:style>
  <w:style w:type="paragraph" w:customStyle="1" w:styleId="193">
    <w:name w:val="4"/>
    <w:basedOn w:val="7"/>
    <w:qFormat/>
    <w:uiPriority w:val="0"/>
    <w:pPr>
      <w:spacing w:before="280" w:after="290" w:line="500" w:lineRule="exact"/>
    </w:pPr>
    <w:rPr>
      <w:rFonts w:eastAsia="仿宋_GB2312"/>
      <w:b/>
    </w:rPr>
  </w:style>
  <w:style w:type="paragraph" w:customStyle="1" w:styleId="194">
    <w:name w:val="表格"/>
    <w:basedOn w:val="1"/>
    <w:next w:val="1"/>
    <w:link w:val="195"/>
    <w:qFormat/>
    <w:uiPriority w:val="0"/>
    <w:pPr>
      <w:adjustRightInd w:val="0"/>
      <w:snapToGrid w:val="0"/>
      <w:jc w:val="center"/>
    </w:pPr>
    <w:rPr>
      <w:szCs w:val="22"/>
    </w:rPr>
  </w:style>
  <w:style w:type="character" w:customStyle="1" w:styleId="195">
    <w:name w:val="表格 Char"/>
    <w:link w:val="194"/>
    <w:qFormat/>
    <w:uiPriority w:val="0"/>
    <w:rPr>
      <w:rFonts w:ascii="Times New Roman" w:hAnsi="Times New Roman" w:eastAsia="宋体" w:cs="Times New Roman"/>
    </w:rPr>
  </w:style>
  <w:style w:type="character" w:customStyle="1" w:styleId="196">
    <w:name w:val="ourfont31"/>
    <w:semiHidden/>
    <w:qFormat/>
    <w:uiPriority w:val="0"/>
    <w:rPr>
      <w:spacing w:val="20"/>
      <w:sz w:val="21"/>
      <w:szCs w:val="21"/>
    </w:rPr>
  </w:style>
  <w:style w:type="paragraph" w:customStyle="1" w:styleId="197">
    <w:name w:val="表题"/>
    <w:next w:val="1"/>
    <w:link w:val="752"/>
    <w:qFormat/>
    <w:uiPriority w:val="0"/>
    <w:pPr>
      <w:widowControl w:val="0"/>
      <w:ind w:right="210" w:rightChars="100" w:firstLine="1900" w:firstLineChars="950"/>
      <w:jc w:val="both"/>
    </w:pPr>
    <w:rPr>
      <w:rFonts w:ascii="宋体" w:hAnsi="宋体" w:eastAsia="宋体" w:cs="Times New Roman"/>
      <w:spacing w:val="-20"/>
      <w:kern w:val="2"/>
      <w:sz w:val="24"/>
      <w:szCs w:val="24"/>
      <w:lang w:val="en-US" w:eastAsia="zh-CN" w:bidi="ar-SA"/>
    </w:rPr>
  </w:style>
  <w:style w:type="paragraph" w:customStyle="1" w:styleId="198">
    <w:name w:val="表格1"/>
    <w:basedOn w:val="1"/>
    <w:qFormat/>
    <w:uiPriority w:val="0"/>
    <w:pPr>
      <w:autoSpaceDE w:val="0"/>
      <w:autoSpaceDN w:val="0"/>
      <w:adjustRightInd w:val="0"/>
      <w:snapToGrid w:val="0"/>
      <w:spacing w:line="460" w:lineRule="exact"/>
      <w:jc w:val="center"/>
      <w:textAlignment w:val="baseline"/>
    </w:pPr>
    <w:rPr>
      <w:rFonts w:ascii="宋体" w:hAnsi="Arial"/>
      <w:color w:val="000000"/>
      <w:spacing w:val="14"/>
      <w:kern w:val="0"/>
      <w:sz w:val="24"/>
    </w:rPr>
  </w:style>
  <w:style w:type="paragraph" w:customStyle="1" w:styleId="199">
    <w:name w:val="xl26"/>
    <w:basedOn w:val="1"/>
    <w:qFormat/>
    <w:uiPriority w:val="0"/>
    <w:pPr>
      <w:widowControl/>
      <w:spacing w:before="100" w:beforeAutospacing="1" w:after="100" w:afterAutospacing="1"/>
      <w:jc w:val="center"/>
    </w:pPr>
    <w:rPr>
      <w:rFonts w:ascii="Arial Unicode MS" w:hAnsi="Arial Unicode MS" w:eastAsia="Arial Unicode MS" w:cs="Arial Unicode MS"/>
      <w:color w:val="000000"/>
      <w:kern w:val="0"/>
      <w:szCs w:val="21"/>
    </w:rPr>
  </w:style>
  <w:style w:type="paragraph" w:customStyle="1" w:styleId="200">
    <w:name w:val="条题"/>
    <w:basedOn w:val="1"/>
    <w:qFormat/>
    <w:uiPriority w:val="0"/>
    <w:pPr>
      <w:spacing w:line="420" w:lineRule="exact"/>
      <w:ind w:firstLine="200" w:firstLineChars="200"/>
    </w:pPr>
    <w:rPr>
      <w:rFonts w:eastAsia="黑体"/>
      <w:sz w:val="24"/>
    </w:rPr>
  </w:style>
  <w:style w:type="paragraph" w:customStyle="1" w:styleId="201">
    <w:name w:val="xl22"/>
    <w:basedOn w:val="1"/>
    <w:qFormat/>
    <w:uiPriority w:val="0"/>
    <w:pPr>
      <w:widowControl/>
      <w:pBdr>
        <w:bottom w:val="single" w:color="auto" w:sz="4" w:space="0"/>
        <w:right w:val="single" w:color="auto" w:sz="4" w:space="0"/>
      </w:pBdr>
      <w:spacing w:before="100" w:after="100"/>
      <w:jc w:val="center"/>
    </w:pPr>
    <w:rPr>
      <w:rFonts w:ascii="宋体" w:hAnsi="宋体"/>
      <w:kern w:val="0"/>
      <w:szCs w:val="20"/>
    </w:rPr>
  </w:style>
  <w:style w:type="paragraph" w:customStyle="1" w:styleId="202">
    <w:name w:val="表头"/>
    <w:basedOn w:val="1"/>
    <w:link w:val="1456"/>
    <w:qFormat/>
    <w:uiPriority w:val="0"/>
    <w:pPr>
      <w:spacing w:line="320" w:lineRule="atLeast"/>
      <w:jc w:val="center"/>
    </w:pPr>
    <w:rPr>
      <w:rFonts w:eastAsia="黑体"/>
      <w:spacing w:val="-10"/>
      <w:kern w:val="0"/>
      <w:szCs w:val="11"/>
    </w:rPr>
  </w:style>
  <w:style w:type="paragraph" w:customStyle="1" w:styleId="203">
    <w:name w:val="样式 首行缩进 Char Char Char + 自定义颜色(RGB(00160))"/>
    <w:basedOn w:val="1"/>
    <w:semiHidden/>
    <w:qFormat/>
    <w:uiPriority w:val="0"/>
    <w:pPr>
      <w:snapToGrid w:val="0"/>
      <w:spacing w:line="440" w:lineRule="exact"/>
      <w:ind w:firstLine="540" w:firstLineChars="225"/>
    </w:pPr>
    <w:rPr>
      <w:rFonts w:ascii="宋体" w:hAnsi="宋体"/>
      <w:sz w:val="24"/>
    </w:rPr>
  </w:style>
  <w:style w:type="paragraph" w:customStyle="1" w:styleId="204">
    <w:name w:val="文本"/>
    <w:basedOn w:val="1"/>
    <w:link w:val="431"/>
    <w:qFormat/>
    <w:uiPriority w:val="0"/>
    <w:pPr>
      <w:tabs>
        <w:tab w:val="left" w:pos="315"/>
        <w:tab w:val="left" w:pos="425"/>
      </w:tabs>
      <w:spacing w:line="360" w:lineRule="auto"/>
      <w:ind w:left="425" w:hanging="425"/>
      <w:jc w:val="left"/>
    </w:pPr>
    <w:rPr>
      <w:rFonts w:eastAsia="楷体_GB2312"/>
      <w:sz w:val="28"/>
    </w:rPr>
  </w:style>
  <w:style w:type="paragraph" w:customStyle="1" w:styleId="205">
    <w:name w:val="图文字"/>
    <w:basedOn w:val="1"/>
    <w:qFormat/>
    <w:uiPriority w:val="0"/>
    <w:pPr>
      <w:spacing w:line="280" w:lineRule="exact"/>
      <w:jc w:val="center"/>
    </w:pPr>
    <w:rPr>
      <w:rFonts w:ascii="宋体" w:hAnsi="宋体"/>
    </w:rPr>
  </w:style>
  <w:style w:type="paragraph" w:customStyle="1" w:styleId="206">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207">
    <w:name w:val="xl2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character" w:customStyle="1" w:styleId="208">
    <w:name w:val="标题 22"/>
    <w:qFormat/>
    <w:uiPriority w:val="0"/>
    <w:rPr>
      <w:rFonts w:ascii="Arial" w:hAnsi="Arial" w:eastAsia="黑体"/>
      <w:b/>
      <w:bCs/>
      <w:kern w:val="2"/>
      <w:sz w:val="32"/>
      <w:szCs w:val="32"/>
      <w:lang w:val="en-US" w:eastAsia="zh-CN" w:bidi="ar-SA"/>
    </w:rPr>
  </w:style>
  <w:style w:type="paragraph" w:customStyle="1" w:styleId="209">
    <w:name w:val="Body Text 21"/>
    <w:basedOn w:val="1"/>
    <w:link w:val="738"/>
    <w:qFormat/>
    <w:uiPriority w:val="0"/>
    <w:pPr>
      <w:autoSpaceDE w:val="0"/>
      <w:autoSpaceDN w:val="0"/>
      <w:adjustRightInd w:val="0"/>
      <w:spacing w:line="480" w:lineRule="exact"/>
      <w:ind w:firstLine="540"/>
      <w:textAlignment w:val="baseline"/>
    </w:pPr>
    <w:rPr>
      <w:rFonts w:ascii="宋体" w:hAnsi="Tms Rmn"/>
      <w:kern w:val="0"/>
      <w:sz w:val="24"/>
      <w:szCs w:val="20"/>
    </w:rPr>
  </w:style>
  <w:style w:type="paragraph" w:customStyle="1" w:styleId="210">
    <w:name w:val="5"/>
    <w:basedOn w:val="1"/>
    <w:next w:val="81"/>
    <w:qFormat/>
    <w:uiPriority w:val="0"/>
    <w:pPr>
      <w:widowControl/>
      <w:spacing w:before="100" w:beforeAutospacing="1" w:after="100" w:afterAutospacing="1"/>
      <w:jc w:val="left"/>
    </w:pPr>
    <w:rPr>
      <w:rFonts w:ascii="宋体" w:hAnsi="宋体"/>
      <w:kern w:val="0"/>
      <w:sz w:val="24"/>
    </w:rPr>
  </w:style>
  <w:style w:type="character" w:customStyle="1" w:styleId="211">
    <w:name w:val="font1"/>
    <w:qFormat/>
    <w:uiPriority w:val="0"/>
    <w:rPr>
      <w:rFonts w:hint="default" w:ascii="Verdana" w:hAnsi="Verdana"/>
      <w:sz w:val="18"/>
      <w:szCs w:val="18"/>
    </w:rPr>
  </w:style>
  <w:style w:type="paragraph" w:customStyle="1" w:styleId="212">
    <w:name w:val="图表文字"/>
    <w:basedOn w:val="1"/>
    <w:qFormat/>
    <w:uiPriority w:val="0"/>
    <w:pPr>
      <w:spacing w:line="300" w:lineRule="exact"/>
      <w:jc w:val="center"/>
    </w:pPr>
    <w:rPr>
      <w:rFonts w:ascii="仿宋_GB2312" w:eastAsia="仿宋_GB2312"/>
      <w:bCs/>
      <w:szCs w:val="20"/>
    </w:rPr>
  </w:style>
  <w:style w:type="paragraph" w:customStyle="1" w:styleId="213">
    <w:name w:val="我的样式（正文）"/>
    <w:basedOn w:val="1"/>
    <w:qFormat/>
    <w:uiPriority w:val="0"/>
    <w:pPr>
      <w:spacing w:line="440" w:lineRule="exact"/>
    </w:pPr>
    <w:rPr>
      <w:rFonts w:ascii="宋体"/>
      <w:sz w:val="28"/>
      <w:szCs w:val="20"/>
    </w:rPr>
  </w:style>
  <w:style w:type="paragraph" w:customStyle="1" w:styleId="214">
    <w:name w:val="公式样式1"/>
    <w:basedOn w:val="1"/>
    <w:qFormat/>
    <w:uiPriority w:val="0"/>
    <w:pPr>
      <w:spacing w:line="360" w:lineRule="auto"/>
      <w:ind w:firstLine="235"/>
    </w:pPr>
    <w:rPr>
      <w:rFonts w:ascii="宋体" w:hAnsi="宋体"/>
      <w:sz w:val="24"/>
    </w:rPr>
  </w:style>
  <w:style w:type="paragraph" w:customStyle="1" w:styleId="215">
    <w:name w:val="标题正4"/>
    <w:basedOn w:val="1"/>
    <w:qFormat/>
    <w:uiPriority w:val="0"/>
    <w:pPr>
      <w:spacing w:line="300" w:lineRule="exact"/>
      <w:jc w:val="center"/>
    </w:pPr>
    <w:rPr>
      <w:rFonts w:ascii="宋体" w:hAnsi="宋体"/>
      <w:color w:val="000000"/>
    </w:rPr>
  </w:style>
  <w:style w:type="paragraph" w:customStyle="1" w:styleId="216">
    <w:name w:val="xl27"/>
    <w:basedOn w:val="1"/>
    <w:qFormat/>
    <w:uiPriority w:val="0"/>
    <w:pPr>
      <w:widowControl/>
      <w:pBdr>
        <w:bottom w:val="single" w:color="auto" w:sz="12" w:space="0"/>
      </w:pBdr>
      <w:spacing w:before="100" w:after="100"/>
      <w:jc w:val="center"/>
    </w:pPr>
    <w:rPr>
      <w:rFonts w:ascii="宋体" w:hAnsi="宋体"/>
      <w:kern w:val="0"/>
      <w:szCs w:val="20"/>
    </w:rPr>
  </w:style>
  <w:style w:type="character" w:customStyle="1" w:styleId="217">
    <w:name w:val="标题 12"/>
    <w:qFormat/>
    <w:uiPriority w:val="0"/>
    <w:rPr>
      <w:rFonts w:ascii="黑体" w:eastAsia="黑体"/>
      <w:kern w:val="44"/>
      <w:sz w:val="44"/>
      <w:lang w:val="en-US" w:eastAsia="zh-CN" w:bidi="ar-SA"/>
    </w:rPr>
  </w:style>
  <w:style w:type="character" w:customStyle="1" w:styleId="218">
    <w:name w:val="标题 21"/>
    <w:qFormat/>
    <w:uiPriority w:val="0"/>
    <w:rPr>
      <w:rFonts w:ascii="黑体" w:hAnsi="Arial" w:eastAsia="黑体"/>
      <w:kern w:val="2"/>
      <w:sz w:val="36"/>
      <w:szCs w:val="32"/>
      <w:lang w:val="en-US" w:eastAsia="zh-CN" w:bidi="ar-SA"/>
    </w:rPr>
  </w:style>
  <w:style w:type="paragraph" w:customStyle="1" w:styleId="219">
    <w:name w:val="项目编号"/>
    <w:basedOn w:val="1"/>
    <w:next w:val="1"/>
    <w:qFormat/>
    <w:uiPriority w:val="0"/>
    <w:pPr>
      <w:spacing w:before="120" w:after="120" w:line="360" w:lineRule="auto"/>
    </w:pPr>
    <w:rPr>
      <w:sz w:val="24"/>
      <w:szCs w:val="20"/>
    </w:rPr>
  </w:style>
  <w:style w:type="paragraph" w:customStyle="1" w:styleId="220">
    <w:name w:val="章"/>
    <w:basedOn w:val="1"/>
    <w:semiHidden/>
    <w:qFormat/>
    <w:uiPriority w:val="0"/>
    <w:pPr>
      <w:spacing w:line="360" w:lineRule="auto"/>
    </w:pPr>
    <w:rPr>
      <w:szCs w:val="20"/>
    </w:rPr>
  </w:style>
  <w:style w:type="paragraph" w:customStyle="1" w:styleId="221">
    <w:name w:val="样式"/>
    <w:qFormat/>
    <w:uiPriority w:val="0"/>
    <w:pPr>
      <w:keepNext/>
      <w:keepLines/>
      <w:widowControl w:val="0"/>
      <w:adjustRightInd w:val="0"/>
      <w:spacing w:before="340" w:after="330" w:line="578" w:lineRule="atLeast"/>
      <w:jc w:val="both"/>
      <w:textAlignment w:val="baseline"/>
    </w:pPr>
    <w:rPr>
      <w:rFonts w:ascii="Times New Roman" w:hAnsi="Times New Roman" w:eastAsia="宋体" w:cs="Times New Roman"/>
      <w:b/>
      <w:sz w:val="24"/>
      <w:lang w:val="en-US" w:eastAsia="zh-CN" w:bidi="ar-SA"/>
    </w:rPr>
  </w:style>
  <w:style w:type="paragraph" w:customStyle="1" w:styleId="222">
    <w:name w:val="条"/>
    <w:basedOn w:val="1"/>
    <w:qFormat/>
    <w:uiPriority w:val="0"/>
    <w:pPr>
      <w:spacing w:line="360" w:lineRule="auto"/>
    </w:pPr>
    <w:rPr>
      <w:szCs w:val="20"/>
    </w:rPr>
  </w:style>
  <w:style w:type="paragraph" w:customStyle="1" w:styleId="223">
    <w:name w:val="款"/>
    <w:basedOn w:val="1"/>
    <w:qFormat/>
    <w:uiPriority w:val="0"/>
    <w:pPr>
      <w:spacing w:line="360" w:lineRule="auto"/>
    </w:pPr>
    <w:rPr>
      <w:szCs w:val="20"/>
    </w:rPr>
  </w:style>
  <w:style w:type="paragraph" w:customStyle="1" w:styleId="224">
    <w:name w:val="表格编号"/>
    <w:basedOn w:val="1"/>
    <w:next w:val="1"/>
    <w:qFormat/>
    <w:uiPriority w:val="0"/>
    <w:pPr>
      <w:tabs>
        <w:tab w:val="left" w:pos="600"/>
        <w:tab w:val="left" w:pos="720"/>
      </w:tabs>
      <w:spacing w:before="300" w:after="200"/>
      <w:jc w:val="center"/>
    </w:pPr>
    <w:rPr>
      <w:sz w:val="24"/>
      <w:szCs w:val="20"/>
    </w:rPr>
  </w:style>
  <w:style w:type="character" w:customStyle="1" w:styleId="225">
    <w:name w:val="zjgblk1"/>
    <w:qFormat/>
    <w:uiPriority w:val="0"/>
    <w:rPr>
      <w:rFonts w:hint="default"/>
      <w:color w:val="000000"/>
      <w:sz w:val="18"/>
      <w:szCs w:val="18"/>
      <w:u w:val="none"/>
    </w:rPr>
  </w:style>
  <w:style w:type="paragraph" w:customStyle="1" w:styleId="226">
    <w:name w:val="纯文本1"/>
    <w:basedOn w:val="1"/>
    <w:qFormat/>
    <w:uiPriority w:val="0"/>
    <w:pPr>
      <w:adjustRightInd w:val="0"/>
      <w:textAlignment w:val="baseline"/>
    </w:pPr>
    <w:rPr>
      <w:rFonts w:ascii="宋体" w:hAnsi="Courier New"/>
      <w:szCs w:val="20"/>
    </w:rPr>
  </w:style>
  <w:style w:type="paragraph" w:customStyle="1" w:styleId="227">
    <w:name w:val="图编号"/>
    <w:basedOn w:val="180"/>
    <w:qFormat/>
    <w:uiPriority w:val="0"/>
    <w:pPr>
      <w:tabs>
        <w:tab w:val="left" w:pos="1140"/>
      </w:tabs>
      <w:spacing w:before="300" w:after="300" w:line="360" w:lineRule="auto"/>
      <w:ind w:left="1140" w:hanging="600"/>
    </w:pPr>
    <w:rPr>
      <w:rFonts w:ascii="Times New Roman" w:hAnsi="Times New Roman"/>
      <w:color w:val="auto"/>
      <w:kern w:val="2"/>
    </w:rPr>
  </w:style>
  <w:style w:type="paragraph" w:customStyle="1" w:styleId="228">
    <w:name w:val="正文文本 21"/>
    <w:basedOn w:val="1"/>
    <w:qFormat/>
    <w:uiPriority w:val="0"/>
    <w:pPr>
      <w:autoSpaceDE w:val="0"/>
      <w:autoSpaceDN w:val="0"/>
      <w:adjustRightInd w:val="0"/>
      <w:spacing w:line="360" w:lineRule="atLeast"/>
      <w:ind w:firstLine="425"/>
      <w:textAlignment w:val="baseline"/>
    </w:pPr>
    <w:rPr>
      <w:rFonts w:ascii="宋体" w:hAnsi="Tms Rmn"/>
      <w:kern w:val="0"/>
      <w:sz w:val="28"/>
      <w:szCs w:val="20"/>
    </w:rPr>
  </w:style>
  <w:style w:type="paragraph" w:customStyle="1" w:styleId="229">
    <w:name w:val="Date1"/>
    <w:basedOn w:val="1"/>
    <w:next w:val="1"/>
    <w:qFormat/>
    <w:uiPriority w:val="39"/>
    <w:pPr>
      <w:adjustRightInd w:val="0"/>
      <w:textAlignment w:val="baseline"/>
    </w:pPr>
    <w:rPr>
      <w:szCs w:val="20"/>
    </w:rPr>
  </w:style>
  <w:style w:type="paragraph" w:customStyle="1" w:styleId="230">
    <w:name w:val="小四表文左齐"/>
    <w:basedOn w:val="1"/>
    <w:qFormat/>
    <w:uiPriority w:val="0"/>
    <w:pPr>
      <w:adjustRightInd w:val="0"/>
      <w:snapToGrid w:val="0"/>
      <w:jc w:val="center"/>
    </w:pPr>
    <w:rPr>
      <w:rFonts w:ascii="仿宋_GB2312" w:hAnsi="宋体" w:eastAsia="仿宋_GB2312"/>
    </w:rPr>
  </w:style>
  <w:style w:type="paragraph" w:customStyle="1" w:styleId="231">
    <w:name w:val="样式7"/>
    <w:basedOn w:val="4"/>
    <w:qFormat/>
    <w:uiPriority w:val="0"/>
    <w:pPr>
      <w:spacing w:beforeLines="200" w:afterLines="200" w:line="500" w:lineRule="exact"/>
      <w:textAlignment w:val="baseline"/>
    </w:pPr>
    <w:rPr>
      <w:b/>
      <w:bCs w:val="0"/>
      <w:color w:val="000000"/>
      <w:sz w:val="30"/>
    </w:rPr>
  </w:style>
  <w:style w:type="paragraph" w:customStyle="1" w:styleId="232">
    <w:name w:val="正文-1"/>
    <w:basedOn w:val="1"/>
    <w:qFormat/>
    <w:uiPriority w:val="0"/>
    <w:pPr>
      <w:adjustRightInd w:val="0"/>
      <w:spacing w:line="440" w:lineRule="exact"/>
      <w:ind w:firstLine="200" w:firstLineChars="200"/>
    </w:pPr>
    <w:rPr>
      <w:sz w:val="24"/>
      <w:szCs w:val="20"/>
    </w:rPr>
  </w:style>
  <w:style w:type="character" w:customStyle="1" w:styleId="233">
    <w:name w:val="unnamed11"/>
    <w:qFormat/>
    <w:uiPriority w:val="0"/>
    <w:rPr>
      <w:color w:val="336699"/>
      <w:sz w:val="32"/>
      <w:szCs w:val="32"/>
      <w:u w:val="none"/>
    </w:rPr>
  </w:style>
  <w:style w:type="paragraph" w:customStyle="1" w:styleId="234">
    <w:name w:val="表"/>
    <w:basedOn w:val="1"/>
    <w:link w:val="333"/>
    <w:qFormat/>
    <w:uiPriority w:val="0"/>
    <w:pPr>
      <w:snapToGrid w:val="0"/>
      <w:jc w:val="center"/>
    </w:pPr>
    <w:rPr>
      <w:spacing w:val="2"/>
      <w:sz w:val="24"/>
      <w:szCs w:val="20"/>
    </w:rPr>
  </w:style>
  <w:style w:type="paragraph" w:customStyle="1" w:styleId="235">
    <w:name w:val="－列表"/>
    <w:basedOn w:val="66"/>
    <w:qFormat/>
    <w:uiPriority w:val="0"/>
    <w:pPr>
      <w:adjustRightInd w:val="0"/>
      <w:snapToGrid w:val="0"/>
      <w:spacing w:line="360" w:lineRule="atLeast"/>
      <w:textAlignment w:val="baseline"/>
    </w:pPr>
    <w:rPr>
      <w:rFonts w:ascii="宋体" w:hAnsi="宋体"/>
      <w:snapToGrid w:val="0"/>
      <w:kern w:val="0"/>
      <w:sz w:val="22"/>
      <w:szCs w:val="22"/>
    </w:rPr>
  </w:style>
  <w:style w:type="character" w:customStyle="1" w:styleId="236">
    <w:name w:val="正文文本 2 Char"/>
    <w:qFormat/>
    <w:uiPriority w:val="0"/>
    <w:rPr>
      <w:rFonts w:ascii="Times New Roman" w:hAnsi="Times New Roman" w:eastAsia="宋体" w:cs="Times New Roman"/>
      <w:szCs w:val="24"/>
    </w:rPr>
  </w:style>
  <w:style w:type="paragraph" w:customStyle="1" w:styleId="237">
    <w:name w:val="图形"/>
    <w:basedOn w:val="22"/>
    <w:semiHidden/>
    <w:qFormat/>
    <w:uiPriority w:val="0"/>
    <w:pPr>
      <w:adjustRightInd w:val="0"/>
      <w:ind w:firstLine="0" w:firstLineChars="0"/>
      <w:textAlignment w:val="baseline"/>
    </w:pPr>
    <w:rPr>
      <w:rFonts w:ascii="宋体" w:eastAsia="楷体_GB2312"/>
      <w:spacing w:val="8"/>
      <w:kern w:val="0"/>
      <w:sz w:val="28"/>
      <w:szCs w:val="20"/>
    </w:rPr>
  </w:style>
  <w:style w:type="character" w:customStyle="1" w:styleId="238">
    <w:name w:val="text1"/>
    <w:qFormat/>
    <w:uiPriority w:val="0"/>
    <w:rPr>
      <w:rFonts w:hint="default" w:ascii="ˎ̥" w:hAnsi="ˎ̥"/>
      <w:color w:val="000000"/>
      <w:sz w:val="18"/>
      <w:szCs w:val="18"/>
      <w:u w:val="none"/>
    </w:rPr>
  </w:style>
  <w:style w:type="paragraph" w:customStyle="1" w:styleId="239">
    <w:name w:val="Char Char Char Char Char Char Char Char Char Char3"/>
    <w:basedOn w:val="1"/>
    <w:semiHidden/>
    <w:qFormat/>
    <w:uiPriority w:val="0"/>
    <w:rPr>
      <w:sz w:val="24"/>
    </w:rPr>
  </w:style>
  <w:style w:type="character" w:customStyle="1" w:styleId="240">
    <w:name w:val="unnamed21"/>
    <w:qFormat/>
    <w:uiPriority w:val="0"/>
    <w:rPr>
      <w:color w:val="000000"/>
      <w:sz w:val="18"/>
      <w:szCs w:val="18"/>
    </w:rPr>
  </w:style>
  <w:style w:type="paragraph" w:customStyle="1" w:styleId="241">
    <w:name w:val="5 Char"/>
    <w:basedOn w:val="1"/>
    <w:qFormat/>
    <w:uiPriority w:val="0"/>
    <w:pPr>
      <w:spacing w:line="360" w:lineRule="auto"/>
    </w:pPr>
    <w:rPr>
      <w:sz w:val="24"/>
    </w:rPr>
  </w:style>
  <w:style w:type="paragraph" w:customStyle="1" w:styleId="242">
    <w:name w:val="环标1"/>
    <w:basedOn w:val="4"/>
    <w:qFormat/>
    <w:uiPriority w:val="0"/>
    <w:pPr>
      <w:keepNext w:val="0"/>
      <w:keepLines w:val="0"/>
      <w:spacing w:after="120" w:line="312" w:lineRule="atLeast"/>
      <w:textAlignment w:val="baseline"/>
    </w:pPr>
    <w:rPr>
      <w:rFonts w:eastAsia="仿宋_GB2312"/>
      <w:b/>
      <w:bCs w:val="0"/>
      <w:sz w:val="28"/>
      <w:szCs w:val="28"/>
    </w:rPr>
  </w:style>
  <w:style w:type="paragraph" w:customStyle="1" w:styleId="243">
    <w:name w:val="环标2"/>
    <w:basedOn w:val="5"/>
    <w:qFormat/>
    <w:uiPriority w:val="0"/>
    <w:pPr>
      <w:spacing w:before="60" w:after="60" w:line="312" w:lineRule="atLeast"/>
      <w:textAlignment w:val="baseline"/>
    </w:pPr>
    <w:rPr>
      <w:rFonts w:ascii="黑体" w:hAnsi="Arial"/>
      <w:b/>
      <w:bCs w:val="0"/>
      <w:kern w:val="0"/>
      <w:sz w:val="28"/>
      <w:szCs w:val="20"/>
    </w:rPr>
  </w:style>
  <w:style w:type="paragraph" w:customStyle="1" w:styleId="244">
    <w:name w:val="环标3"/>
    <w:basedOn w:val="6"/>
    <w:next w:val="190"/>
    <w:link w:val="2893"/>
    <w:qFormat/>
    <w:uiPriority w:val="0"/>
    <w:pPr>
      <w:keepNext w:val="0"/>
      <w:keepLines w:val="0"/>
      <w:spacing w:line="312" w:lineRule="atLeast"/>
      <w:jc w:val="left"/>
      <w:textAlignment w:val="baseline"/>
    </w:pPr>
    <w:rPr>
      <w:rFonts w:ascii="宋体" w:hAnsi="宋体"/>
      <w:kern w:val="0"/>
      <w:sz w:val="24"/>
      <w:szCs w:val="20"/>
    </w:rPr>
  </w:style>
  <w:style w:type="character" w:customStyle="1" w:styleId="245">
    <w:name w:val="标题 Char"/>
    <w:link w:val="84"/>
    <w:qFormat/>
    <w:uiPriority w:val="0"/>
    <w:rPr>
      <w:rFonts w:ascii="Arial" w:hAnsi="Arial" w:eastAsia="黑体" w:cs="Times New Roman"/>
      <w:kern w:val="0"/>
      <w:sz w:val="44"/>
      <w:szCs w:val="20"/>
    </w:rPr>
  </w:style>
  <w:style w:type="character" w:customStyle="1" w:styleId="246">
    <w:name w:val="HTML 预设格式 Char"/>
    <w:link w:val="80"/>
    <w:qFormat/>
    <w:uiPriority w:val="0"/>
    <w:rPr>
      <w:rFonts w:ascii="Courier New" w:hAnsi="Courier New" w:eastAsia="宋体" w:cs="Courier New"/>
      <w:sz w:val="20"/>
      <w:szCs w:val="20"/>
    </w:rPr>
  </w:style>
  <w:style w:type="paragraph" w:customStyle="1" w:styleId="247">
    <w:name w:val="样式-1-"/>
    <w:basedOn w:val="55"/>
    <w:semiHidden/>
    <w:qFormat/>
    <w:uiPriority w:val="0"/>
    <w:pPr>
      <w:framePr w:wrap="around" w:vAnchor="text" w:hAnchor="margin" w:xAlign="center" w:y="1"/>
    </w:pPr>
    <w:rPr>
      <w:rFonts w:ascii="仿宋_GB2312" w:hAnsi="Courier New"/>
      <w:sz w:val="24"/>
      <w:szCs w:val="20"/>
    </w:rPr>
  </w:style>
  <w:style w:type="paragraph" w:customStyle="1" w:styleId="248">
    <w:name w:val="环表"/>
    <w:basedOn w:val="190"/>
    <w:semiHidden/>
    <w:qFormat/>
    <w:uiPriority w:val="0"/>
    <w:pPr>
      <w:snapToGrid/>
      <w:spacing w:line="312" w:lineRule="atLeast"/>
      <w:ind w:right="29" w:firstLine="0" w:firstLineChars="0"/>
    </w:pPr>
    <w:rPr>
      <w:rFonts w:ascii="仿宋_GB2312" w:hAnsi="宋体"/>
      <w:spacing w:val="-20"/>
      <w:sz w:val="21"/>
    </w:rPr>
  </w:style>
  <w:style w:type="paragraph" w:customStyle="1" w:styleId="249">
    <w:name w:val="xl30"/>
    <w:basedOn w:val="1"/>
    <w:qFormat/>
    <w:uiPriority w:val="0"/>
    <w:pPr>
      <w:widowControl/>
      <w:spacing w:before="100" w:after="100"/>
      <w:jc w:val="center"/>
    </w:pPr>
    <w:rPr>
      <w:rFonts w:ascii="Arial Unicode MS" w:hAnsi="Arial Unicode MS" w:eastAsia="Arial Unicode MS"/>
      <w:kern w:val="0"/>
      <w:sz w:val="32"/>
      <w:szCs w:val="20"/>
    </w:rPr>
  </w:style>
  <w:style w:type="paragraph" w:customStyle="1" w:styleId="250">
    <w:name w:val="w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251">
    <w:name w:val="标题 2 Char2"/>
    <w:qFormat/>
    <w:uiPriority w:val="0"/>
    <w:rPr>
      <w:rFonts w:ascii="宋体" w:hAnsi="宋体"/>
      <w:b/>
      <w:bCs/>
      <w:kern w:val="2"/>
      <w:sz w:val="32"/>
      <w:szCs w:val="32"/>
    </w:rPr>
  </w:style>
  <w:style w:type="character" w:customStyle="1" w:styleId="252">
    <w:name w:val="标题 3 Char1"/>
    <w:qFormat/>
    <w:uiPriority w:val="0"/>
    <w:rPr>
      <w:kern w:val="2"/>
      <w:sz w:val="32"/>
      <w:szCs w:val="32"/>
    </w:rPr>
  </w:style>
  <w:style w:type="paragraph" w:customStyle="1" w:styleId="253">
    <w:name w:val="标6"/>
    <w:basedOn w:val="1"/>
    <w:link w:val="332"/>
    <w:semiHidden/>
    <w:qFormat/>
    <w:uiPriority w:val="0"/>
    <w:pPr>
      <w:keepNext/>
      <w:keepLines/>
      <w:numPr>
        <w:ilvl w:val="0"/>
        <w:numId w:val="2"/>
      </w:numPr>
      <w:adjustRightInd w:val="0"/>
      <w:snapToGrid w:val="0"/>
      <w:spacing w:before="240" w:after="120" w:line="360" w:lineRule="auto"/>
    </w:pPr>
    <w:rPr>
      <w:bCs/>
      <w:snapToGrid w:val="0"/>
      <w:kern w:val="0"/>
      <w:sz w:val="24"/>
    </w:rPr>
  </w:style>
  <w:style w:type="character" w:customStyle="1" w:styleId="254">
    <w:name w:val="环评正文 Char"/>
    <w:link w:val="143"/>
    <w:qFormat/>
    <w:uiPriority w:val="0"/>
    <w:rPr>
      <w:rFonts w:ascii="Times New Roman" w:hAnsi="Times New Roman" w:eastAsia="宋体" w:cs="Times New Roman"/>
      <w:bCs/>
      <w:sz w:val="24"/>
      <w:szCs w:val="24"/>
    </w:rPr>
  </w:style>
  <w:style w:type="paragraph" w:customStyle="1" w:styleId="255">
    <w:name w:val="xl63"/>
    <w:basedOn w:val="1"/>
    <w:qFormat/>
    <w:uiPriority w:val="0"/>
    <w:pPr>
      <w:widowControl/>
      <w:spacing w:before="100" w:after="100" w:line="360" w:lineRule="exact"/>
      <w:ind w:firstLine="200" w:firstLineChars="200"/>
      <w:jc w:val="center"/>
      <w:textAlignment w:val="center"/>
    </w:pPr>
    <w:rPr>
      <w:rFonts w:hint="eastAsia" w:ascii="黑体" w:hAnsi="宋体" w:eastAsia="黑体"/>
      <w:snapToGrid w:val="0"/>
      <w:kern w:val="0"/>
      <w:sz w:val="24"/>
      <w:szCs w:val="20"/>
    </w:rPr>
  </w:style>
  <w:style w:type="paragraph" w:customStyle="1" w:styleId="256">
    <w:name w:val="报告标3"/>
    <w:basedOn w:val="1"/>
    <w:semiHidden/>
    <w:qFormat/>
    <w:uiPriority w:val="0"/>
    <w:pPr>
      <w:adjustRightInd w:val="0"/>
      <w:snapToGrid w:val="0"/>
      <w:spacing w:line="300" w:lineRule="auto"/>
      <w:ind w:firstLine="200" w:firstLineChars="200"/>
    </w:pPr>
    <w:rPr>
      <w:rFonts w:ascii="宋体"/>
      <w:snapToGrid w:val="0"/>
      <w:kern w:val="0"/>
      <w:sz w:val="28"/>
      <w:szCs w:val="20"/>
    </w:rPr>
  </w:style>
  <w:style w:type="paragraph" w:customStyle="1" w:styleId="257">
    <w:name w:val="报告正文"/>
    <w:basedOn w:val="1"/>
    <w:link w:val="274"/>
    <w:qFormat/>
    <w:uiPriority w:val="0"/>
    <w:pPr>
      <w:adjustRightInd w:val="0"/>
      <w:snapToGrid w:val="0"/>
      <w:spacing w:line="300" w:lineRule="auto"/>
      <w:ind w:firstLine="200" w:firstLineChars="200"/>
    </w:pPr>
    <w:rPr>
      <w:rFonts w:ascii="宋体"/>
      <w:snapToGrid w:val="0"/>
      <w:kern w:val="0"/>
      <w:sz w:val="28"/>
      <w:szCs w:val="20"/>
    </w:rPr>
  </w:style>
  <w:style w:type="paragraph" w:customStyle="1" w:styleId="258">
    <w:name w:val="样式 小四 首行缩进:  1.01 厘米 行距: 1.5 倍行距"/>
    <w:basedOn w:val="1"/>
    <w:semiHidden/>
    <w:qFormat/>
    <w:uiPriority w:val="0"/>
    <w:pPr>
      <w:spacing w:line="360" w:lineRule="auto"/>
      <w:ind w:firstLine="570" w:firstLineChars="200"/>
    </w:pPr>
    <w:rPr>
      <w:rFonts w:cs="宋体"/>
      <w:snapToGrid w:val="0"/>
      <w:kern w:val="0"/>
      <w:sz w:val="24"/>
      <w:szCs w:val="20"/>
    </w:rPr>
  </w:style>
  <w:style w:type="character" w:customStyle="1" w:styleId="259">
    <w:name w:val="样式 小四 首行缩进:  1.01 厘米 行距: 1.5 倍行距 Char"/>
    <w:semiHidden/>
    <w:qFormat/>
    <w:uiPriority w:val="0"/>
    <w:rPr>
      <w:rFonts w:eastAsia="宋体" w:cs="宋体"/>
      <w:kern w:val="2"/>
      <w:sz w:val="24"/>
      <w:lang w:val="en-US" w:eastAsia="zh-CN" w:bidi="ar-SA"/>
    </w:rPr>
  </w:style>
  <w:style w:type="character" w:customStyle="1" w:styleId="260">
    <w:name w:val="标题 1 Char1"/>
    <w:qFormat/>
    <w:uiPriority w:val="0"/>
    <w:rPr>
      <w:rFonts w:ascii="宋体" w:hAnsi="宋体"/>
      <w:b/>
      <w:bCs/>
      <w:kern w:val="44"/>
      <w:sz w:val="36"/>
      <w:szCs w:val="44"/>
    </w:rPr>
  </w:style>
  <w:style w:type="character" w:customStyle="1" w:styleId="261">
    <w:name w:val="标题 2 Char1 Char Char Char"/>
    <w:semiHidden/>
    <w:qFormat/>
    <w:uiPriority w:val="0"/>
    <w:rPr>
      <w:rFonts w:ascii="黑体" w:hAnsi="Arial" w:eastAsia="黑体"/>
      <w:kern w:val="2"/>
      <w:sz w:val="36"/>
      <w:szCs w:val="32"/>
      <w:lang w:val="en-US" w:eastAsia="zh-CN" w:bidi="ar-SA"/>
    </w:rPr>
  </w:style>
  <w:style w:type="character" w:customStyle="1" w:styleId="262">
    <w:name w:val="标题 4 Char1"/>
    <w:qFormat/>
    <w:uiPriority w:val="0"/>
    <w:rPr>
      <w:rFonts w:ascii="Arial" w:hAnsi="Arial"/>
      <w:b/>
      <w:bCs/>
      <w:snapToGrid w:val="0"/>
      <w:sz w:val="24"/>
      <w:szCs w:val="28"/>
    </w:rPr>
  </w:style>
  <w:style w:type="character" w:customStyle="1" w:styleId="263">
    <w:name w:val="正文（首行缩进两字） Char Char"/>
    <w:semiHidden/>
    <w:qFormat/>
    <w:uiPriority w:val="0"/>
    <w:rPr>
      <w:rFonts w:ascii="宋体" w:eastAsia="宋体"/>
      <w:color w:val="000000"/>
      <w:kern w:val="21"/>
      <w:sz w:val="24"/>
      <w:lang w:val="en-US" w:eastAsia="zh-CN" w:bidi="ar-SA"/>
    </w:rPr>
  </w:style>
  <w:style w:type="paragraph" w:customStyle="1" w:styleId="264">
    <w:name w:val="表中文字 Char"/>
    <w:basedOn w:val="1"/>
    <w:semiHidden/>
    <w:qFormat/>
    <w:uiPriority w:val="0"/>
    <w:pPr>
      <w:widowControl/>
      <w:jc w:val="center"/>
    </w:pPr>
    <w:rPr>
      <w:kern w:val="0"/>
      <w:szCs w:val="20"/>
    </w:rPr>
  </w:style>
  <w:style w:type="character" w:customStyle="1" w:styleId="265">
    <w:name w:val="表中文字 Char Char Char"/>
    <w:semiHidden/>
    <w:qFormat/>
    <w:uiPriority w:val="0"/>
    <w:rPr>
      <w:rFonts w:eastAsia="宋体"/>
      <w:sz w:val="21"/>
      <w:lang w:val="en-US" w:eastAsia="zh-CN" w:bidi="ar-SA"/>
    </w:rPr>
  </w:style>
  <w:style w:type="paragraph" w:customStyle="1" w:styleId="266">
    <w:name w:val="样式 标题 4四H4H41 + 段前: 0 磅 行距: 固定值 26 磅"/>
    <w:basedOn w:val="7"/>
    <w:link w:val="267"/>
    <w:semiHidden/>
    <w:qFormat/>
    <w:uiPriority w:val="0"/>
    <w:pPr>
      <w:keepNext w:val="0"/>
      <w:keepLines w:val="0"/>
      <w:spacing w:before="50" w:afterLines="50" w:line="560" w:lineRule="exact"/>
      <w:ind w:firstLine="200" w:firstLineChars="200"/>
    </w:pPr>
    <w:rPr>
      <w:rFonts w:cs="宋体"/>
    </w:rPr>
  </w:style>
  <w:style w:type="character" w:customStyle="1" w:styleId="267">
    <w:name w:val="样式 标题 4四H4H41 + 段前: 0 磅 行距: 固定值 26 磅 Char"/>
    <w:link w:val="266"/>
    <w:semiHidden/>
    <w:qFormat/>
    <w:uiPriority w:val="0"/>
    <w:rPr>
      <w:rFonts w:ascii="Times New Roman" w:hAnsi="Times New Roman" w:eastAsia="黑体" w:cs="宋体"/>
      <w:bCs/>
      <w:kern w:val="2"/>
      <w:sz w:val="28"/>
      <w:szCs w:val="28"/>
    </w:rPr>
  </w:style>
  <w:style w:type="paragraph" w:customStyle="1" w:styleId="268">
    <w:name w:val="样式 标题 1式样b标题 1XWH1H11H12 + 黑色 字距调整五号 Char"/>
    <w:basedOn w:val="4"/>
    <w:link w:val="269"/>
    <w:semiHidden/>
    <w:qFormat/>
    <w:uiPriority w:val="0"/>
    <w:pPr>
      <w:keepNext w:val="0"/>
      <w:keepLines w:val="0"/>
      <w:spacing w:line="560" w:lineRule="exact"/>
      <w:jc w:val="center"/>
    </w:pPr>
    <w:rPr>
      <w:snapToGrid w:val="0"/>
      <w:color w:val="000000"/>
      <w:kern w:val="21"/>
    </w:rPr>
  </w:style>
  <w:style w:type="character" w:customStyle="1" w:styleId="269">
    <w:name w:val="样式 标题 1式样b标题 1XWH1H11H12 + 黑色 字距调整五号 Char Char"/>
    <w:link w:val="268"/>
    <w:semiHidden/>
    <w:qFormat/>
    <w:uiPriority w:val="0"/>
    <w:rPr>
      <w:rFonts w:ascii="Times New Roman" w:hAnsi="Times New Roman" w:eastAsia="黑体"/>
      <w:bCs/>
      <w:snapToGrid w:val="0"/>
      <w:color w:val="000000"/>
      <w:kern w:val="21"/>
      <w:sz w:val="44"/>
      <w:szCs w:val="44"/>
    </w:rPr>
  </w:style>
  <w:style w:type="paragraph" w:customStyle="1" w:styleId="270">
    <w:name w:val="样式 标题 2标题 2 Char1 Char Char标题 21H2H21标题 2XW Char标题 2XW Cha...1"/>
    <w:basedOn w:val="5"/>
    <w:semiHidden/>
    <w:qFormat/>
    <w:uiPriority w:val="0"/>
    <w:pPr>
      <w:spacing w:line="360" w:lineRule="auto"/>
    </w:pPr>
    <w:rPr>
      <w:rFonts w:ascii="黑体" w:hAnsi="Arial" w:cs="宋体"/>
      <w:b/>
      <w:bCs w:val="0"/>
      <w:snapToGrid w:val="0"/>
      <w:sz w:val="28"/>
      <w:szCs w:val="20"/>
    </w:rPr>
  </w:style>
  <w:style w:type="paragraph" w:customStyle="1" w:styleId="271">
    <w:name w:val="样式 环评正文 + 首行缩进:  2 字符"/>
    <w:basedOn w:val="143"/>
    <w:semiHidden/>
    <w:qFormat/>
    <w:uiPriority w:val="0"/>
    <w:pPr>
      <w:spacing w:line="440" w:lineRule="exact"/>
      <w:jc w:val="both"/>
    </w:pPr>
    <w:rPr>
      <w:rFonts w:cs="宋体"/>
      <w:bCs w:val="0"/>
      <w:color w:val="000000"/>
      <w:kern w:val="21"/>
    </w:rPr>
  </w:style>
  <w:style w:type="paragraph" w:customStyle="1" w:styleId="272">
    <w:name w:val="样式 样式 标题 3标题 31标题 3 Char1 Char Char Char标题 31 Char Char Char标题 ...."/>
    <w:basedOn w:val="1"/>
    <w:semiHidden/>
    <w:qFormat/>
    <w:uiPriority w:val="0"/>
    <w:pPr>
      <w:keepNext/>
      <w:keepLines/>
      <w:spacing w:beforeLines="50" w:afterLines="50" w:line="520" w:lineRule="exact"/>
      <w:ind w:firstLine="200" w:firstLineChars="200"/>
      <w:outlineLvl w:val="2"/>
    </w:pPr>
    <w:rPr>
      <w:rFonts w:cs="宋体"/>
      <w:b/>
      <w:bCs/>
      <w:snapToGrid w:val="0"/>
      <w:kern w:val="0"/>
      <w:sz w:val="24"/>
      <w:szCs w:val="20"/>
    </w:rPr>
  </w:style>
  <w:style w:type="paragraph" w:customStyle="1" w:styleId="273">
    <w:name w:val="样式 表名 + 段后: 12 磅"/>
    <w:basedOn w:val="140"/>
    <w:semiHidden/>
    <w:qFormat/>
    <w:uiPriority w:val="0"/>
    <w:pPr>
      <w:widowControl/>
      <w:spacing w:before="120" w:after="120" w:line="420" w:lineRule="exact"/>
      <w:ind w:firstLine="200" w:firstLineChars="200"/>
      <w:outlineLvl w:val="4"/>
    </w:pPr>
    <w:rPr>
      <w:rFonts w:ascii="Times New Roman" w:hAnsi="Times New Roman" w:cs="宋体"/>
      <w:bCs/>
      <w:szCs w:val="24"/>
    </w:rPr>
  </w:style>
  <w:style w:type="character" w:customStyle="1" w:styleId="274">
    <w:name w:val="报告正文 Char"/>
    <w:link w:val="257"/>
    <w:qFormat/>
    <w:uiPriority w:val="0"/>
    <w:rPr>
      <w:rFonts w:ascii="宋体" w:hAnsi="Times New Roman" w:eastAsia="宋体" w:cs="Times New Roman"/>
      <w:snapToGrid w:val="0"/>
      <w:kern w:val="0"/>
      <w:sz w:val="28"/>
      <w:szCs w:val="20"/>
    </w:rPr>
  </w:style>
  <w:style w:type="paragraph" w:customStyle="1" w:styleId="275">
    <w:name w:val="样式 样式 样式 标题 3标题 31标题 3 Char1 Char Char Char标题 31 Char Char Char标..."/>
    <w:basedOn w:val="272"/>
    <w:semiHidden/>
    <w:qFormat/>
    <w:uiPriority w:val="0"/>
    <w:pPr>
      <w:ind w:firstLine="0" w:firstLineChars="0"/>
    </w:pPr>
  </w:style>
  <w:style w:type="paragraph" w:customStyle="1" w:styleId="276">
    <w:name w:val="样式 标题 4四H4H41 + 首行缩进:  2 字符"/>
    <w:basedOn w:val="7"/>
    <w:semiHidden/>
    <w:qFormat/>
    <w:uiPriority w:val="0"/>
    <w:pPr>
      <w:spacing w:before="50" w:afterLines="50"/>
    </w:pPr>
    <w:rPr>
      <w:rFonts w:cs="宋体"/>
      <w:szCs w:val="20"/>
    </w:rPr>
  </w:style>
  <w:style w:type="paragraph" w:customStyle="1" w:styleId="277">
    <w:name w:val="燕山正文 Char Char"/>
    <w:basedOn w:val="1"/>
    <w:link w:val="278"/>
    <w:semiHidden/>
    <w:qFormat/>
    <w:uiPriority w:val="0"/>
    <w:pPr>
      <w:tabs>
        <w:tab w:val="left" w:pos="4680"/>
      </w:tabs>
      <w:adjustRightInd w:val="0"/>
      <w:snapToGrid w:val="0"/>
      <w:spacing w:line="360" w:lineRule="auto"/>
      <w:ind w:firstLine="480" w:firstLineChars="200"/>
    </w:pPr>
    <w:rPr>
      <w:snapToGrid w:val="0"/>
      <w:color w:val="000000"/>
      <w:sz w:val="24"/>
    </w:rPr>
  </w:style>
  <w:style w:type="character" w:customStyle="1" w:styleId="278">
    <w:name w:val="燕山正文 Char Char Char"/>
    <w:link w:val="277"/>
    <w:semiHidden/>
    <w:qFormat/>
    <w:uiPriority w:val="0"/>
    <w:rPr>
      <w:rFonts w:ascii="Times New Roman" w:hAnsi="Times New Roman" w:eastAsia="宋体" w:cs="Times New Roman"/>
      <w:snapToGrid w:val="0"/>
      <w:color w:val="000000"/>
      <w:sz w:val="24"/>
      <w:szCs w:val="24"/>
    </w:rPr>
  </w:style>
  <w:style w:type="character" w:customStyle="1" w:styleId="279">
    <w:name w:val="环评正文 Char Char1"/>
    <w:semiHidden/>
    <w:qFormat/>
    <w:uiPriority w:val="0"/>
    <w:rPr>
      <w:rFonts w:eastAsia="宋体"/>
      <w:bCs/>
      <w:kern w:val="2"/>
      <w:sz w:val="24"/>
      <w:szCs w:val="24"/>
      <w:lang w:val="en-US" w:eastAsia="zh-CN" w:bidi="ar-SA"/>
    </w:rPr>
  </w:style>
  <w:style w:type="paragraph" w:customStyle="1" w:styleId="280">
    <w:name w:val="燕山正文"/>
    <w:basedOn w:val="1"/>
    <w:link w:val="281"/>
    <w:qFormat/>
    <w:uiPriority w:val="0"/>
    <w:pPr>
      <w:tabs>
        <w:tab w:val="left" w:pos="4680"/>
      </w:tabs>
      <w:adjustRightInd w:val="0"/>
      <w:snapToGrid w:val="0"/>
      <w:spacing w:line="360" w:lineRule="auto"/>
      <w:ind w:firstLine="560" w:firstLineChars="200"/>
      <w:jc w:val="left"/>
    </w:pPr>
    <w:rPr>
      <w:rFonts w:ascii="宋体" w:hAnsi="宋体"/>
      <w:color w:val="000000"/>
      <w:sz w:val="24"/>
      <w:szCs w:val="28"/>
    </w:rPr>
  </w:style>
  <w:style w:type="character" w:customStyle="1" w:styleId="281">
    <w:name w:val="燕山正文 Char"/>
    <w:link w:val="280"/>
    <w:qFormat/>
    <w:uiPriority w:val="0"/>
    <w:rPr>
      <w:rFonts w:ascii="宋体" w:hAnsi="宋体" w:eastAsia="宋体" w:cs="Times New Roman"/>
      <w:color w:val="000000"/>
      <w:sz w:val="24"/>
      <w:szCs w:val="28"/>
    </w:rPr>
  </w:style>
  <w:style w:type="paragraph" w:customStyle="1" w:styleId="282">
    <w:name w:val="Char Char Char Char"/>
    <w:basedOn w:val="1"/>
    <w:qFormat/>
    <w:uiPriority w:val="0"/>
    <w:pPr>
      <w:spacing w:line="360" w:lineRule="auto"/>
      <w:ind w:firstLine="200" w:firstLineChars="200"/>
    </w:pPr>
    <w:rPr>
      <w:rFonts w:ascii="宋体" w:hAnsi="宋体" w:cs="宋体"/>
      <w:sz w:val="24"/>
    </w:rPr>
  </w:style>
  <w:style w:type="paragraph" w:customStyle="1" w:styleId="283">
    <w:name w:val="样式 题注 + 居中 Char Char Char Char"/>
    <w:basedOn w:val="23"/>
    <w:next w:val="1"/>
    <w:semiHidden/>
    <w:qFormat/>
    <w:uiPriority w:val="0"/>
    <w:pPr>
      <w:spacing w:before="120" w:after="120" w:line="240" w:lineRule="auto"/>
      <w:ind w:firstLine="0" w:firstLineChars="0"/>
      <w:jc w:val="center"/>
    </w:pPr>
    <w:rPr>
      <w:rFonts w:ascii="Times New Roman" w:hAnsi="Times New Roman" w:cs="宋体"/>
      <w:snapToGrid/>
      <w:kern w:val="2"/>
      <w:sz w:val="24"/>
      <w:szCs w:val="24"/>
    </w:rPr>
  </w:style>
  <w:style w:type="character" w:customStyle="1" w:styleId="284">
    <w:name w:val="批注文字 Char"/>
    <w:link w:val="29"/>
    <w:qFormat/>
    <w:uiPriority w:val="0"/>
    <w:rPr>
      <w:rFonts w:ascii="Times New Roman" w:hAnsi="Times New Roman" w:eastAsia="宋体" w:cs="Times New Roman"/>
      <w:kern w:val="0"/>
      <w:sz w:val="24"/>
      <w:szCs w:val="20"/>
    </w:rPr>
  </w:style>
  <w:style w:type="character" w:customStyle="1" w:styleId="285">
    <w:name w:val="批注框文本 Char"/>
    <w:link w:val="54"/>
    <w:qFormat/>
    <w:uiPriority w:val="0"/>
    <w:rPr>
      <w:rFonts w:ascii="Times New Roman" w:hAnsi="Times New Roman" w:eastAsia="宋体" w:cs="Times New Roman"/>
      <w:snapToGrid w:val="0"/>
      <w:kern w:val="0"/>
      <w:sz w:val="18"/>
      <w:szCs w:val="18"/>
    </w:rPr>
  </w:style>
  <w:style w:type="character" w:customStyle="1" w:styleId="286">
    <w:name w:val="批注主题 Char"/>
    <w:link w:val="85"/>
    <w:qFormat/>
    <w:uiPriority w:val="0"/>
    <w:rPr>
      <w:rFonts w:ascii="Times New Roman" w:hAnsi="Times New Roman" w:eastAsia="宋体" w:cs="Times New Roman"/>
      <w:b/>
      <w:bCs/>
      <w:kern w:val="0"/>
      <w:sz w:val="24"/>
      <w:szCs w:val="24"/>
    </w:rPr>
  </w:style>
  <w:style w:type="paragraph" w:customStyle="1" w:styleId="287">
    <w:name w:val="文本框文字"/>
    <w:basedOn w:val="45"/>
    <w:qFormat/>
    <w:uiPriority w:val="0"/>
    <w:pPr>
      <w:spacing w:line="240" w:lineRule="auto"/>
      <w:jc w:val="center"/>
    </w:pPr>
    <w:rPr>
      <w:rFonts w:ascii="Times New Roman" w:hAnsi="Times New Roman"/>
      <w:spacing w:val="10"/>
      <w:szCs w:val="21"/>
    </w:rPr>
  </w:style>
  <w:style w:type="paragraph" w:customStyle="1" w:styleId="288">
    <w:name w:val="简单回函地址"/>
    <w:basedOn w:val="1"/>
    <w:qFormat/>
    <w:uiPriority w:val="0"/>
  </w:style>
  <w:style w:type="character" w:customStyle="1" w:styleId="289">
    <w:name w:val="正文文本 3 Char"/>
    <w:link w:val="32"/>
    <w:qFormat/>
    <w:uiPriority w:val="0"/>
    <w:rPr>
      <w:rFonts w:ascii="宋体" w:hAnsi="Times New Roman" w:eastAsia="宋体" w:cs="Times New Roman"/>
      <w:kern w:val="0"/>
      <w:sz w:val="24"/>
      <w:szCs w:val="20"/>
    </w:rPr>
  </w:style>
  <w:style w:type="paragraph" w:customStyle="1" w:styleId="290">
    <w:name w:val="正文(首行缩进)"/>
    <w:basedOn w:val="1"/>
    <w:link w:val="1230"/>
    <w:qFormat/>
    <w:uiPriority w:val="0"/>
    <w:pPr>
      <w:adjustRightInd w:val="0"/>
      <w:snapToGrid w:val="0"/>
      <w:spacing w:line="360" w:lineRule="auto"/>
      <w:ind w:firstLine="480" w:firstLineChars="200"/>
    </w:pPr>
    <w:rPr>
      <w:color w:val="000000"/>
      <w:sz w:val="24"/>
    </w:rPr>
  </w:style>
  <w:style w:type="paragraph" w:customStyle="1" w:styleId="291">
    <w:name w:val="xl33"/>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292">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93">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94">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95">
    <w:name w:val="font7"/>
    <w:basedOn w:val="1"/>
    <w:qFormat/>
    <w:uiPriority w:val="0"/>
    <w:pPr>
      <w:widowControl/>
      <w:spacing w:before="100" w:beforeAutospacing="1" w:after="100" w:afterAutospacing="1"/>
      <w:jc w:val="left"/>
    </w:pPr>
    <w:rPr>
      <w:kern w:val="0"/>
      <w:sz w:val="24"/>
    </w:rPr>
  </w:style>
  <w:style w:type="paragraph" w:customStyle="1" w:styleId="296">
    <w:name w:val="font8"/>
    <w:basedOn w:val="1"/>
    <w:qFormat/>
    <w:uiPriority w:val="0"/>
    <w:pPr>
      <w:widowControl/>
      <w:spacing w:before="100" w:beforeAutospacing="1" w:after="100" w:afterAutospacing="1"/>
      <w:jc w:val="left"/>
    </w:pPr>
    <w:rPr>
      <w:kern w:val="0"/>
      <w:sz w:val="24"/>
    </w:rPr>
  </w:style>
  <w:style w:type="paragraph" w:customStyle="1" w:styleId="297">
    <w:name w:val="xl29"/>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98">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99">
    <w:name w:val="xl32"/>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300">
    <w:name w:val="xl34"/>
    <w:basedOn w:val="1"/>
    <w:qFormat/>
    <w:uiPriority w:val="0"/>
    <w:pPr>
      <w:widowControl/>
      <w:pBdr>
        <w:left w:val="single" w:color="auto" w:sz="4" w:space="0"/>
      </w:pBdr>
      <w:spacing w:before="100" w:beforeAutospacing="1" w:after="100" w:afterAutospacing="1"/>
      <w:jc w:val="left"/>
      <w:textAlignment w:val="center"/>
    </w:pPr>
    <w:rPr>
      <w:rFonts w:ascii="宋体" w:hAnsi="宋体"/>
      <w:kern w:val="0"/>
      <w:sz w:val="24"/>
    </w:rPr>
  </w:style>
  <w:style w:type="paragraph" w:customStyle="1" w:styleId="301">
    <w:name w:val="xl35"/>
    <w:basedOn w:val="1"/>
    <w:qFormat/>
    <w:uiPriority w:val="0"/>
    <w:pPr>
      <w:widowControl/>
      <w:spacing w:before="100" w:beforeAutospacing="1" w:after="100" w:afterAutospacing="1"/>
      <w:jc w:val="left"/>
      <w:textAlignment w:val="center"/>
    </w:pPr>
    <w:rPr>
      <w:rFonts w:ascii="宋体" w:hAnsi="宋体"/>
      <w:kern w:val="0"/>
      <w:sz w:val="24"/>
    </w:rPr>
  </w:style>
  <w:style w:type="paragraph" w:customStyle="1" w:styleId="302">
    <w:name w:val="xl36"/>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03">
    <w:name w:val="xl3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04">
    <w:name w:val="xl38"/>
    <w:basedOn w:val="1"/>
    <w:qFormat/>
    <w:uiPriority w:val="0"/>
    <w:pPr>
      <w:widowControl/>
      <w:pBdr>
        <w:left w:val="single" w:color="auto" w:sz="4" w:space="0"/>
        <w:right w:val="single" w:color="auto" w:sz="4" w:space="0"/>
      </w:pBdr>
      <w:spacing w:before="100" w:beforeAutospacing="1" w:after="100" w:afterAutospacing="1"/>
      <w:jc w:val="left"/>
      <w:textAlignment w:val="center"/>
    </w:pPr>
    <w:rPr>
      <w:kern w:val="0"/>
      <w:sz w:val="24"/>
    </w:rPr>
  </w:style>
  <w:style w:type="character" w:customStyle="1" w:styleId="305">
    <w:name w:val="注释标题 Char"/>
    <w:link w:val="17"/>
    <w:qFormat/>
    <w:uiPriority w:val="0"/>
    <w:rPr>
      <w:rFonts w:ascii="Times New Roman" w:hAnsi="Times New Roman" w:eastAsia="宋体" w:cs="Times New Roman"/>
      <w:szCs w:val="24"/>
    </w:rPr>
  </w:style>
  <w:style w:type="character" w:customStyle="1" w:styleId="306">
    <w:name w:val="题注 Char"/>
    <w:qFormat/>
    <w:uiPriority w:val="0"/>
    <w:rPr>
      <w:rFonts w:ascii="Arial" w:hAnsi="Arial" w:eastAsia="黑体" w:cs="Arial"/>
      <w:kern w:val="2"/>
      <w:lang w:val="en-US" w:eastAsia="zh-CN" w:bidi="ar-SA"/>
    </w:rPr>
  </w:style>
  <w:style w:type="paragraph" w:customStyle="1" w:styleId="307">
    <w:name w:val="BT2"/>
    <w:basedOn w:val="5"/>
    <w:semiHidden/>
    <w:qFormat/>
    <w:uiPriority w:val="0"/>
  </w:style>
  <w:style w:type="character" w:customStyle="1" w:styleId="308">
    <w:name w:val="标题 14 Char"/>
    <w:qFormat/>
    <w:uiPriority w:val="0"/>
    <w:rPr>
      <w:rFonts w:ascii="Arial" w:hAnsi="Arial"/>
      <w:bCs/>
      <w:kern w:val="2"/>
      <w:sz w:val="24"/>
      <w:szCs w:val="28"/>
      <w:lang w:val="en-US" w:eastAsia="zh-CN" w:bidi="ar-SA"/>
    </w:rPr>
  </w:style>
  <w:style w:type="paragraph" w:customStyle="1" w:styleId="309">
    <w:name w:val="标准"/>
    <w:basedOn w:val="1"/>
    <w:link w:val="589"/>
    <w:qFormat/>
    <w:uiPriority w:val="0"/>
    <w:pPr>
      <w:adjustRightInd w:val="0"/>
      <w:spacing w:line="312" w:lineRule="atLeast"/>
      <w:jc w:val="center"/>
      <w:textAlignment w:val="baseline"/>
    </w:pPr>
    <w:rPr>
      <w:kern w:val="0"/>
      <w:sz w:val="24"/>
      <w:szCs w:val="21"/>
    </w:rPr>
  </w:style>
  <w:style w:type="paragraph" w:customStyle="1" w:styleId="310">
    <w:name w:val="样式 标题 3标题 13标题 3 Char1 Char Char Char标题 31ReHead 3 WSAh3B..."/>
    <w:basedOn w:val="6"/>
    <w:semiHidden/>
    <w:qFormat/>
    <w:uiPriority w:val="0"/>
    <w:pPr>
      <w:spacing w:beforeLines="50" w:afterLines="20"/>
      <w:jc w:val="left"/>
    </w:pPr>
    <w:rPr>
      <w:b/>
      <w:bCs w:val="0"/>
      <w:sz w:val="24"/>
      <w:szCs w:val="24"/>
      <w:lang w:val="zh-CN"/>
    </w:rPr>
  </w:style>
  <w:style w:type="paragraph" w:customStyle="1" w:styleId="311">
    <w:name w:val="表中"/>
    <w:basedOn w:val="1"/>
    <w:qFormat/>
    <w:uiPriority w:val="0"/>
    <w:pPr>
      <w:adjustRightInd w:val="0"/>
      <w:snapToGrid w:val="0"/>
      <w:jc w:val="center"/>
    </w:pPr>
    <w:rPr>
      <w:snapToGrid w:val="0"/>
      <w:kern w:val="0"/>
    </w:rPr>
  </w:style>
  <w:style w:type="paragraph" w:customStyle="1" w:styleId="312">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character" w:customStyle="1" w:styleId="313">
    <w:name w:val="页眉 Char1"/>
    <w:qFormat/>
    <w:uiPriority w:val="0"/>
    <w:rPr>
      <w:rFonts w:ascii="Times New Roman" w:hAnsi="Times New Roman" w:eastAsia="宋体" w:cs="Times New Roman"/>
      <w:sz w:val="18"/>
      <w:szCs w:val="18"/>
    </w:rPr>
  </w:style>
  <w:style w:type="character" w:customStyle="1" w:styleId="314">
    <w:name w:val="正文缩进 Char"/>
    <w:link w:val="22"/>
    <w:qFormat/>
    <w:uiPriority w:val="0"/>
    <w:rPr>
      <w:rFonts w:ascii="Times New Roman" w:hAnsi="Times New Roman" w:eastAsia="宋体" w:cs="Times New Roman"/>
      <w:szCs w:val="24"/>
    </w:rPr>
  </w:style>
  <w:style w:type="paragraph" w:customStyle="1" w:styleId="315">
    <w:name w:val="列出段落1"/>
    <w:basedOn w:val="1"/>
    <w:qFormat/>
    <w:uiPriority w:val="0"/>
    <w:pPr>
      <w:ind w:firstLine="420" w:firstLineChars="200"/>
    </w:pPr>
    <w:rPr>
      <w:rFonts w:ascii="Calibri" w:hAnsi="Calibri"/>
      <w:szCs w:val="22"/>
    </w:rPr>
  </w:style>
  <w:style w:type="character" w:customStyle="1" w:styleId="316">
    <w:name w:val="纯文本 Char1"/>
    <w:link w:val="45"/>
    <w:qFormat/>
    <w:uiPriority w:val="0"/>
    <w:rPr>
      <w:rFonts w:ascii="宋体" w:hAnsi="Courier New" w:eastAsia="宋体" w:cs="Times New Roman"/>
      <w:szCs w:val="28"/>
    </w:rPr>
  </w:style>
  <w:style w:type="paragraph" w:customStyle="1" w:styleId="317">
    <w:name w:val="默认段落字体 Para Char Char Char Char Char Char Char Char Char Char Char Char Char"/>
    <w:basedOn w:val="1"/>
    <w:qFormat/>
    <w:uiPriority w:val="0"/>
  </w:style>
  <w:style w:type="character" w:customStyle="1" w:styleId="318">
    <w:name w:val="普通文字 Char Char3"/>
    <w:qFormat/>
    <w:uiPriority w:val="0"/>
    <w:rPr>
      <w:rFonts w:ascii="宋体" w:hAnsi="Courier New" w:eastAsia="宋体" w:cs="Courier New"/>
      <w:kern w:val="2"/>
      <w:sz w:val="21"/>
      <w:szCs w:val="21"/>
      <w:lang w:val="en-US" w:eastAsia="zh-CN" w:bidi="ar-SA"/>
    </w:rPr>
  </w:style>
  <w:style w:type="character" w:customStyle="1" w:styleId="319">
    <w:name w:val="标题 3 Char Char Char Char Char Char Char Char Char Char Char Char Char Char Char Char Char Char Char Char Char Char Char Char Char Char Char Char Char Char Char Char Char Char Char Char Char Char Char Char"/>
    <w:semiHidden/>
    <w:qFormat/>
    <w:uiPriority w:val="0"/>
    <w:rPr>
      <w:rFonts w:eastAsia="楷体_GB2312"/>
      <w:kern w:val="2"/>
      <w:sz w:val="28"/>
      <w:lang w:val="en-US" w:eastAsia="zh-CN" w:bidi="ar-SA"/>
    </w:rPr>
  </w:style>
  <w:style w:type="character" w:customStyle="1" w:styleId="320">
    <w:name w:val="无页眉 Char Char"/>
    <w:semiHidden/>
    <w:qFormat/>
    <w:uiPriority w:val="0"/>
    <w:rPr>
      <w:rFonts w:eastAsia="宋体"/>
      <w:kern w:val="2"/>
      <w:sz w:val="18"/>
      <w:szCs w:val="18"/>
      <w:lang w:val="en-US" w:eastAsia="zh-CN" w:bidi="ar-SA"/>
    </w:rPr>
  </w:style>
  <w:style w:type="character" w:customStyle="1" w:styleId="321">
    <w:name w:val="正文文本缩进 Char1"/>
    <w:link w:val="35"/>
    <w:qFormat/>
    <w:uiPriority w:val="0"/>
    <w:rPr>
      <w:rFonts w:ascii="Times New Roman" w:hAnsi="Times New Roman" w:eastAsia="宋体" w:cs="Times New Roman"/>
      <w:szCs w:val="20"/>
    </w:rPr>
  </w:style>
  <w:style w:type="character" w:customStyle="1" w:styleId="322">
    <w:name w:val="正文样式1 Char Char1"/>
    <w:link w:val="323"/>
    <w:semiHidden/>
    <w:qFormat/>
    <w:uiPriority w:val="0"/>
    <w:rPr>
      <w:rFonts w:eastAsia="Times New Roman"/>
      <w:snapToGrid w:val="0"/>
      <w:position w:val="-12"/>
      <w:sz w:val="24"/>
      <w:szCs w:val="24"/>
    </w:rPr>
  </w:style>
  <w:style w:type="paragraph" w:customStyle="1" w:styleId="323">
    <w:name w:val="正文样式1 Char"/>
    <w:basedOn w:val="1"/>
    <w:link w:val="322"/>
    <w:semiHidden/>
    <w:qFormat/>
    <w:uiPriority w:val="0"/>
    <w:pPr>
      <w:adjustRightInd w:val="0"/>
      <w:spacing w:beforeLines="10" w:afterLines="10" w:line="312" w:lineRule="auto"/>
      <w:ind w:firstLine="200" w:firstLineChars="200"/>
      <w:textAlignment w:val="baseline"/>
    </w:pPr>
    <w:rPr>
      <w:rFonts w:ascii="Calibri" w:hAnsi="Calibri" w:eastAsia="Times New Roman"/>
      <w:snapToGrid w:val="0"/>
      <w:position w:val="-12"/>
      <w:sz w:val="24"/>
    </w:rPr>
  </w:style>
  <w:style w:type="character" w:customStyle="1" w:styleId="324">
    <w:name w:val="Char Char17"/>
    <w:qFormat/>
    <w:uiPriority w:val="0"/>
    <w:rPr>
      <w:sz w:val="18"/>
      <w:szCs w:val="18"/>
    </w:rPr>
  </w:style>
  <w:style w:type="character" w:customStyle="1" w:styleId="325">
    <w:name w:val="content"/>
    <w:qFormat/>
    <w:uiPriority w:val="0"/>
  </w:style>
  <w:style w:type="paragraph" w:customStyle="1" w:styleId="326">
    <w:name w:val="Char Char Char Char Char Char Char Char Char Char Char Char Char"/>
    <w:basedOn w:val="1"/>
    <w:semiHidden/>
    <w:qFormat/>
    <w:uiPriority w:val="0"/>
  </w:style>
  <w:style w:type="paragraph" w:customStyle="1" w:styleId="327">
    <w:name w:val="图表"/>
    <w:basedOn w:val="1"/>
    <w:link w:val="328"/>
    <w:qFormat/>
    <w:uiPriority w:val="0"/>
    <w:pPr>
      <w:adjustRightInd w:val="0"/>
      <w:snapToGrid w:val="0"/>
      <w:spacing w:line="240" w:lineRule="atLeast"/>
      <w:jc w:val="center"/>
    </w:pPr>
  </w:style>
  <w:style w:type="character" w:customStyle="1" w:styleId="328">
    <w:name w:val="图表 Char"/>
    <w:link w:val="327"/>
    <w:qFormat/>
    <w:uiPriority w:val="0"/>
    <w:rPr>
      <w:rFonts w:ascii="Times New Roman" w:hAnsi="Times New Roman" w:eastAsia="宋体" w:cs="Times New Roman"/>
      <w:szCs w:val="24"/>
    </w:rPr>
  </w:style>
  <w:style w:type="paragraph" w:customStyle="1" w:styleId="329">
    <w:name w:val="公式"/>
    <w:basedOn w:val="1"/>
    <w:qFormat/>
    <w:uiPriority w:val="0"/>
    <w:pPr>
      <w:adjustRightInd w:val="0"/>
      <w:snapToGrid w:val="0"/>
      <w:spacing w:before="60" w:after="120" w:line="288" w:lineRule="auto"/>
      <w:jc w:val="center"/>
      <w:textAlignment w:val="baseline"/>
    </w:pPr>
    <w:rPr>
      <w:kern w:val="0"/>
      <w:sz w:val="24"/>
    </w:rPr>
  </w:style>
  <w:style w:type="paragraph" w:customStyle="1" w:styleId="330">
    <w:name w:val="标5"/>
    <w:basedOn w:val="7"/>
    <w:link w:val="331"/>
    <w:semiHidden/>
    <w:qFormat/>
    <w:uiPriority w:val="0"/>
    <w:pPr>
      <w:spacing w:before="240" w:after="120"/>
      <w:outlineLvl w:val="9"/>
    </w:pPr>
    <w:rPr>
      <w:b/>
      <w:szCs w:val="24"/>
    </w:rPr>
  </w:style>
  <w:style w:type="character" w:customStyle="1" w:styleId="331">
    <w:name w:val="标5 Char"/>
    <w:link w:val="330"/>
    <w:semiHidden/>
    <w:qFormat/>
    <w:uiPriority w:val="0"/>
    <w:rPr>
      <w:rFonts w:ascii="Times New Roman" w:hAnsi="Times New Roman" w:eastAsia="黑体"/>
      <w:b/>
      <w:bCs/>
      <w:kern w:val="2"/>
      <w:sz w:val="28"/>
      <w:szCs w:val="24"/>
    </w:rPr>
  </w:style>
  <w:style w:type="character" w:customStyle="1" w:styleId="332">
    <w:name w:val="标6 Char"/>
    <w:link w:val="253"/>
    <w:semiHidden/>
    <w:qFormat/>
    <w:uiPriority w:val="0"/>
    <w:rPr>
      <w:rFonts w:ascii="Times New Roman" w:hAnsi="Times New Roman"/>
      <w:bCs/>
      <w:snapToGrid w:val="0"/>
      <w:sz w:val="24"/>
      <w:szCs w:val="24"/>
    </w:rPr>
  </w:style>
  <w:style w:type="character" w:customStyle="1" w:styleId="333">
    <w:name w:val="表 Char"/>
    <w:link w:val="234"/>
    <w:qFormat/>
    <w:uiPriority w:val="0"/>
    <w:rPr>
      <w:rFonts w:ascii="Times New Roman" w:hAnsi="Times New Roman" w:eastAsia="宋体" w:cs="Times New Roman"/>
      <w:spacing w:val="2"/>
      <w:sz w:val="24"/>
      <w:szCs w:val="20"/>
    </w:rPr>
  </w:style>
  <w:style w:type="paragraph" w:customStyle="1" w:styleId="334">
    <w:name w:val="Char Char Char1 Char Char Char Char"/>
    <w:basedOn w:val="1"/>
    <w:semiHidden/>
    <w:qFormat/>
    <w:uiPriority w:val="0"/>
    <w:pPr>
      <w:spacing w:line="360" w:lineRule="auto"/>
    </w:pPr>
  </w:style>
  <w:style w:type="paragraph" w:customStyle="1" w:styleId="335">
    <w:name w:val="Char Char Char Char7"/>
    <w:basedOn w:val="1"/>
    <w:semiHidden/>
    <w:qFormat/>
    <w:uiPriority w:val="0"/>
  </w:style>
  <w:style w:type="character" w:customStyle="1" w:styleId="336">
    <w:name w:val="标题 6 Char1"/>
    <w:link w:val="9"/>
    <w:qFormat/>
    <w:uiPriority w:val="0"/>
    <w:rPr>
      <w:rFonts w:ascii="Arial" w:hAnsi="Arial" w:eastAsia="黑体"/>
      <w:b/>
      <w:bCs/>
      <w:szCs w:val="24"/>
    </w:rPr>
  </w:style>
  <w:style w:type="character" w:customStyle="1" w:styleId="337">
    <w:name w:val="标题 8 Char1"/>
    <w:link w:val="11"/>
    <w:qFormat/>
    <w:uiPriority w:val="0"/>
    <w:rPr>
      <w:rFonts w:ascii="Arial" w:hAnsi="Arial" w:eastAsia="黑体"/>
      <w:szCs w:val="24"/>
    </w:rPr>
  </w:style>
  <w:style w:type="character" w:customStyle="1" w:styleId="338">
    <w:name w:val="Char Char12"/>
    <w:qFormat/>
    <w:uiPriority w:val="0"/>
  </w:style>
  <w:style w:type="paragraph" w:customStyle="1" w:styleId="339">
    <w:name w:val="日期1"/>
    <w:basedOn w:val="1"/>
    <w:next w:val="1"/>
    <w:qFormat/>
    <w:uiPriority w:val="0"/>
    <w:pPr>
      <w:adjustRightInd w:val="0"/>
      <w:snapToGrid w:val="0"/>
      <w:spacing w:before="120" w:after="120" w:line="360" w:lineRule="auto"/>
      <w:ind w:firstLine="200" w:firstLineChars="200"/>
      <w:textAlignment w:val="baseline"/>
    </w:pPr>
    <w:rPr>
      <w:sz w:val="24"/>
      <w:szCs w:val="20"/>
    </w:rPr>
  </w:style>
  <w:style w:type="character" w:customStyle="1" w:styleId="340">
    <w:name w:val="表内文字 Char Char"/>
    <w:semiHidden/>
    <w:qFormat/>
    <w:uiPriority w:val="0"/>
    <w:rPr>
      <w:rFonts w:ascii="宋体" w:hAnsi="Courier New" w:eastAsia="宋体" w:cs="Courier New"/>
      <w:sz w:val="24"/>
      <w:szCs w:val="21"/>
    </w:rPr>
  </w:style>
  <w:style w:type="paragraph" w:customStyle="1" w:styleId="341">
    <w:name w:val="表格内容"/>
    <w:basedOn w:val="1"/>
    <w:qFormat/>
    <w:uiPriority w:val="0"/>
    <w:pPr>
      <w:adjustRightInd w:val="0"/>
      <w:snapToGrid w:val="0"/>
      <w:spacing w:beforeLines="50" w:afterLines="50" w:line="120" w:lineRule="atLeast"/>
      <w:ind w:firstLine="200" w:firstLineChars="200"/>
    </w:pPr>
    <w:rPr>
      <w:sz w:val="24"/>
      <w:szCs w:val="21"/>
    </w:rPr>
  </w:style>
  <w:style w:type="character" w:customStyle="1" w:styleId="342">
    <w:name w:val="Char Char11"/>
    <w:qFormat/>
    <w:uiPriority w:val="0"/>
    <w:rPr>
      <w:rFonts w:ascii="仿宋_GB2312" w:hAnsi="Times New Roman" w:eastAsia="仿宋_GB2312" w:cs="Times New Roman"/>
      <w:sz w:val="28"/>
      <w:szCs w:val="52"/>
    </w:rPr>
  </w:style>
  <w:style w:type="paragraph" w:customStyle="1" w:styleId="343">
    <w:name w:val="小标题样式"/>
    <w:basedOn w:val="1"/>
    <w:semiHidden/>
    <w:qFormat/>
    <w:uiPriority w:val="0"/>
    <w:pPr>
      <w:adjustRightInd w:val="0"/>
      <w:snapToGrid w:val="0"/>
      <w:spacing w:beforeLines="50" w:afterLines="50" w:line="400" w:lineRule="exact"/>
      <w:ind w:firstLine="200" w:firstLineChars="200"/>
    </w:pPr>
    <w:rPr>
      <w:rFonts w:ascii="宋体" w:hAnsi="宋体"/>
      <w:b/>
      <w:bCs/>
      <w:sz w:val="24"/>
      <w:szCs w:val="21"/>
    </w:rPr>
  </w:style>
  <w:style w:type="character" w:customStyle="1" w:styleId="344">
    <w:name w:val="Char Char10"/>
    <w:qFormat/>
    <w:uiPriority w:val="0"/>
    <w:rPr>
      <w:rFonts w:ascii="宋体" w:hAnsi="宋体" w:eastAsia="宋体" w:cs="Times New Roman"/>
      <w:snapToGrid w:val="0"/>
      <w:color w:val="000000"/>
      <w:kern w:val="0"/>
      <w:sz w:val="24"/>
      <w:szCs w:val="24"/>
    </w:rPr>
  </w:style>
  <w:style w:type="character" w:customStyle="1" w:styleId="345">
    <w:name w:val="脚注文本 Char1"/>
    <w:qFormat/>
    <w:uiPriority w:val="0"/>
    <w:rPr>
      <w:rFonts w:ascii="Times New Roman" w:hAnsi="Times New Roman" w:eastAsia="宋体" w:cs="Times New Roman"/>
      <w:sz w:val="18"/>
      <w:szCs w:val="18"/>
    </w:rPr>
  </w:style>
  <w:style w:type="paragraph" w:customStyle="1" w:styleId="346">
    <w:name w:val="xl53"/>
    <w:basedOn w:val="1"/>
    <w:qFormat/>
    <w:uiPriority w:val="0"/>
    <w:pPr>
      <w:widowControl/>
      <w:adjustRightInd w:val="0"/>
      <w:snapToGrid w:val="0"/>
      <w:spacing w:before="100" w:beforeAutospacing="1" w:after="100" w:afterAutospacing="1" w:line="360" w:lineRule="auto"/>
      <w:ind w:firstLine="200" w:firstLineChars="200"/>
      <w:jc w:val="left"/>
    </w:pPr>
    <w:rPr>
      <w:rFonts w:ascii="Arial Unicode MS" w:hAnsi="Arial Unicode MS" w:eastAsia="Arial Unicode MS" w:cs="Arial Unicode MS"/>
      <w:color w:val="0000FF"/>
      <w:kern w:val="0"/>
      <w:sz w:val="24"/>
    </w:rPr>
  </w:style>
  <w:style w:type="paragraph" w:customStyle="1" w:styleId="347">
    <w:name w:val="论文表名"/>
    <w:basedOn w:val="1"/>
    <w:semiHidden/>
    <w:qFormat/>
    <w:uiPriority w:val="0"/>
    <w:pPr>
      <w:adjustRightInd w:val="0"/>
      <w:snapToGrid w:val="0"/>
      <w:spacing w:beforeLines="50" w:afterLines="20" w:line="360" w:lineRule="auto"/>
      <w:ind w:firstLine="200" w:firstLineChars="200"/>
      <w:jc w:val="center"/>
    </w:pPr>
    <w:rPr>
      <w:rFonts w:ascii="Arial" w:hAnsi="Arial" w:eastAsia="黑体"/>
      <w:sz w:val="24"/>
    </w:rPr>
  </w:style>
  <w:style w:type="paragraph" w:customStyle="1" w:styleId="348">
    <w:name w:val="chu"/>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kern w:val="0"/>
      <w:sz w:val="24"/>
    </w:rPr>
  </w:style>
  <w:style w:type="paragraph" w:customStyle="1" w:styleId="349">
    <w:name w:val="px12s"/>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350">
    <w:name w:val="p14"/>
    <w:basedOn w:val="1"/>
    <w:semiHidden/>
    <w:qFormat/>
    <w:uiPriority w:val="0"/>
    <w:pPr>
      <w:widowControl/>
      <w:adjustRightInd w:val="0"/>
      <w:snapToGrid w:val="0"/>
      <w:spacing w:before="100" w:beforeAutospacing="1" w:after="100" w:afterAutospacing="1" w:line="336" w:lineRule="auto"/>
      <w:ind w:firstLine="200" w:firstLineChars="200"/>
      <w:jc w:val="left"/>
    </w:pPr>
    <w:rPr>
      <w:rFonts w:ascii="宋体" w:hAnsi="宋体"/>
      <w:kern w:val="0"/>
      <w:sz w:val="24"/>
      <w:szCs w:val="21"/>
    </w:rPr>
  </w:style>
  <w:style w:type="paragraph" w:customStyle="1" w:styleId="351">
    <w:name w:val="ctitle"/>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Arial" w:hAnsi="Arial" w:cs="Arial"/>
      <w:b/>
      <w:bCs/>
      <w:color w:val="990000"/>
      <w:kern w:val="0"/>
      <w:sz w:val="30"/>
      <w:szCs w:val="30"/>
    </w:rPr>
  </w:style>
  <w:style w:type="paragraph" w:customStyle="1" w:styleId="352">
    <w:name w:val="Style4"/>
    <w:basedOn w:val="1"/>
    <w:semiHidden/>
    <w:qFormat/>
    <w:uiPriority w:val="0"/>
    <w:pPr>
      <w:widowControl/>
      <w:adjustRightInd w:val="0"/>
      <w:snapToGrid w:val="0"/>
      <w:spacing w:before="120" w:after="120" w:line="360" w:lineRule="auto"/>
      <w:ind w:left="360" w:hanging="360" w:firstLineChars="200"/>
      <w:jc w:val="left"/>
    </w:pPr>
    <w:rPr>
      <w:kern w:val="0"/>
      <w:sz w:val="24"/>
      <w:szCs w:val="20"/>
      <w:lang w:val="en-GB" w:eastAsia="en-US"/>
    </w:rPr>
  </w:style>
  <w:style w:type="paragraph" w:customStyle="1" w:styleId="353">
    <w:name w:val="xl44"/>
    <w:basedOn w:val="1"/>
    <w:qFormat/>
    <w:uiPriority w:val="0"/>
    <w:pPr>
      <w:widowControl/>
      <w:adjustRightInd w:val="0"/>
      <w:snapToGrid w:val="0"/>
      <w:spacing w:before="100" w:beforeAutospacing="1" w:after="100" w:afterAutospacing="1" w:line="360" w:lineRule="auto"/>
      <w:ind w:firstLine="200" w:firstLineChars="200"/>
    </w:pPr>
    <w:rPr>
      <w:rFonts w:ascii="宋体" w:hAnsi="宋体"/>
      <w:color w:val="0000FF"/>
      <w:kern w:val="0"/>
      <w:sz w:val="24"/>
    </w:rPr>
  </w:style>
  <w:style w:type="paragraph" w:customStyle="1" w:styleId="354">
    <w:name w:val="xl39"/>
    <w:basedOn w:val="1"/>
    <w:qFormat/>
    <w:uiPriority w:val="0"/>
    <w:pPr>
      <w:widowControl/>
      <w:adjustRightInd w:val="0"/>
      <w:snapToGrid w:val="0"/>
      <w:spacing w:before="100" w:beforeAutospacing="1" w:after="100" w:afterAutospacing="1" w:line="360" w:lineRule="auto"/>
      <w:ind w:firstLine="200" w:firstLineChars="200"/>
      <w:jc w:val="left"/>
      <w:textAlignment w:val="center"/>
    </w:pPr>
    <w:rPr>
      <w:rFonts w:ascii="Arial Unicode MS" w:hAnsi="Arial Unicode MS" w:eastAsia="Arial Unicode MS" w:cs="Arial Unicode MS"/>
      <w:color w:val="FF0000"/>
      <w:kern w:val="0"/>
      <w:sz w:val="24"/>
    </w:rPr>
  </w:style>
  <w:style w:type="paragraph" w:customStyle="1" w:styleId="355">
    <w:name w:val="xl40"/>
    <w:basedOn w:val="1"/>
    <w:qFormat/>
    <w:uiPriority w:val="0"/>
    <w:pPr>
      <w:widowControl/>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color w:val="FF0000"/>
      <w:kern w:val="0"/>
      <w:sz w:val="24"/>
    </w:rPr>
  </w:style>
  <w:style w:type="paragraph" w:customStyle="1" w:styleId="356">
    <w:name w:val="xl41"/>
    <w:basedOn w:val="1"/>
    <w:qFormat/>
    <w:uiPriority w:val="0"/>
    <w:pPr>
      <w:widowControl/>
      <w:adjustRightInd w:val="0"/>
      <w:snapToGrid w:val="0"/>
      <w:spacing w:before="100" w:beforeAutospacing="1" w:after="100" w:afterAutospacing="1" w:line="360" w:lineRule="auto"/>
      <w:ind w:firstLine="200" w:firstLineChars="200"/>
    </w:pPr>
    <w:rPr>
      <w:rFonts w:ascii="Arial Unicode MS" w:hAnsi="Arial Unicode MS" w:eastAsia="Arial Unicode MS" w:cs="Arial Unicode MS"/>
      <w:color w:val="FF0000"/>
      <w:kern w:val="0"/>
      <w:sz w:val="24"/>
    </w:rPr>
  </w:style>
  <w:style w:type="paragraph" w:customStyle="1" w:styleId="357">
    <w:name w:val="xl42"/>
    <w:basedOn w:val="1"/>
    <w:qFormat/>
    <w:uiPriority w:val="0"/>
    <w:pPr>
      <w:widowControl/>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cs="Arial Unicode MS"/>
      <w:color w:val="FF0000"/>
      <w:kern w:val="0"/>
      <w:sz w:val="24"/>
    </w:rPr>
  </w:style>
  <w:style w:type="paragraph" w:customStyle="1" w:styleId="358">
    <w:name w:val="xl43"/>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color w:val="FF0000"/>
      <w:kern w:val="0"/>
      <w:sz w:val="24"/>
    </w:rPr>
  </w:style>
  <w:style w:type="paragraph" w:customStyle="1" w:styleId="359">
    <w:name w:val="xl45"/>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0">
    <w:name w:val="xl46"/>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1">
    <w:name w:val="xl47"/>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2">
    <w:name w:val="xl48"/>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3">
    <w:name w:val="xl49"/>
    <w:basedOn w:val="1"/>
    <w:qFormat/>
    <w:uiPriority w:val="0"/>
    <w:pPr>
      <w:widowControl/>
      <w:adjustRightInd w:val="0"/>
      <w:snapToGrid w:val="0"/>
      <w:spacing w:before="100" w:beforeAutospacing="1" w:after="100" w:afterAutospacing="1" w:line="360" w:lineRule="auto"/>
      <w:ind w:firstLine="200" w:firstLineChars="200"/>
      <w:jc w:val="left"/>
    </w:pPr>
    <w:rPr>
      <w:rFonts w:ascii="Arial Unicode MS" w:hAnsi="Arial Unicode MS" w:eastAsia="Arial Unicode MS" w:cs="Arial Unicode MS"/>
      <w:color w:val="FF0000"/>
      <w:kern w:val="0"/>
      <w:sz w:val="24"/>
    </w:rPr>
  </w:style>
  <w:style w:type="paragraph" w:customStyle="1" w:styleId="364">
    <w:name w:val="xl50"/>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5">
    <w:name w:val="xl51"/>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6">
    <w:name w:val="xl52"/>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kern w:val="0"/>
      <w:sz w:val="24"/>
    </w:rPr>
  </w:style>
  <w:style w:type="paragraph" w:customStyle="1" w:styleId="367">
    <w:name w:val="题目样式"/>
    <w:basedOn w:val="1"/>
    <w:semiHidden/>
    <w:qFormat/>
    <w:uiPriority w:val="0"/>
    <w:pPr>
      <w:adjustRightInd w:val="0"/>
      <w:snapToGrid w:val="0"/>
      <w:spacing w:before="480" w:after="240" w:line="360" w:lineRule="auto"/>
      <w:ind w:firstLine="200" w:firstLineChars="200"/>
      <w:jc w:val="center"/>
    </w:pPr>
    <w:rPr>
      <w:rFonts w:ascii="黑体" w:eastAsia="黑体"/>
      <w:b/>
      <w:bCs/>
      <w:sz w:val="44"/>
      <w:szCs w:val="20"/>
    </w:rPr>
  </w:style>
  <w:style w:type="paragraph" w:customStyle="1" w:styleId="368">
    <w:name w:val="正文样式"/>
    <w:basedOn w:val="1"/>
    <w:qFormat/>
    <w:uiPriority w:val="0"/>
    <w:pPr>
      <w:adjustRightInd w:val="0"/>
      <w:snapToGrid w:val="0"/>
      <w:spacing w:before="120" w:after="120" w:line="400" w:lineRule="exact"/>
      <w:ind w:firstLine="420" w:firstLineChars="200"/>
    </w:pPr>
    <w:rPr>
      <w:sz w:val="24"/>
      <w:szCs w:val="20"/>
    </w:rPr>
  </w:style>
  <w:style w:type="paragraph" w:customStyle="1" w:styleId="369">
    <w:name w:val="tdbig"/>
    <w:basedOn w:val="1"/>
    <w:semiHidden/>
    <w:qFormat/>
    <w:uiPriority w:val="0"/>
    <w:pPr>
      <w:widowControl/>
      <w:adjustRightInd w:val="0"/>
      <w:snapToGrid w:val="0"/>
      <w:spacing w:before="100" w:beforeAutospacing="1" w:after="100" w:afterAutospacing="1" w:line="270" w:lineRule="atLeast"/>
      <w:ind w:firstLine="200" w:firstLineChars="200"/>
      <w:jc w:val="left"/>
    </w:pPr>
    <w:rPr>
      <w:rFonts w:ascii="Georgia" w:hAnsi="Georgia"/>
      <w:color w:val="2B4F91"/>
      <w:spacing w:val="15"/>
      <w:kern w:val="0"/>
      <w:sz w:val="24"/>
      <w:szCs w:val="21"/>
    </w:rPr>
  </w:style>
  <w:style w:type="paragraph" w:customStyle="1" w:styleId="370">
    <w:name w:val="姜文清定义的正文"/>
    <w:basedOn w:val="1"/>
    <w:semiHidden/>
    <w:qFormat/>
    <w:uiPriority w:val="0"/>
    <w:pPr>
      <w:adjustRightInd w:val="0"/>
      <w:snapToGrid w:val="0"/>
      <w:spacing w:before="120" w:after="120" w:line="500" w:lineRule="atLeast"/>
      <w:ind w:firstLine="567" w:firstLineChars="200"/>
    </w:pPr>
    <w:rPr>
      <w:sz w:val="28"/>
      <w:szCs w:val="20"/>
    </w:rPr>
  </w:style>
  <w:style w:type="paragraph" w:customStyle="1" w:styleId="371">
    <w:name w:val="navitext"/>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color w:val="000000"/>
      <w:kern w:val="0"/>
      <w:sz w:val="18"/>
      <w:szCs w:val="18"/>
    </w:rPr>
  </w:style>
  <w:style w:type="paragraph" w:customStyle="1" w:styleId="372">
    <w:name w:val="head"/>
    <w:basedOn w:val="1"/>
    <w:semiHidden/>
    <w:qFormat/>
    <w:uiPriority w:val="0"/>
    <w:pPr>
      <w:widowControl/>
      <w:adjustRightInd w:val="0"/>
      <w:snapToGrid w:val="0"/>
      <w:spacing w:before="100" w:beforeAutospacing="1" w:after="100" w:afterAutospacing="1" w:line="400" w:lineRule="atLeast"/>
      <w:ind w:firstLine="200" w:firstLineChars="200"/>
      <w:jc w:val="left"/>
    </w:pPr>
    <w:rPr>
      <w:rFonts w:ascii="宋体" w:hAnsi="宋体"/>
      <w:color w:val="000000"/>
      <w:kern w:val="0"/>
      <w:sz w:val="28"/>
      <w:szCs w:val="28"/>
    </w:rPr>
  </w:style>
  <w:style w:type="paragraph" w:customStyle="1" w:styleId="373">
    <w:name w:val="unnamed2"/>
    <w:basedOn w:val="1"/>
    <w:semiHidden/>
    <w:qFormat/>
    <w:uiPriority w:val="0"/>
    <w:pPr>
      <w:widowControl/>
      <w:adjustRightInd w:val="0"/>
      <w:snapToGrid w:val="0"/>
      <w:spacing w:before="100" w:beforeAutospacing="1" w:after="100" w:afterAutospacing="1" w:line="255" w:lineRule="atLeast"/>
      <w:ind w:firstLine="200" w:firstLineChars="200"/>
      <w:jc w:val="left"/>
    </w:pPr>
    <w:rPr>
      <w:rFonts w:ascii="宋体" w:hAnsi="宋体"/>
      <w:kern w:val="0"/>
      <w:sz w:val="20"/>
      <w:szCs w:val="20"/>
    </w:rPr>
  </w:style>
  <w:style w:type="paragraph" w:customStyle="1" w:styleId="374">
    <w:name w:val="unnamed1"/>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kern w:val="0"/>
      <w:sz w:val="18"/>
      <w:szCs w:val="18"/>
    </w:rPr>
  </w:style>
  <w:style w:type="paragraph" w:customStyle="1" w:styleId="375">
    <w:name w:val="unnamed3"/>
    <w:basedOn w:val="1"/>
    <w:qFormat/>
    <w:uiPriority w:val="0"/>
    <w:pPr>
      <w:widowControl/>
      <w:adjustRightInd w:val="0"/>
      <w:snapToGrid w:val="0"/>
      <w:spacing w:before="100" w:beforeAutospacing="1" w:after="100" w:afterAutospacing="1" w:line="315" w:lineRule="atLeast"/>
      <w:ind w:firstLine="200" w:firstLineChars="200"/>
      <w:jc w:val="left"/>
    </w:pPr>
    <w:rPr>
      <w:rFonts w:ascii="宋体" w:hAnsi="宋体"/>
      <w:kern w:val="0"/>
      <w:sz w:val="20"/>
      <w:szCs w:val="20"/>
    </w:rPr>
  </w:style>
  <w:style w:type="paragraph" w:customStyle="1" w:styleId="376">
    <w:name w:val="论文标题3"/>
    <w:basedOn w:val="1"/>
    <w:semiHidden/>
    <w:qFormat/>
    <w:uiPriority w:val="0"/>
    <w:pPr>
      <w:adjustRightInd w:val="0"/>
      <w:snapToGrid w:val="0"/>
      <w:spacing w:before="120" w:after="120" w:line="360" w:lineRule="auto"/>
      <w:ind w:firstLine="200" w:firstLineChars="200"/>
    </w:pPr>
    <w:rPr>
      <w:rFonts w:ascii="Arial" w:hAnsi="Arial" w:eastAsia="黑体"/>
      <w:sz w:val="28"/>
    </w:rPr>
  </w:style>
  <w:style w:type="paragraph" w:customStyle="1" w:styleId="377">
    <w:name w:val="论文图名"/>
    <w:basedOn w:val="1"/>
    <w:semiHidden/>
    <w:qFormat/>
    <w:uiPriority w:val="0"/>
    <w:pPr>
      <w:adjustRightInd w:val="0"/>
      <w:snapToGrid w:val="0"/>
      <w:spacing w:beforeLines="30" w:after="120" w:line="360" w:lineRule="auto"/>
      <w:ind w:firstLine="200" w:firstLineChars="200"/>
      <w:jc w:val="center"/>
    </w:pPr>
    <w:rPr>
      <w:rFonts w:ascii="Arial" w:hAnsi="Arial" w:eastAsia="黑体"/>
      <w:sz w:val="24"/>
    </w:rPr>
  </w:style>
  <w:style w:type="paragraph" w:customStyle="1" w:styleId="378">
    <w:name w:val="论文标题4"/>
    <w:basedOn w:val="376"/>
    <w:semiHidden/>
    <w:qFormat/>
    <w:uiPriority w:val="0"/>
    <w:pPr>
      <w:spacing w:afterLines="20"/>
    </w:pPr>
    <w:rPr>
      <w:rFonts w:ascii="Times New Roman" w:hAnsi="Times New Roman"/>
      <w:sz w:val="25"/>
    </w:rPr>
  </w:style>
  <w:style w:type="character" w:customStyle="1" w:styleId="379">
    <w:name w:val="正文文本 2 Char1"/>
    <w:link w:val="76"/>
    <w:qFormat/>
    <w:uiPriority w:val="0"/>
    <w:rPr>
      <w:rFonts w:ascii="Times New Roman" w:hAnsi="Times New Roman" w:eastAsia="宋体" w:cs="Times New Roman"/>
      <w:szCs w:val="24"/>
    </w:rPr>
  </w:style>
  <w:style w:type="paragraph" w:customStyle="1" w:styleId="380">
    <w:name w:val="我的正文"/>
    <w:basedOn w:val="1"/>
    <w:link w:val="505"/>
    <w:qFormat/>
    <w:uiPriority w:val="0"/>
    <w:pPr>
      <w:adjustRightInd w:val="0"/>
      <w:snapToGrid w:val="0"/>
      <w:spacing w:beforeLines="50" w:after="120" w:line="360" w:lineRule="auto"/>
      <w:ind w:firstLine="200" w:firstLineChars="200"/>
    </w:pPr>
    <w:rPr>
      <w:rFonts w:ascii="华文仿宋" w:hAnsi="华文仿宋"/>
      <w:sz w:val="24"/>
    </w:rPr>
  </w:style>
  <w:style w:type="paragraph" w:customStyle="1" w:styleId="381">
    <w:name w:val="注"/>
    <w:basedOn w:val="45"/>
    <w:semiHidden/>
    <w:qFormat/>
    <w:uiPriority w:val="0"/>
    <w:pPr>
      <w:adjustRightInd w:val="0"/>
      <w:snapToGrid w:val="0"/>
      <w:spacing w:before="120" w:after="120" w:line="320" w:lineRule="exact"/>
      <w:ind w:firstLine="200" w:firstLineChars="200"/>
    </w:pPr>
    <w:rPr>
      <w:rFonts w:ascii="Arial" w:hAnsi="Arial"/>
      <w:sz w:val="18"/>
      <w:szCs w:val="20"/>
    </w:rPr>
  </w:style>
  <w:style w:type="character" w:customStyle="1" w:styleId="382">
    <w:name w:val="z-窗体顶端 Char1"/>
    <w:semiHidden/>
    <w:qFormat/>
    <w:uiPriority w:val="0"/>
    <w:rPr>
      <w:rFonts w:ascii="Arial" w:hAnsi="Arial" w:eastAsia="宋体" w:cs="Arial"/>
      <w:vanish/>
      <w:sz w:val="16"/>
      <w:szCs w:val="16"/>
    </w:rPr>
  </w:style>
  <w:style w:type="character" w:customStyle="1" w:styleId="383">
    <w:name w:val="z-窗体底端 Char1"/>
    <w:semiHidden/>
    <w:qFormat/>
    <w:uiPriority w:val="0"/>
    <w:rPr>
      <w:rFonts w:ascii="Arial" w:hAnsi="Arial" w:eastAsia="宋体" w:cs="Arial"/>
      <w:vanish/>
      <w:sz w:val="16"/>
      <w:szCs w:val="16"/>
    </w:rPr>
  </w:style>
  <w:style w:type="paragraph" w:customStyle="1" w:styleId="384">
    <w:name w:val="数据来源"/>
    <w:basedOn w:val="1"/>
    <w:semiHidden/>
    <w:qFormat/>
    <w:uiPriority w:val="0"/>
    <w:pPr>
      <w:adjustRightInd w:val="0"/>
      <w:snapToGrid w:val="0"/>
      <w:spacing w:beforeLines="50" w:afterLines="50" w:line="280" w:lineRule="exact"/>
      <w:ind w:firstLine="200" w:firstLineChars="200"/>
    </w:pPr>
    <w:rPr>
      <w:rFonts w:hAnsi="宋体" w:eastAsia="楷体_GB2312"/>
      <w:sz w:val="24"/>
      <w:szCs w:val="20"/>
    </w:rPr>
  </w:style>
  <w:style w:type="character" w:customStyle="1" w:styleId="385">
    <w:name w:val="tablecon"/>
    <w:semiHidden/>
    <w:qFormat/>
    <w:uiPriority w:val="0"/>
  </w:style>
  <w:style w:type="character" w:customStyle="1" w:styleId="386">
    <w:name w:val="article1"/>
    <w:semiHidden/>
    <w:qFormat/>
    <w:uiPriority w:val="0"/>
    <w:rPr>
      <w:sz w:val="21"/>
      <w:szCs w:val="21"/>
    </w:rPr>
  </w:style>
  <w:style w:type="character" w:customStyle="1" w:styleId="387">
    <w:name w:val="正文首行缩进 Char1"/>
    <w:link w:val="86"/>
    <w:qFormat/>
    <w:uiPriority w:val="0"/>
    <w:rPr>
      <w:rFonts w:ascii="Times New Roman" w:hAnsi="Times New Roman" w:eastAsia="宋体" w:cs="Times New Roman"/>
      <w:snapToGrid w:val="0"/>
      <w:sz w:val="24"/>
      <w:szCs w:val="24"/>
    </w:rPr>
  </w:style>
  <w:style w:type="paragraph" w:customStyle="1" w:styleId="388">
    <w:name w:val="10"/>
    <w:basedOn w:val="1"/>
    <w:qFormat/>
    <w:uiPriority w:val="0"/>
    <w:pPr>
      <w:adjustRightInd w:val="0"/>
      <w:snapToGrid w:val="0"/>
      <w:spacing w:before="120" w:after="120" w:line="360" w:lineRule="auto"/>
      <w:ind w:firstLine="200" w:firstLineChars="200"/>
    </w:pPr>
    <w:rPr>
      <w:sz w:val="24"/>
    </w:rPr>
  </w:style>
  <w:style w:type="character" w:customStyle="1" w:styleId="389">
    <w:name w:val="content1"/>
    <w:qFormat/>
    <w:uiPriority w:val="0"/>
    <w:rPr>
      <w:sz w:val="21"/>
      <w:szCs w:val="21"/>
    </w:rPr>
  </w:style>
  <w:style w:type="character" w:customStyle="1" w:styleId="390">
    <w:name w:val="javascript"/>
    <w:qFormat/>
    <w:uiPriority w:val="0"/>
  </w:style>
  <w:style w:type="paragraph" w:customStyle="1" w:styleId="391">
    <w:name w:val="9"/>
    <w:basedOn w:val="1"/>
    <w:next w:val="51"/>
    <w:qFormat/>
    <w:uiPriority w:val="0"/>
    <w:pPr>
      <w:adjustRightInd w:val="0"/>
      <w:snapToGrid w:val="0"/>
      <w:spacing w:before="120" w:after="120" w:line="400" w:lineRule="atLeast"/>
      <w:ind w:firstLine="200" w:firstLineChars="200"/>
    </w:pPr>
    <w:rPr>
      <w:rFonts w:ascii="宋体" w:eastAsia="楷体_GB2312"/>
      <w:color w:val="000000"/>
      <w:sz w:val="24"/>
    </w:rPr>
  </w:style>
  <w:style w:type="paragraph" w:customStyle="1" w:styleId="392">
    <w:name w:val="8"/>
    <w:basedOn w:val="1"/>
    <w:next w:val="51"/>
    <w:qFormat/>
    <w:uiPriority w:val="0"/>
    <w:pPr>
      <w:adjustRightInd w:val="0"/>
      <w:snapToGrid w:val="0"/>
      <w:spacing w:before="120" w:after="120" w:line="360" w:lineRule="auto"/>
      <w:ind w:firstLine="200" w:firstLineChars="200"/>
    </w:pPr>
    <w:rPr>
      <w:rFonts w:ascii="宋体" w:hAnsi="宋体"/>
      <w:sz w:val="24"/>
      <w:szCs w:val="20"/>
    </w:rPr>
  </w:style>
  <w:style w:type="paragraph" w:customStyle="1" w:styleId="393">
    <w:name w:val="7"/>
    <w:basedOn w:val="1"/>
    <w:next w:val="70"/>
    <w:qFormat/>
    <w:uiPriority w:val="0"/>
    <w:pPr>
      <w:tabs>
        <w:tab w:val="left" w:pos="624"/>
        <w:tab w:val="left" w:pos="705"/>
      </w:tabs>
      <w:adjustRightInd w:val="0"/>
      <w:snapToGrid w:val="0"/>
      <w:spacing w:before="120" w:after="120" w:line="440" w:lineRule="exact"/>
      <w:ind w:right="91" w:firstLine="573" w:firstLineChars="200"/>
    </w:pPr>
    <w:rPr>
      <w:rFonts w:ascii="仿宋_GB2312" w:eastAsia="仿宋_GB2312"/>
      <w:snapToGrid w:val="0"/>
      <w:kern w:val="0"/>
      <w:sz w:val="28"/>
      <w:szCs w:val="20"/>
    </w:rPr>
  </w:style>
  <w:style w:type="paragraph" w:customStyle="1" w:styleId="394">
    <w:name w:val="6"/>
    <w:basedOn w:val="1"/>
    <w:next w:val="35"/>
    <w:qFormat/>
    <w:uiPriority w:val="0"/>
    <w:pPr>
      <w:adjustRightInd w:val="0"/>
      <w:snapToGrid w:val="0"/>
      <w:spacing w:before="120" w:after="120" w:line="360" w:lineRule="auto"/>
      <w:ind w:left="420" w:leftChars="200" w:firstLine="200" w:firstLineChars="200"/>
    </w:pPr>
    <w:rPr>
      <w:sz w:val="24"/>
    </w:rPr>
  </w:style>
  <w:style w:type="character" w:customStyle="1" w:styleId="395">
    <w:name w:val="fs121"/>
    <w:semiHidden/>
    <w:qFormat/>
    <w:uiPriority w:val="0"/>
    <w:rPr>
      <w:sz w:val="18"/>
      <w:szCs w:val="18"/>
    </w:rPr>
  </w:style>
  <w:style w:type="character" w:customStyle="1" w:styleId="396">
    <w:name w:val="bb1"/>
    <w:semiHidden/>
    <w:qFormat/>
    <w:uiPriority w:val="0"/>
    <w:rPr>
      <w:color w:val="000000"/>
      <w:sz w:val="18"/>
      <w:szCs w:val="18"/>
    </w:rPr>
  </w:style>
  <w:style w:type="character" w:customStyle="1" w:styleId="397">
    <w:name w:val="font21"/>
    <w:semiHidden/>
    <w:qFormat/>
    <w:uiPriority w:val="0"/>
    <w:rPr>
      <w:rFonts w:hint="eastAsia" w:ascii="宋体" w:hAnsi="宋体" w:eastAsia="宋体"/>
      <w:color w:val="000000"/>
      <w:sz w:val="21"/>
      <w:szCs w:val="21"/>
    </w:rPr>
  </w:style>
  <w:style w:type="character" w:customStyle="1" w:styleId="398">
    <w:name w:val="font11"/>
    <w:semiHidden/>
    <w:qFormat/>
    <w:uiPriority w:val="0"/>
    <w:rPr>
      <w:rFonts w:hint="eastAsia" w:ascii="宋体" w:hAnsi="宋体" w:eastAsia="宋体"/>
      <w:color w:val="000000"/>
      <w:sz w:val="18"/>
      <w:szCs w:val="18"/>
    </w:rPr>
  </w:style>
  <w:style w:type="character" w:customStyle="1" w:styleId="399">
    <w:name w:val="bigtitle1"/>
    <w:semiHidden/>
    <w:qFormat/>
    <w:uiPriority w:val="0"/>
    <w:rPr>
      <w:b/>
      <w:bCs/>
      <w:color w:val="0000FF"/>
      <w:sz w:val="24"/>
      <w:szCs w:val="24"/>
    </w:rPr>
  </w:style>
  <w:style w:type="character" w:customStyle="1" w:styleId="400">
    <w:name w:val="htmldw10292"/>
    <w:semiHidden/>
    <w:qFormat/>
    <w:uiPriority w:val="0"/>
  </w:style>
  <w:style w:type="character" w:customStyle="1" w:styleId="401">
    <w:name w:val="标题1"/>
    <w:qFormat/>
    <w:uiPriority w:val="0"/>
  </w:style>
  <w:style w:type="character" w:customStyle="1" w:styleId="402">
    <w:name w:val="contenttext11"/>
    <w:qFormat/>
    <w:uiPriority w:val="0"/>
    <w:rPr>
      <w:rFonts w:hint="eastAsia" w:ascii="宋体" w:hAnsi="宋体" w:eastAsia="宋体"/>
      <w:sz w:val="20"/>
      <w:szCs w:val="20"/>
    </w:rPr>
  </w:style>
  <w:style w:type="paragraph" w:customStyle="1" w:styleId="403">
    <w:name w:val="表头1"/>
    <w:basedOn w:val="1"/>
    <w:link w:val="1557"/>
    <w:qFormat/>
    <w:uiPriority w:val="0"/>
    <w:pPr>
      <w:adjustRightInd w:val="0"/>
      <w:snapToGrid w:val="0"/>
      <w:spacing w:before="120" w:after="120" w:line="360" w:lineRule="auto"/>
      <w:ind w:firstLine="200" w:firstLineChars="200"/>
      <w:jc w:val="center"/>
    </w:pPr>
    <w:rPr>
      <w:rFonts w:eastAsia="黑体"/>
      <w:sz w:val="24"/>
    </w:rPr>
  </w:style>
  <w:style w:type="character" w:customStyle="1" w:styleId="404">
    <w:name w:val="p91"/>
    <w:semiHidden/>
    <w:qFormat/>
    <w:uiPriority w:val="0"/>
    <w:rPr>
      <w:rFonts w:hint="default" w:ascii="ˎ̥" w:hAnsi="ˎ̥"/>
      <w:sz w:val="21"/>
      <w:szCs w:val="21"/>
    </w:rPr>
  </w:style>
  <w:style w:type="character" w:customStyle="1" w:styleId="405">
    <w:name w:val="wz1"/>
    <w:semiHidden/>
    <w:qFormat/>
    <w:uiPriority w:val="0"/>
    <w:rPr>
      <w:rFonts w:hint="default" w:ascii="ˎ̥" w:hAnsi="ˎ̥"/>
      <w:color w:val="000000"/>
      <w:sz w:val="22"/>
      <w:szCs w:val="22"/>
    </w:rPr>
  </w:style>
  <w:style w:type="character" w:customStyle="1" w:styleId="406">
    <w:name w:val="Char Char43"/>
    <w:qFormat/>
    <w:uiPriority w:val="0"/>
    <w:rPr>
      <w:rFonts w:ascii="Arial" w:hAnsi="Arial" w:eastAsia="黑体" w:cs="Arial"/>
      <w:b/>
      <w:bCs/>
      <w:kern w:val="2"/>
      <w:sz w:val="32"/>
      <w:szCs w:val="32"/>
      <w:lang w:val="en-US" w:eastAsia="zh-CN"/>
    </w:rPr>
  </w:style>
  <w:style w:type="character" w:customStyle="1" w:styleId="407">
    <w:name w:val="f9wen"/>
    <w:semiHidden/>
    <w:qFormat/>
    <w:uiPriority w:val="0"/>
  </w:style>
  <w:style w:type="character" w:customStyle="1" w:styleId="408">
    <w:name w:val="ww"/>
    <w:semiHidden/>
    <w:qFormat/>
    <w:uiPriority w:val="0"/>
  </w:style>
  <w:style w:type="character" w:customStyle="1" w:styleId="409">
    <w:name w:val="ftitle1"/>
    <w:semiHidden/>
    <w:qFormat/>
    <w:uiPriority w:val="0"/>
    <w:rPr>
      <w:b/>
      <w:bCs/>
      <w:color w:val="000000"/>
      <w:sz w:val="35"/>
      <w:szCs w:val="35"/>
    </w:rPr>
  </w:style>
  <w:style w:type="character" w:customStyle="1" w:styleId="410">
    <w:name w:val="fblack1"/>
    <w:semiHidden/>
    <w:qFormat/>
    <w:uiPriority w:val="0"/>
    <w:rPr>
      <w:color w:val="000000"/>
    </w:rPr>
  </w:style>
  <w:style w:type="character" w:customStyle="1" w:styleId="411">
    <w:name w:val="style51"/>
    <w:qFormat/>
    <w:uiPriority w:val="0"/>
    <w:rPr>
      <w:b/>
      <w:bCs/>
      <w:sz w:val="27"/>
      <w:szCs w:val="27"/>
    </w:rPr>
  </w:style>
  <w:style w:type="character" w:customStyle="1" w:styleId="412">
    <w:name w:val="style21"/>
    <w:qFormat/>
    <w:uiPriority w:val="0"/>
    <w:rPr>
      <w:sz w:val="18"/>
      <w:szCs w:val="18"/>
    </w:rPr>
  </w:style>
  <w:style w:type="character" w:customStyle="1" w:styleId="413">
    <w:name w:val="a11"/>
    <w:semiHidden/>
    <w:qFormat/>
    <w:uiPriority w:val="0"/>
    <w:rPr>
      <w:color w:val="000000"/>
      <w:sz w:val="18"/>
      <w:szCs w:val="18"/>
    </w:rPr>
  </w:style>
  <w:style w:type="character" w:customStyle="1" w:styleId="414">
    <w:name w:val="font51"/>
    <w:qFormat/>
    <w:uiPriority w:val="0"/>
    <w:rPr>
      <w:rFonts w:hint="eastAsia" w:ascii="宋体" w:hAnsi="宋体" w:eastAsia="宋体"/>
      <w:color w:val="000000"/>
      <w:sz w:val="21"/>
      <w:szCs w:val="21"/>
    </w:rPr>
  </w:style>
  <w:style w:type="character" w:customStyle="1" w:styleId="415">
    <w:name w:val="txt1"/>
    <w:semiHidden/>
    <w:qFormat/>
    <w:uiPriority w:val="0"/>
  </w:style>
  <w:style w:type="character" w:customStyle="1" w:styleId="416">
    <w:name w:val="style11"/>
    <w:qFormat/>
    <w:uiPriority w:val="0"/>
    <w:rPr>
      <w:b/>
      <w:bCs/>
      <w:sz w:val="27"/>
      <w:szCs w:val="27"/>
    </w:rPr>
  </w:style>
  <w:style w:type="paragraph" w:customStyle="1" w:styleId="417">
    <w:name w:val="a"/>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color w:val="000000"/>
      <w:kern w:val="0"/>
      <w:sz w:val="24"/>
    </w:rPr>
  </w:style>
  <w:style w:type="paragraph" w:customStyle="1" w:styleId="418">
    <w:name w:val="a0"/>
    <w:basedOn w:val="1"/>
    <w:semiHidden/>
    <w:qFormat/>
    <w:uiPriority w:val="0"/>
    <w:pPr>
      <w:widowControl/>
      <w:adjustRightInd w:val="0"/>
      <w:snapToGrid w:val="0"/>
      <w:spacing w:before="100" w:beforeAutospacing="1" w:after="100" w:afterAutospacing="1" w:line="360" w:lineRule="auto"/>
      <w:ind w:firstLine="200" w:firstLineChars="200"/>
      <w:jc w:val="left"/>
    </w:pPr>
    <w:rPr>
      <w:rFonts w:ascii="宋体" w:hAnsi="宋体"/>
      <w:color w:val="000000"/>
      <w:kern w:val="0"/>
      <w:sz w:val="24"/>
    </w:rPr>
  </w:style>
  <w:style w:type="character" w:customStyle="1" w:styleId="419">
    <w:name w:val="Char Char210"/>
    <w:semiHidden/>
    <w:qFormat/>
    <w:uiPriority w:val="0"/>
    <w:rPr>
      <w:rFonts w:eastAsia="宋体"/>
      <w:kern w:val="2"/>
      <w:sz w:val="21"/>
      <w:szCs w:val="24"/>
      <w:lang w:val="en-US" w:eastAsia="zh-CN" w:bidi="ar-SA"/>
    </w:rPr>
  </w:style>
  <w:style w:type="paragraph" w:customStyle="1" w:styleId="420">
    <w:name w:val="c_"/>
    <w:semiHidden/>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421">
    <w:name w:val="正文段落"/>
    <w:basedOn w:val="1"/>
    <w:qFormat/>
    <w:uiPriority w:val="0"/>
    <w:pPr>
      <w:adjustRightInd w:val="0"/>
      <w:snapToGrid w:val="0"/>
      <w:spacing w:beforeLines="50" w:afterLines="50" w:line="360" w:lineRule="auto"/>
      <w:ind w:firstLine="200" w:firstLineChars="200"/>
    </w:pPr>
    <w:rPr>
      <w:rFonts w:ascii="Arial" w:hAnsi="Arial" w:cs="Arial"/>
      <w:sz w:val="24"/>
    </w:rPr>
  </w:style>
  <w:style w:type="paragraph" w:customStyle="1" w:styleId="422">
    <w:name w:val="CM6"/>
    <w:basedOn w:val="1"/>
    <w:next w:val="1"/>
    <w:semiHidden/>
    <w:qFormat/>
    <w:uiPriority w:val="0"/>
    <w:pPr>
      <w:autoSpaceDE w:val="0"/>
      <w:autoSpaceDN w:val="0"/>
      <w:adjustRightInd w:val="0"/>
      <w:snapToGrid w:val="0"/>
      <w:spacing w:before="120" w:after="120" w:line="316" w:lineRule="atLeast"/>
      <w:ind w:firstLine="200" w:firstLineChars="200"/>
      <w:jc w:val="left"/>
    </w:pPr>
    <w:rPr>
      <w:rFonts w:ascii="..ì." w:eastAsia="..ì."/>
      <w:kern w:val="0"/>
      <w:sz w:val="24"/>
    </w:rPr>
  </w:style>
  <w:style w:type="paragraph" w:customStyle="1" w:styleId="423">
    <w:name w:val="深圳"/>
    <w:basedOn w:val="422"/>
    <w:semiHidden/>
    <w:qFormat/>
    <w:uiPriority w:val="0"/>
    <w:pPr>
      <w:spacing w:beforeLines="50" w:afterLines="50" w:line="360" w:lineRule="auto"/>
      <w:ind w:firstLine="425"/>
      <w:jc w:val="both"/>
    </w:pPr>
    <w:rPr>
      <w:rFonts w:ascii="Times New Roman" w:eastAsia="宋体" w:cs="..ì."/>
      <w:color w:val="000000"/>
      <w:sz w:val="21"/>
      <w:szCs w:val="21"/>
    </w:rPr>
  </w:style>
  <w:style w:type="paragraph" w:customStyle="1" w:styleId="424">
    <w:name w:val="MTDisplayEquation"/>
    <w:basedOn w:val="1"/>
    <w:next w:val="1"/>
    <w:semiHidden/>
    <w:qFormat/>
    <w:uiPriority w:val="0"/>
    <w:pPr>
      <w:tabs>
        <w:tab w:val="center" w:pos="4160"/>
        <w:tab w:val="right" w:pos="8320"/>
      </w:tabs>
      <w:adjustRightInd w:val="0"/>
      <w:snapToGrid w:val="0"/>
      <w:spacing w:beforeLines="50" w:line="360" w:lineRule="auto"/>
      <w:ind w:firstLine="480" w:firstLineChars="200"/>
    </w:pPr>
    <w:rPr>
      <w:sz w:val="24"/>
      <w:szCs w:val="22"/>
    </w:rPr>
  </w:style>
  <w:style w:type="paragraph" w:customStyle="1" w:styleId="425">
    <w:name w:val="样式 宋体 小四 首行缩进:  0.85 厘米 行距: 1.5 倍行距 Char"/>
    <w:basedOn w:val="1"/>
    <w:link w:val="430"/>
    <w:semiHidden/>
    <w:qFormat/>
    <w:uiPriority w:val="0"/>
    <w:pPr>
      <w:adjustRightInd w:val="0"/>
      <w:snapToGrid w:val="0"/>
      <w:spacing w:beforeLines="50" w:afterLines="50" w:line="360" w:lineRule="auto"/>
      <w:ind w:firstLine="482" w:firstLineChars="200"/>
    </w:pPr>
    <w:rPr>
      <w:rFonts w:ascii="宋体"/>
      <w:sz w:val="24"/>
      <w:szCs w:val="20"/>
    </w:rPr>
  </w:style>
  <w:style w:type="paragraph" w:customStyle="1" w:styleId="426">
    <w:name w:val="标题3*"/>
    <w:basedOn w:val="6"/>
    <w:semiHidden/>
    <w:qFormat/>
    <w:uiPriority w:val="0"/>
    <w:pPr>
      <w:keepNext w:val="0"/>
      <w:keepLines w:val="0"/>
      <w:widowControl/>
      <w:tabs>
        <w:tab w:val="left" w:pos="-315"/>
        <w:tab w:val="left" w:pos="1260"/>
      </w:tabs>
      <w:overflowPunct w:val="0"/>
      <w:autoSpaceDE w:val="0"/>
      <w:autoSpaceDN w:val="0"/>
      <w:spacing w:before="120" w:after="120" w:line="420" w:lineRule="atLeast"/>
      <w:ind w:left="1260" w:hanging="420"/>
      <w:jc w:val="left"/>
      <w:textAlignment w:val="baseline"/>
    </w:pPr>
    <w:rPr>
      <w:rFonts w:ascii="黑体"/>
      <w:sz w:val="26"/>
      <w:szCs w:val="20"/>
    </w:rPr>
  </w:style>
  <w:style w:type="paragraph" w:customStyle="1" w:styleId="427">
    <w:name w:val="正文*"/>
    <w:basedOn w:val="1"/>
    <w:link w:val="428"/>
    <w:semiHidden/>
    <w:qFormat/>
    <w:uiPriority w:val="0"/>
    <w:pPr>
      <w:adjustRightInd w:val="0"/>
      <w:snapToGrid w:val="0"/>
      <w:spacing w:beforeLines="30" w:after="120" w:line="420" w:lineRule="exact"/>
      <w:ind w:firstLine="200" w:firstLineChars="200"/>
    </w:pPr>
    <w:rPr>
      <w:rFonts w:hAnsi="宋体"/>
      <w:sz w:val="24"/>
    </w:rPr>
  </w:style>
  <w:style w:type="character" w:customStyle="1" w:styleId="428">
    <w:name w:val="正文* Char"/>
    <w:link w:val="427"/>
    <w:semiHidden/>
    <w:qFormat/>
    <w:uiPriority w:val="0"/>
    <w:rPr>
      <w:rFonts w:ascii="Times New Roman" w:hAnsi="宋体" w:eastAsia="宋体" w:cs="Times New Roman"/>
      <w:sz w:val="24"/>
      <w:szCs w:val="24"/>
    </w:rPr>
  </w:style>
  <w:style w:type="paragraph" w:customStyle="1" w:styleId="429">
    <w:name w:val="Char Char1 Char Char Char Char Char Char Char Char Char Char Char Char Char"/>
    <w:basedOn w:val="1"/>
    <w:semiHidden/>
    <w:qFormat/>
    <w:uiPriority w:val="0"/>
    <w:pPr>
      <w:spacing w:line="360" w:lineRule="auto"/>
      <w:ind w:firstLine="200" w:firstLineChars="200"/>
    </w:pPr>
    <w:rPr>
      <w:rFonts w:ascii="宋体" w:hAnsi="宋体" w:cs="宋体"/>
      <w:sz w:val="24"/>
    </w:rPr>
  </w:style>
  <w:style w:type="character" w:customStyle="1" w:styleId="430">
    <w:name w:val="样式 宋体 小四 首行缩进:  0.85 厘米 行距: 1.5 倍行距 Char Char"/>
    <w:link w:val="425"/>
    <w:semiHidden/>
    <w:qFormat/>
    <w:uiPriority w:val="0"/>
    <w:rPr>
      <w:rFonts w:ascii="宋体" w:hAnsi="Times New Roman" w:eastAsia="宋体" w:cs="Times New Roman"/>
      <w:sz w:val="24"/>
      <w:szCs w:val="20"/>
    </w:rPr>
  </w:style>
  <w:style w:type="character" w:customStyle="1" w:styleId="431">
    <w:name w:val="文本 Char"/>
    <w:link w:val="204"/>
    <w:qFormat/>
    <w:uiPriority w:val="0"/>
    <w:rPr>
      <w:rFonts w:ascii="Times New Roman" w:hAnsi="Times New Roman" w:eastAsia="楷体_GB2312" w:cs="Times New Roman"/>
      <w:sz w:val="28"/>
      <w:szCs w:val="24"/>
    </w:rPr>
  </w:style>
  <w:style w:type="paragraph" w:customStyle="1" w:styleId="432">
    <w:name w:val="文字1"/>
    <w:basedOn w:val="1"/>
    <w:semiHidden/>
    <w:qFormat/>
    <w:uiPriority w:val="0"/>
    <w:pPr>
      <w:adjustRightInd w:val="0"/>
      <w:snapToGrid w:val="0"/>
      <w:spacing w:before="120" w:after="120" w:line="360" w:lineRule="auto"/>
      <w:ind w:firstLine="200" w:firstLineChars="200"/>
    </w:pPr>
    <w:rPr>
      <w:rFonts w:ascii="仿宋_GB2312" w:hAnsi="宋体" w:eastAsia="仿宋_GB2312"/>
      <w:sz w:val="24"/>
    </w:rPr>
  </w:style>
  <w:style w:type="paragraph" w:customStyle="1" w:styleId="433">
    <w:name w:val="Char1"/>
    <w:basedOn w:val="1"/>
    <w:qFormat/>
    <w:uiPriority w:val="0"/>
    <w:pPr>
      <w:adjustRightInd w:val="0"/>
      <w:snapToGrid w:val="0"/>
      <w:spacing w:before="120" w:after="120" w:line="360" w:lineRule="auto"/>
      <w:ind w:firstLine="200" w:firstLineChars="200"/>
    </w:pPr>
    <w:rPr>
      <w:rFonts w:ascii="仿宋_GB2312" w:eastAsia="仿宋_GB2312"/>
      <w:b/>
      <w:sz w:val="32"/>
      <w:szCs w:val="32"/>
    </w:rPr>
  </w:style>
  <w:style w:type="paragraph" w:customStyle="1" w:styleId="434">
    <w:name w:val="日期2"/>
    <w:basedOn w:val="1"/>
    <w:next w:val="1"/>
    <w:semiHidden/>
    <w:qFormat/>
    <w:uiPriority w:val="0"/>
    <w:pPr>
      <w:adjustRightInd w:val="0"/>
      <w:snapToGrid w:val="0"/>
      <w:spacing w:before="120" w:after="120" w:line="360" w:lineRule="auto"/>
      <w:ind w:firstLine="200" w:firstLineChars="200"/>
      <w:textAlignment w:val="baseline"/>
    </w:pPr>
    <w:rPr>
      <w:sz w:val="24"/>
      <w:szCs w:val="20"/>
    </w:rPr>
  </w:style>
  <w:style w:type="character" w:customStyle="1" w:styleId="435">
    <w:name w:val="Char Char3"/>
    <w:qFormat/>
    <w:uiPriority w:val="0"/>
    <w:rPr>
      <w:rFonts w:ascii="Arial" w:hAnsi="Arial" w:eastAsia="黑体"/>
      <w:b/>
      <w:bCs/>
      <w:kern w:val="2"/>
      <w:sz w:val="32"/>
      <w:szCs w:val="32"/>
      <w:lang w:val="en-US" w:eastAsia="zh-CN" w:bidi="ar-SA"/>
    </w:rPr>
  </w:style>
  <w:style w:type="character" w:customStyle="1" w:styleId="436">
    <w:name w:val="Char Char21"/>
    <w:qFormat/>
    <w:uiPriority w:val="0"/>
    <w:rPr>
      <w:rFonts w:eastAsia="宋体"/>
      <w:kern w:val="2"/>
      <w:sz w:val="21"/>
      <w:szCs w:val="24"/>
      <w:lang w:val="en-US" w:eastAsia="zh-CN" w:bidi="ar-SA"/>
    </w:rPr>
  </w:style>
  <w:style w:type="character" w:customStyle="1" w:styleId="437">
    <w:name w:val="Char Char113"/>
    <w:qFormat/>
    <w:uiPriority w:val="0"/>
    <w:rPr>
      <w:rFonts w:eastAsia="宋体"/>
      <w:kern w:val="2"/>
      <w:sz w:val="21"/>
      <w:szCs w:val="24"/>
      <w:lang w:val="en-US" w:eastAsia="zh-CN" w:bidi="ar-SA"/>
    </w:rPr>
  </w:style>
  <w:style w:type="paragraph" w:customStyle="1" w:styleId="438">
    <w:name w:val="Char11"/>
    <w:basedOn w:val="1"/>
    <w:qFormat/>
    <w:uiPriority w:val="0"/>
    <w:pPr>
      <w:adjustRightInd w:val="0"/>
      <w:snapToGrid w:val="0"/>
      <w:spacing w:before="120" w:after="120" w:line="360" w:lineRule="auto"/>
      <w:ind w:firstLine="200" w:firstLineChars="200"/>
    </w:pPr>
    <w:rPr>
      <w:rFonts w:ascii="仿宋_GB2312" w:eastAsia="仿宋_GB2312"/>
      <w:b/>
      <w:sz w:val="32"/>
      <w:szCs w:val="32"/>
    </w:rPr>
  </w:style>
  <w:style w:type="paragraph" w:customStyle="1" w:styleId="439">
    <w:name w:val="Char Char Char Char1"/>
    <w:basedOn w:val="1"/>
    <w:semiHidden/>
    <w:qFormat/>
    <w:uiPriority w:val="0"/>
    <w:pPr>
      <w:adjustRightInd w:val="0"/>
      <w:snapToGrid w:val="0"/>
      <w:spacing w:before="120" w:after="120" w:line="360" w:lineRule="auto"/>
      <w:ind w:firstLine="200" w:firstLineChars="200"/>
    </w:pPr>
    <w:rPr>
      <w:sz w:val="24"/>
    </w:rPr>
  </w:style>
  <w:style w:type="character" w:customStyle="1" w:styleId="440">
    <w:name w:val="a2"/>
    <w:semiHidden/>
    <w:qFormat/>
    <w:uiPriority w:val="0"/>
  </w:style>
  <w:style w:type="paragraph" w:customStyle="1" w:styleId="441">
    <w:name w:val="Char Char Char Char Char Char Char Char Char Char Char Char Char1"/>
    <w:basedOn w:val="1"/>
    <w:semiHidden/>
    <w:qFormat/>
    <w:uiPriority w:val="0"/>
    <w:pPr>
      <w:adjustRightInd w:val="0"/>
      <w:snapToGrid w:val="0"/>
      <w:spacing w:before="120" w:after="120" w:line="360" w:lineRule="auto"/>
      <w:ind w:firstLine="200" w:firstLineChars="200"/>
    </w:pPr>
    <w:rPr>
      <w:sz w:val="24"/>
    </w:rPr>
  </w:style>
  <w:style w:type="paragraph" w:customStyle="1" w:styleId="442">
    <w:name w:val="Char Char Char Char Char2 Char Char Char Char"/>
    <w:basedOn w:val="1"/>
    <w:semiHidden/>
    <w:qFormat/>
    <w:uiPriority w:val="0"/>
    <w:pPr>
      <w:adjustRightInd w:val="0"/>
      <w:snapToGrid w:val="0"/>
      <w:spacing w:before="120" w:after="120" w:line="360" w:lineRule="auto"/>
      <w:ind w:firstLine="200" w:firstLineChars="200"/>
    </w:pPr>
    <w:rPr>
      <w:sz w:val="24"/>
    </w:rPr>
  </w:style>
  <w:style w:type="paragraph" w:customStyle="1" w:styleId="443">
    <w:name w:val="Char Char Char Char2"/>
    <w:basedOn w:val="1"/>
    <w:semiHidden/>
    <w:qFormat/>
    <w:uiPriority w:val="0"/>
    <w:pPr>
      <w:adjustRightInd w:val="0"/>
      <w:snapToGrid w:val="0"/>
      <w:spacing w:before="120" w:after="120" w:line="360" w:lineRule="auto"/>
      <w:ind w:firstLine="200" w:firstLineChars="200"/>
    </w:pPr>
    <w:rPr>
      <w:sz w:val="24"/>
    </w:rPr>
  </w:style>
  <w:style w:type="character" w:customStyle="1" w:styleId="444">
    <w:name w:val="style731"/>
    <w:semiHidden/>
    <w:qFormat/>
    <w:uiPriority w:val="0"/>
    <w:rPr>
      <w:sz w:val="22"/>
      <w:szCs w:val="22"/>
    </w:rPr>
  </w:style>
  <w:style w:type="paragraph" w:customStyle="1" w:styleId="445">
    <w:name w:val="日期3"/>
    <w:basedOn w:val="1"/>
    <w:next w:val="1"/>
    <w:semiHidden/>
    <w:qFormat/>
    <w:uiPriority w:val="0"/>
    <w:pPr>
      <w:adjustRightInd w:val="0"/>
      <w:textAlignment w:val="baseline"/>
    </w:pPr>
    <w:rPr>
      <w:szCs w:val="20"/>
    </w:rPr>
  </w:style>
  <w:style w:type="paragraph" w:customStyle="1" w:styleId="446">
    <w:name w:val="Char Char Char Char Char2 Char Char Char Char Char Char"/>
    <w:basedOn w:val="1"/>
    <w:semiHidden/>
    <w:qFormat/>
    <w:uiPriority w:val="0"/>
  </w:style>
  <w:style w:type="character" w:customStyle="1" w:styleId="447">
    <w:name w:val="四 Char Char Char Char"/>
    <w:semiHidden/>
    <w:qFormat/>
    <w:uiPriority w:val="0"/>
    <w:rPr>
      <w:rFonts w:ascii="Arial" w:hAnsi="Arial" w:eastAsia="黑体"/>
      <w:b/>
      <w:bCs/>
      <w:kern w:val="2"/>
      <w:sz w:val="28"/>
      <w:szCs w:val="28"/>
      <w:lang w:val="en-US" w:eastAsia="zh-CN" w:bidi="ar-SA"/>
    </w:rPr>
  </w:style>
  <w:style w:type="paragraph" w:customStyle="1" w:styleId="448">
    <w:name w:val="Char Char Char Char Char2 Char Char Char Char Char Char Char"/>
    <w:basedOn w:val="1"/>
    <w:semiHidden/>
    <w:qFormat/>
    <w:uiPriority w:val="0"/>
  </w:style>
  <w:style w:type="paragraph" w:customStyle="1" w:styleId="449">
    <w:name w:val="列表-4"/>
    <w:basedOn w:val="1"/>
    <w:semiHidden/>
    <w:qFormat/>
    <w:uiPriority w:val="0"/>
    <w:pPr>
      <w:spacing w:line="400" w:lineRule="atLeast"/>
    </w:pPr>
    <w:rPr>
      <w:sz w:val="24"/>
      <w:szCs w:val="20"/>
    </w:rPr>
  </w:style>
  <w:style w:type="paragraph" w:customStyle="1" w:styleId="450">
    <w:name w:val="Char Char Char Char Char2 Char Char Char Char Char Char Char Char Char"/>
    <w:basedOn w:val="1"/>
    <w:semiHidden/>
    <w:qFormat/>
    <w:uiPriority w:val="0"/>
  </w:style>
  <w:style w:type="paragraph" w:customStyle="1" w:styleId="451">
    <w:name w:val="报告书表格"/>
    <w:basedOn w:val="1"/>
    <w:link w:val="719"/>
    <w:qFormat/>
    <w:uiPriority w:val="0"/>
    <w:pPr>
      <w:adjustRightInd w:val="0"/>
      <w:spacing w:before="60" w:after="60" w:line="240" w:lineRule="atLeast"/>
      <w:jc w:val="center"/>
      <w:textAlignment w:val="baseline"/>
    </w:pPr>
    <w:rPr>
      <w:kern w:val="0"/>
      <w:szCs w:val="20"/>
    </w:rPr>
  </w:style>
  <w:style w:type="paragraph" w:customStyle="1" w:styleId="452">
    <w:name w:val="Char Char Char Char Char Char Char Char Char Char Char Char Char2"/>
    <w:basedOn w:val="1"/>
    <w:semiHidden/>
    <w:qFormat/>
    <w:uiPriority w:val="0"/>
  </w:style>
  <w:style w:type="paragraph" w:customStyle="1" w:styleId="453">
    <w:name w:val="Char Char Char Char3"/>
    <w:basedOn w:val="1"/>
    <w:semiHidden/>
    <w:qFormat/>
    <w:uiPriority w:val="0"/>
  </w:style>
  <w:style w:type="paragraph" w:customStyle="1" w:styleId="454">
    <w:name w:val="表格文字1"/>
    <w:basedOn w:val="1"/>
    <w:qFormat/>
    <w:uiPriority w:val="0"/>
    <w:pPr>
      <w:snapToGrid w:val="0"/>
      <w:spacing w:line="360" w:lineRule="atLeast"/>
      <w:jc w:val="center"/>
    </w:pPr>
    <w:rPr>
      <w:spacing w:val="-6"/>
      <w:sz w:val="18"/>
      <w:szCs w:val="20"/>
    </w:rPr>
  </w:style>
  <w:style w:type="paragraph" w:customStyle="1" w:styleId="455">
    <w:name w:val="Char Char Char Char4"/>
    <w:basedOn w:val="1"/>
    <w:semiHidden/>
    <w:qFormat/>
    <w:uiPriority w:val="0"/>
  </w:style>
  <w:style w:type="paragraph" w:customStyle="1" w:styleId="456">
    <w:name w:val="Char Char Char Char Char Char Char Char Char Char Char Char Char3"/>
    <w:basedOn w:val="1"/>
    <w:semiHidden/>
    <w:qFormat/>
    <w:uiPriority w:val="0"/>
  </w:style>
  <w:style w:type="paragraph" w:customStyle="1" w:styleId="457">
    <w:name w:val="Char Char Char1 Char Char Char Char1"/>
    <w:basedOn w:val="1"/>
    <w:semiHidden/>
    <w:qFormat/>
    <w:uiPriority w:val="0"/>
    <w:pPr>
      <w:spacing w:line="360" w:lineRule="auto"/>
    </w:pPr>
  </w:style>
  <w:style w:type="paragraph" w:customStyle="1" w:styleId="458">
    <w:name w:val="Char2"/>
    <w:basedOn w:val="1"/>
    <w:semiHidden/>
    <w:qFormat/>
    <w:uiPriority w:val="0"/>
    <w:pPr>
      <w:autoSpaceDE w:val="0"/>
      <w:autoSpaceDN w:val="0"/>
      <w:adjustRightInd w:val="0"/>
      <w:spacing w:line="360" w:lineRule="auto"/>
      <w:ind w:firstLine="200" w:firstLineChars="200"/>
      <w:jc w:val="left"/>
    </w:pPr>
    <w:rPr>
      <w:rFonts w:ascii="宋体" w:hAnsi="宋体" w:cs="宋体"/>
      <w:sz w:val="24"/>
    </w:rPr>
  </w:style>
  <w:style w:type="paragraph" w:customStyle="1" w:styleId="459">
    <w:name w:val="Char Char Char Char5"/>
    <w:basedOn w:val="1"/>
    <w:semiHidden/>
    <w:qFormat/>
    <w:uiPriority w:val="0"/>
  </w:style>
  <w:style w:type="paragraph" w:customStyle="1" w:styleId="460">
    <w:name w:val="Char Char Char1 Char Char Char Char2"/>
    <w:basedOn w:val="1"/>
    <w:semiHidden/>
    <w:qFormat/>
    <w:uiPriority w:val="0"/>
    <w:pPr>
      <w:spacing w:line="360" w:lineRule="auto"/>
    </w:pPr>
  </w:style>
  <w:style w:type="paragraph" w:customStyle="1" w:styleId="461">
    <w:name w:val="日期4"/>
    <w:basedOn w:val="1"/>
    <w:next w:val="1"/>
    <w:semiHidden/>
    <w:qFormat/>
    <w:uiPriority w:val="0"/>
    <w:pPr>
      <w:adjustRightInd w:val="0"/>
      <w:textAlignment w:val="baseline"/>
    </w:pPr>
    <w:rPr>
      <w:szCs w:val="20"/>
    </w:rPr>
  </w:style>
  <w:style w:type="paragraph" w:customStyle="1" w:styleId="462">
    <w:name w:val="页眉3"/>
    <w:basedOn w:val="1"/>
    <w:semiHidden/>
    <w:qFormat/>
    <w:uiPriority w:val="0"/>
    <w:pPr>
      <w:widowControl/>
      <w:spacing w:before="100" w:beforeAutospacing="1" w:after="100" w:afterAutospacing="1"/>
      <w:jc w:val="left"/>
    </w:pPr>
    <w:rPr>
      <w:rFonts w:ascii="宋体" w:hAnsi="宋体"/>
      <w:b/>
      <w:bCs/>
      <w:color w:val="CC3300"/>
      <w:kern w:val="0"/>
      <w:sz w:val="24"/>
    </w:rPr>
  </w:style>
  <w:style w:type="character" w:customStyle="1" w:styleId="463">
    <w:name w:val="Char Char1"/>
    <w:semiHidden/>
    <w:qFormat/>
    <w:uiPriority w:val="0"/>
    <w:rPr>
      <w:rFonts w:eastAsia="宋体"/>
      <w:kern w:val="2"/>
      <w:sz w:val="21"/>
      <w:szCs w:val="24"/>
      <w:lang w:val="en-US" w:eastAsia="zh-CN" w:bidi="ar-SA"/>
    </w:rPr>
  </w:style>
  <w:style w:type="paragraph" w:customStyle="1" w:styleId="464">
    <w:name w:val="日期5"/>
    <w:basedOn w:val="1"/>
    <w:next w:val="1"/>
    <w:semiHidden/>
    <w:qFormat/>
    <w:uiPriority w:val="0"/>
    <w:pPr>
      <w:adjustRightInd w:val="0"/>
      <w:textAlignment w:val="baseline"/>
    </w:pPr>
    <w:rPr>
      <w:szCs w:val="20"/>
    </w:rPr>
  </w:style>
  <w:style w:type="paragraph" w:customStyle="1" w:styleId="465">
    <w:name w:val="节名"/>
    <w:basedOn w:val="1"/>
    <w:semiHidden/>
    <w:qFormat/>
    <w:uiPriority w:val="0"/>
    <w:pPr>
      <w:keepNext/>
      <w:keepLines/>
      <w:tabs>
        <w:tab w:val="left" w:pos="0"/>
      </w:tabs>
      <w:adjustRightInd w:val="0"/>
      <w:spacing w:before="120" w:line="415" w:lineRule="auto"/>
      <w:ind w:left="2323"/>
      <w:jc w:val="left"/>
      <w:textAlignment w:val="baseline"/>
      <w:outlineLvl w:val="2"/>
    </w:pPr>
    <w:rPr>
      <w:rFonts w:ascii="黑体" w:eastAsia="黑体"/>
      <w:b/>
      <w:bCs/>
      <w:sz w:val="32"/>
      <w:szCs w:val="32"/>
    </w:rPr>
  </w:style>
  <w:style w:type="paragraph" w:customStyle="1" w:styleId="466">
    <w:name w:val="默认段落字体 Para Char"/>
    <w:basedOn w:val="1"/>
    <w:next w:val="1"/>
    <w:qFormat/>
    <w:uiPriority w:val="0"/>
    <w:pPr>
      <w:spacing w:line="360" w:lineRule="auto"/>
      <w:ind w:firstLine="200" w:firstLineChars="200"/>
    </w:pPr>
    <w:rPr>
      <w:rFonts w:ascii="宋体" w:hAnsi="宋体" w:cs="宋体"/>
      <w:sz w:val="24"/>
    </w:rPr>
  </w:style>
  <w:style w:type="character" w:customStyle="1" w:styleId="467">
    <w:name w:val="p51"/>
    <w:semiHidden/>
    <w:qFormat/>
    <w:uiPriority w:val="0"/>
    <w:rPr>
      <w:sz w:val="21"/>
      <w:szCs w:val="21"/>
    </w:rPr>
  </w:style>
  <w:style w:type="paragraph" w:customStyle="1" w:styleId="468">
    <w:name w:val="条款"/>
    <w:basedOn w:val="1"/>
    <w:link w:val="469"/>
    <w:qFormat/>
    <w:uiPriority w:val="0"/>
    <w:pPr>
      <w:adjustRightInd w:val="0"/>
      <w:spacing w:beforeLines="50" w:afterLines="50" w:line="360" w:lineRule="auto"/>
      <w:ind w:left="600" w:leftChars="600"/>
      <w:jc w:val="left"/>
      <w:textAlignment w:val="baseline"/>
    </w:pPr>
    <w:rPr>
      <w:rFonts w:hAnsi="宋体"/>
      <w:sz w:val="24"/>
    </w:rPr>
  </w:style>
  <w:style w:type="character" w:customStyle="1" w:styleId="469">
    <w:name w:val="条款 Char"/>
    <w:link w:val="468"/>
    <w:qFormat/>
    <w:uiPriority w:val="0"/>
    <w:rPr>
      <w:rFonts w:ascii="Times New Roman" w:hAnsi="宋体" w:eastAsia="宋体" w:cs="Times New Roman"/>
      <w:sz w:val="24"/>
      <w:szCs w:val="24"/>
    </w:rPr>
  </w:style>
  <w:style w:type="paragraph" w:customStyle="1" w:styleId="470">
    <w:name w:val="Char Char Char1 Char Char Char Char7"/>
    <w:basedOn w:val="1"/>
    <w:semiHidden/>
    <w:qFormat/>
    <w:uiPriority w:val="0"/>
    <w:pPr>
      <w:spacing w:line="360" w:lineRule="auto"/>
    </w:pPr>
  </w:style>
  <w:style w:type="paragraph" w:customStyle="1" w:styleId="471">
    <w:name w:val="Char Char Char1 Char Char Char Char6"/>
    <w:basedOn w:val="1"/>
    <w:semiHidden/>
    <w:qFormat/>
    <w:uiPriority w:val="0"/>
    <w:pPr>
      <w:spacing w:line="360" w:lineRule="auto"/>
    </w:pPr>
  </w:style>
  <w:style w:type="paragraph" w:customStyle="1" w:styleId="472">
    <w:name w:val="Char Char Char1 Char Char Char Char5"/>
    <w:basedOn w:val="1"/>
    <w:semiHidden/>
    <w:qFormat/>
    <w:uiPriority w:val="0"/>
    <w:pPr>
      <w:spacing w:line="360" w:lineRule="auto"/>
    </w:pPr>
  </w:style>
  <w:style w:type="paragraph" w:customStyle="1" w:styleId="473">
    <w:name w:val="Char Char Char1 Char Char Char Char4"/>
    <w:basedOn w:val="1"/>
    <w:semiHidden/>
    <w:qFormat/>
    <w:uiPriority w:val="0"/>
    <w:pPr>
      <w:spacing w:line="360" w:lineRule="auto"/>
    </w:pPr>
  </w:style>
  <w:style w:type="paragraph" w:customStyle="1" w:styleId="474">
    <w:name w:val="Char Char Char1 Char Char Char Char3"/>
    <w:basedOn w:val="1"/>
    <w:semiHidden/>
    <w:qFormat/>
    <w:uiPriority w:val="0"/>
    <w:pPr>
      <w:spacing w:line="360" w:lineRule="auto"/>
    </w:pPr>
  </w:style>
  <w:style w:type="paragraph" w:customStyle="1" w:styleId="475">
    <w:name w:val="TOC 标题1"/>
    <w:basedOn w:val="4"/>
    <w:next w:val="1"/>
    <w:qFormat/>
    <w:uiPriority w:val="0"/>
    <w:pPr>
      <w:widowControl/>
      <w:spacing w:before="480" w:line="276" w:lineRule="auto"/>
      <w:outlineLvl w:val="9"/>
    </w:pPr>
    <w:rPr>
      <w:rFonts w:ascii="Cambria" w:hAnsi="Cambria"/>
      <w:color w:val="365F91"/>
      <w:kern w:val="0"/>
      <w:sz w:val="28"/>
      <w:szCs w:val="28"/>
    </w:rPr>
  </w:style>
  <w:style w:type="paragraph" w:customStyle="1" w:styleId="476">
    <w:name w:val="Char3"/>
    <w:basedOn w:val="1"/>
    <w:semiHidden/>
    <w:qFormat/>
    <w:uiPriority w:val="0"/>
  </w:style>
  <w:style w:type="character" w:customStyle="1" w:styleId="477">
    <w:name w:val="c1"/>
    <w:semiHidden/>
    <w:qFormat/>
    <w:uiPriority w:val="0"/>
    <w:rPr>
      <w:rFonts w:hint="default" w:ascii="ˎ̥" w:hAnsi="ˎ̥"/>
      <w:color w:val="000000"/>
      <w:sz w:val="21"/>
      <w:szCs w:val="21"/>
      <w:u w:val="none"/>
    </w:rPr>
  </w:style>
  <w:style w:type="paragraph" w:customStyle="1" w:styleId="478">
    <w:name w:val="Char Char Char1 Char Char Char Char10"/>
    <w:basedOn w:val="1"/>
    <w:semiHidden/>
    <w:qFormat/>
    <w:uiPriority w:val="0"/>
    <w:pPr>
      <w:spacing w:line="360" w:lineRule="auto"/>
    </w:pPr>
  </w:style>
  <w:style w:type="paragraph" w:customStyle="1" w:styleId="479">
    <w:name w:val="样式3"/>
    <w:basedOn w:val="5"/>
    <w:link w:val="693"/>
    <w:qFormat/>
    <w:uiPriority w:val="0"/>
    <w:pPr>
      <w:spacing w:beforeLines="100" w:afterLines="100" w:line="360" w:lineRule="auto"/>
      <w:outlineLvl w:val="9"/>
    </w:pPr>
    <w:rPr>
      <w:b/>
      <w:sz w:val="30"/>
      <w:szCs w:val="20"/>
    </w:rPr>
  </w:style>
  <w:style w:type="paragraph" w:customStyle="1" w:styleId="480">
    <w:name w:val="款名"/>
    <w:basedOn w:val="468"/>
    <w:link w:val="481"/>
    <w:semiHidden/>
    <w:qFormat/>
    <w:uiPriority w:val="0"/>
    <w:pPr>
      <w:spacing w:before="50" w:after="50"/>
      <w:ind w:left="0" w:leftChars="0"/>
    </w:pPr>
    <w:rPr>
      <w:b/>
    </w:rPr>
  </w:style>
  <w:style w:type="character" w:customStyle="1" w:styleId="481">
    <w:name w:val="款名 Char"/>
    <w:link w:val="480"/>
    <w:semiHidden/>
    <w:qFormat/>
    <w:uiPriority w:val="0"/>
    <w:rPr>
      <w:rFonts w:ascii="Times New Roman" w:hAnsi="宋体" w:eastAsia="宋体" w:cs="Times New Roman"/>
      <w:b/>
      <w:sz w:val="24"/>
      <w:szCs w:val="24"/>
    </w:rPr>
  </w:style>
  <w:style w:type="paragraph" w:customStyle="1" w:styleId="482">
    <w:name w:val="条名"/>
    <w:basedOn w:val="222"/>
    <w:link w:val="483"/>
    <w:semiHidden/>
    <w:qFormat/>
    <w:uiPriority w:val="0"/>
    <w:pPr>
      <w:keepNext/>
      <w:keepLines/>
      <w:numPr>
        <w:ilvl w:val="0"/>
        <w:numId w:val="3"/>
      </w:numPr>
      <w:adjustRightInd w:val="0"/>
      <w:ind w:firstLine="5"/>
      <w:jc w:val="left"/>
      <w:textAlignment w:val="baseline"/>
      <w:outlineLvl w:val="3"/>
    </w:pPr>
    <w:rPr>
      <w:rFonts w:ascii="Arial" w:hAnsi="Arial" w:cs="Arial"/>
      <w:bCs/>
      <w:color w:val="000000"/>
      <w:sz w:val="28"/>
      <w:szCs w:val="32"/>
    </w:rPr>
  </w:style>
  <w:style w:type="character" w:customStyle="1" w:styleId="483">
    <w:name w:val="条名 Char"/>
    <w:link w:val="482"/>
    <w:semiHidden/>
    <w:qFormat/>
    <w:uiPriority w:val="0"/>
    <w:rPr>
      <w:rFonts w:ascii="Arial" w:hAnsi="Arial" w:cs="Arial"/>
      <w:bCs/>
      <w:color w:val="000000"/>
      <w:kern w:val="2"/>
      <w:sz w:val="28"/>
      <w:szCs w:val="32"/>
    </w:rPr>
  </w:style>
  <w:style w:type="paragraph" w:customStyle="1" w:styleId="484">
    <w:name w:val="环评正文 Char Char Char Char"/>
    <w:semiHidden/>
    <w:qFormat/>
    <w:uiPriority w:val="0"/>
    <w:pPr>
      <w:spacing w:line="400" w:lineRule="exact"/>
      <w:ind w:firstLine="200" w:firstLineChars="200"/>
      <w:jc w:val="both"/>
    </w:pPr>
    <w:rPr>
      <w:rFonts w:ascii="Times New Roman" w:hAnsi="Times New Roman" w:eastAsia="宋体" w:cs="Times New Roman"/>
      <w:color w:val="000000"/>
      <w:kern w:val="21"/>
      <w:sz w:val="24"/>
      <w:szCs w:val="24"/>
      <w:lang w:val="en-US" w:eastAsia="zh-CN" w:bidi="ar-SA"/>
    </w:rPr>
  </w:style>
  <w:style w:type="paragraph" w:customStyle="1" w:styleId="485">
    <w:name w:val="Char Char1 Char Char Char Char Char Char Char Char Char Char Char Char Char3"/>
    <w:basedOn w:val="1"/>
    <w:semiHidden/>
    <w:qFormat/>
    <w:uiPriority w:val="0"/>
    <w:pPr>
      <w:spacing w:line="360" w:lineRule="auto"/>
      <w:ind w:firstLine="200" w:firstLineChars="200"/>
    </w:pPr>
    <w:rPr>
      <w:rFonts w:ascii="宋体" w:hAnsi="宋体" w:cs="宋体"/>
      <w:sz w:val="24"/>
    </w:rPr>
  </w:style>
  <w:style w:type="character" w:customStyle="1" w:styleId="486">
    <w:name w:val="newtitle1"/>
    <w:semiHidden/>
    <w:qFormat/>
    <w:uiPriority w:val="0"/>
    <w:rPr>
      <w:b/>
      <w:bCs/>
      <w:color w:val="104264"/>
    </w:rPr>
  </w:style>
  <w:style w:type="paragraph" w:customStyle="1" w:styleId="487">
    <w:name w:val="标准正文"/>
    <w:basedOn w:val="1"/>
    <w:qFormat/>
    <w:uiPriority w:val="0"/>
    <w:pPr>
      <w:tabs>
        <w:tab w:val="left" w:pos="5580"/>
      </w:tabs>
      <w:topLinePunct/>
      <w:spacing w:line="360" w:lineRule="auto"/>
      <w:ind w:firstLine="560" w:firstLineChars="200"/>
    </w:pPr>
    <w:rPr>
      <w:rFonts w:ascii="宋体" w:hAnsi="宋体"/>
      <w:sz w:val="28"/>
      <w:szCs w:val="20"/>
    </w:rPr>
  </w:style>
  <w:style w:type="character" w:customStyle="1" w:styleId="488">
    <w:name w:val="Char Char Char Char14"/>
    <w:semiHidden/>
    <w:qFormat/>
    <w:uiPriority w:val="0"/>
    <w:rPr>
      <w:rFonts w:eastAsia="宋体"/>
      <w:kern w:val="2"/>
      <w:sz w:val="24"/>
      <w:szCs w:val="24"/>
      <w:lang w:val="en-US" w:eastAsia="zh-CN" w:bidi="ar-SA"/>
    </w:rPr>
  </w:style>
  <w:style w:type="character" w:customStyle="1" w:styleId="489">
    <w:name w:val="正文文字缩进 Char Char"/>
    <w:qFormat/>
    <w:uiPriority w:val="0"/>
    <w:rPr>
      <w:rFonts w:ascii="华文中宋" w:hAnsi="华文中宋" w:eastAsia="华文中宋"/>
      <w:kern w:val="2"/>
      <w:sz w:val="21"/>
      <w:szCs w:val="24"/>
      <w:lang w:val="en-US" w:eastAsia="zh-CN" w:bidi="ar-SA"/>
    </w:rPr>
  </w:style>
  <w:style w:type="character" w:customStyle="1" w:styleId="490">
    <w:name w:val="Char Char24"/>
    <w:semiHidden/>
    <w:qFormat/>
    <w:uiPriority w:val="0"/>
    <w:rPr>
      <w:rFonts w:ascii="Arial" w:hAnsi="Arial" w:eastAsia="黑体"/>
      <w:b/>
      <w:bCs/>
      <w:kern w:val="2"/>
      <w:sz w:val="28"/>
      <w:szCs w:val="28"/>
      <w:lang w:val="en-US" w:eastAsia="zh-CN" w:bidi="ar-SA"/>
    </w:rPr>
  </w:style>
  <w:style w:type="character" w:customStyle="1" w:styleId="491">
    <w:name w:val="Char Char23"/>
    <w:qFormat/>
    <w:uiPriority w:val="0"/>
    <w:rPr>
      <w:rFonts w:eastAsia="宋体"/>
      <w:b/>
      <w:bCs/>
      <w:kern w:val="2"/>
      <w:sz w:val="28"/>
      <w:szCs w:val="28"/>
      <w:lang w:val="en-US" w:eastAsia="zh-CN" w:bidi="ar-SA"/>
    </w:rPr>
  </w:style>
  <w:style w:type="character" w:customStyle="1" w:styleId="492">
    <w:name w:val="Char Char22"/>
    <w:qFormat/>
    <w:uiPriority w:val="0"/>
    <w:rPr>
      <w:rFonts w:ascii="Calibri" w:hAnsi="Calibri" w:eastAsia="宋体"/>
      <w:kern w:val="2"/>
      <w:sz w:val="24"/>
      <w:lang w:val="en-US" w:eastAsia="zh-CN" w:bidi="ar-SA"/>
    </w:rPr>
  </w:style>
  <w:style w:type="character" w:customStyle="1" w:styleId="493">
    <w:name w:val="Char Char213"/>
    <w:qFormat/>
    <w:uiPriority w:val="0"/>
    <w:rPr>
      <w:rFonts w:ascii="Calibri" w:hAnsi="Calibri" w:eastAsia="宋体"/>
      <w:b/>
      <w:kern w:val="2"/>
      <w:sz w:val="24"/>
      <w:lang w:val="en-US" w:eastAsia="zh-CN" w:bidi="ar-SA"/>
    </w:rPr>
  </w:style>
  <w:style w:type="character" w:customStyle="1" w:styleId="494">
    <w:name w:val="Char Char20"/>
    <w:qFormat/>
    <w:uiPriority w:val="0"/>
    <w:rPr>
      <w:rFonts w:ascii="Arial" w:hAnsi="Arial" w:eastAsia="黑体"/>
      <w:kern w:val="2"/>
      <w:sz w:val="24"/>
      <w:lang w:val="en-US" w:eastAsia="zh-CN" w:bidi="ar-SA"/>
    </w:rPr>
  </w:style>
  <w:style w:type="paragraph" w:customStyle="1" w:styleId="495">
    <w:name w:val="A标题"/>
    <w:next w:val="1"/>
    <w:semiHidden/>
    <w:qFormat/>
    <w:uiPriority w:val="0"/>
    <w:pPr>
      <w:spacing w:before="100" w:beforeAutospacing="1" w:after="100" w:afterAutospacing="1" w:line="360" w:lineRule="auto"/>
      <w:jc w:val="center"/>
      <w:outlineLvl w:val="0"/>
    </w:pPr>
    <w:rPr>
      <w:rFonts w:ascii="Times New Roman" w:hAnsi="Times New Roman" w:eastAsia="黑体" w:cs="Times New Roman"/>
      <w:b/>
      <w:sz w:val="32"/>
      <w:lang w:val="en-US" w:eastAsia="zh-CN" w:bidi="ar-SA"/>
    </w:rPr>
  </w:style>
  <w:style w:type="paragraph" w:customStyle="1" w:styleId="496">
    <w:name w:val="表名和图名"/>
    <w:semiHidden/>
    <w:qFormat/>
    <w:uiPriority w:val="0"/>
    <w:pPr>
      <w:jc w:val="center"/>
    </w:pPr>
    <w:rPr>
      <w:rFonts w:ascii="Times New Roman" w:hAnsi="Times New Roman" w:eastAsia="宋体" w:cs="Times New Roman"/>
      <w:b/>
      <w:sz w:val="24"/>
      <w:lang w:val="en-US" w:eastAsia="zh-CN" w:bidi="ar-SA"/>
    </w:rPr>
  </w:style>
  <w:style w:type="character" w:customStyle="1" w:styleId="497">
    <w:name w:val="标题 3 Char1 Char Char Char Char"/>
    <w:qFormat/>
    <w:uiPriority w:val="0"/>
    <w:rPr>
      <w:rFonts w:ascii="宋体" w:hAnsi="宋体" w:eastAsia="宋体"/>
      <w:b/>
      <w:color w:val="000000"/>
      <w:sz w:val="24"/>
      <w:lang w:val="en-US" w:eastAsia="zh-CN"/>
    </w:rPr>
  </w:style>
  <w:style w:type="paragraph" w:customStyle="1" w:styleId="498">
    <w:name w:val="文字"/>
    <w:basedOn w:val="1"/>
    <w:link w:val="822"/>
    <w:qFormat/>
    <w:uiPriority w:val="0"/>
    <w:pPr>
      <w:adjustRightInd w:val="0"/>
      <w:snapToGrid w:val="0"/>
      <w:spacing w:before="120" w:after="120" w:line="360" w:lineRule="auto"/>
      <w:ind w:firstLine="200" w:firstLineChars="200"/>
    </w:pPr>
    <w:rPr>
      <w:rFonts w:ascii="仿宋_GB2312" w:hAnsi="宋体" w:eastAsia="仿宋_GB2312"/>
      <w:sz w:val="24"/>
      <w:szCs w:val="20"/>
    </w:rPr>
  </w:style>
  <w:style w:type="paragraph" w:customStyle="1" w:styleId="499">
    <w:name w:val="1"/>
    <w:basedOn w:val="1"/>
    <w:next w:val="35"/>
    <w:qFormat/>
    <w:uiPriority w:val="0"/>
    <w:pPr>
      <w:adjustRightInd w:val="0"/>
      <w:snapToGrid w:val="0"/>
      <w:spacing w:before="120" w:after="120" w:line="360" w:lineRule="auto"/>
      <w:ind w:firstLine="200" w:firstLineChars="200"/>
    </w:pPr>
    <w:rPr>
      <w:rFonts w:ascii="宋体" w:hAnsi="宋体"/>
      <w:sz w:val="24"/>
      <w:szCs w:val="20"/>
    </w:rPr>
  </w:style>
  <w:style w:type="paragraph" w:customStyle="1" w:styleId="500">
    <w:name w:val="默认段落字体 Para Char Char Char Char"/>
    <w:basedOn w:val="1"/>
    <w:qFormat/>
    <w:uiPriority w:val="0"/>
    <w:rPr>
      <w:sz w:val="24"/>
    </w:rPr>
  </w:style>
  <w:style w:type="character" w:customStyle="1" w:styleId="501">
    <w:name w:val="正文文字缩进 Char Char1"/>
    <w:qFormat/>
    <w:uiPriority w:val="0"/>
    <w:rPr>
      <w:rFonts w:eastAsia="宋体"/>
      <w:kern w:val="2"/>
      <w:sz w:val="28"/>
      <w:szCs w:val="24"/>
      <w:lang w:val="en-US" w:eastAsia="zh-CN" w:bidi="ar-SA"/>
    </w:rPr>
  </w:style>
  <w:style w:type="paragraph" w:customStyle="1" w:styleId="502">
    <w:name w:val="正文标准样式"/>
    <w:basedOn w:val="1"/>
    <w:qFormat/>
    <w:uiPriority w:val="0"/>
    <w:pPr>
      <w:adjustRightInd w:val="0"/>
      <w:spacing w:line="300" w:lineRule="auto"/>
      <w:ind w:firstLine="482"/>
      <w:textAlignment w:val="baseline"/>
    </w:pPr>
    <w:rPr>
      <w:kern w:val="0"/>
      <w:sz w:val="24"/>
      <w:szCs w:val="20"/>
    </w:rPr>
  </w:style>
  <w:style w:type="character" w:customStyle="1" w:styleId="503">
    <w:name w:val="正文文本 Char1"/>
    <w:link w:val="2"/>
    <w:qFormat/>
    <w:uiPriority w:val="0"/>
    <w:rPr>
      <w:rFonts w:ascii="Times New Roman" w:hAnsi="Times New Roman" w:eastAsia="宋体" w:cs="Times New Roman"/>
      <w:snapToGrid w:val="0"/>
      <w:kern w:val="0"/>
      <w:sz w:val="24"/>
      <w:szCs w:val="24"/>
    </w:rPr>
  </w:style>
  <w:style w:type="paragraph" w:customStyle="1" w:styleId="504">
    <w:name w:val="图片"/>
    <w:basedOn w:val="1"/>
    <w:qFormat/>
    <w:uiPriority w:val="0"/>
    <w:pPr>
      <w:spacing w:line="440" w:lineRule="exact"/>
    </w:pPr>
    <w:rPr>
      <w:sz w:val="24"/>
    </w:rPr>
  </w:style>
  <w:style w:type="character" w:customStyle="1" w:styleId="505">
    <w:name w:val="我的正文 Char1"/>
    <w:link w:val="380"/>
    <w:qFormat/>
    <w:uiPriority w:val="0"/>
    <w:rPr>
      <w:rFonts w:ascii="华文仿宋" w:hAnsi="华文仿宋" w:eastAsia="宋体" w:cs="Times New Roman"/>
      <w:sz w:val="24"/>
      <w:szCs w:val="24"/>
    </w:rPr>
  </w:style>
  <w:style w:type="character" w:customStyle="1" w:styleId="506">
    <w:name w:val="我的正文 Char"/>
    <w:semiHidden/>
    <w:qFormat/>
    <w:uiPriority w:val="0"/>
    <w:rPr>
      <w:rFonts w:eastAsia="宋体"/>
      <w:kern w:val="2"/>
      <w:sz w:val="28"/>
      <w:szCs w:val="24"/>
      <w:lang w:val="en-US" w:eastAsia="zh-CN" w:bidi="ar-SA"/>
    </w:rPr>
  </w:style>
  <w:style w:type="paragraph" w:customStyle="1" w:styleId="507">
    <w:name w:val="样式2"/>
    <w:basedOn w:val="1"/>
    <w:link w:val="1238"/>
    <w:qFormat/>
    <w:uiPriority w:val="0"/>
    <w:rPr>
      <w:rFonts w:ascii="黑体" w:eastAsia="黑体"/>
      <w:sz w:val="30"/>
    </w:rPr>
  </w:style>
  <w:style w:type="paragraph" w:customStyle="1" w:styleId="508">
    <w:name w:val="样式 首行缩进:  1.01 厘米"/>
    <w:basedOn w:val="1"/>
    <w:qFormat/>
    <w:uiPriority w:val="0"/>
    <w:pPr>
      <w:spacing w:line="360" w:lineRule="auto"/>
      <w:ind w:firstLine="741" w:firstLineChars="353"/>
    </w:pPr>
    <w:rPr>
      <w:rFonts w:ascii="黑体" w:hAnsi="宋体" w:eastAsia="黑体"/>
      <w:color w:val="000000"/>
      <w:szCs w:val="21"/>
    </w:rPr>
  </w:style>
  <w:style w:type="character" w:customStyle="1" w:styleId="509">
    <w:name w:val="样式 首行缩进:  1.01 厘米 Char"/>
    <w:qFormat/>
    <w:uiPriority w:val="0"/>
    <w:rPr>
      <w:rFonts w:ascii="宋体" w:hAnsi="宋体" w:eastAsia="宋体"/>
      <w:b/>
      <w:color w:val="000000"/>
      <w:kern w:val="2"/>
      <w:sz w:val="21"/>
      <w:szCs w:val="21"/>
      <w:lang w:val="en-US" w:eastAsia="zh-CN" w:bidi="ar-SA"/>
    </w:rPr>
  </w:style>
  <w:style w:type="paragraph" w:customStyle="1" w:styleId="510">
    <w:name w:val="样式 标题 1 + 三号 行距: 最小值 24 磅"/>
    <w:basedOn w:val="4"/>
    <w:qFormat/>
    <w:uiPriority w:val="0"/>
    <w:pPr>
      <w:tabs>
        <w:tab w:val="left" w:pos="238"/>
      </w:tabs>
      <w:spacing w:line="480" w:lineRule="auto"/>
    </w:pPr>
    <w:rPr>
      <w:kern w:val="0"/>
      <w:sz w:val="30"/>
      <w:szCs w:val="30"/>
    </w:rPr>
  </w:style>
  <w:style w:type="character" w:customStyle="1" w:styleId="511">
    <w:name w:val="样式 样式 首行缩进:  1.01 厘米 + Times New Roman Char"/>
    <w:qFormat/>
    <w:uiPriority w:val="0"/>
    <w:rPr>
      <w:rFonts w:eastAsia="宋体"/>
      <w:color w:val="000000"/>
      <w:kern w:val="2"/>
      <w:sz w:val="24"/>
      <w:szCs w:val="24"/>
      <w:lang w:val="en-US" w:eastAsia="zh-CN" w:bidi="ar-SA"/>
    </w:rPr>
  </w:style>
  <w:style w:type="paragraph" w:customStyle="1" w:styleId="512">
    <w:name w:val="样式 样式 首行缩进:  1.01 厘米 + Times New Roman"/>
    <w:basedOn w:val="508"/>
    <w:qFormat/>
    <w:uiPriority w:val="0"/>
    <w:pPr>
      <w:spacing w:line="240" w:lineRule="auto"/>
      <w:ind w:firstLine="0" w:firstLineChars="0"/>
    </w:pPr>
    <w:rPr>
      <w:rFonts w:ascii="Times New Roman" w:hAnsi="Times New Roman" w:eastAsia="宋体"/>
      <w:sz w:val="24"/>
      <w:szCs w:val="24"/>
    </w:rPr>
  </w:style>
  <w:style w:type="paragraph" w:customStyle="1" w:styleId="513">
    <w:name w:val="样式 标题 2标题 21标题 121 + Times New Roman 小三 非加粗 黑色 段前: 8 磅 段..."/>
    <w:basedOn w:val="5"/>
    <w:qFormat/>
    <w:uiPriority w:val="0"/>
    <w:pPr>
      <w:tabs>
        <w:tab w:val="left" w:pos="360"/>
      </w:tabs>
      <w:spacing w:before="160" w:after="160"/>
    </w:pPr>
    <w:rPr>
      <w:rFonts w:ascii="黑体"/>
      <w:color w:val="000000"/>
      <w:sz w:val="30"/>
      <w:szCs w:val="20"/>
    </w:rPr>
  </w:style>
  <w:style w:type="paragraph" w:customStyle="1" w:styleId="514">
    <w:name w:val="样式 样式 首行缩进:  1.01 厘米 + 首行缩进:  2 字符"/>
    <w:basedOn w:val="508"/>
    <w:qFormat/>
    <w:uiPriority w:val="0"/>
    <w:pPr>
      <w:ind w:firstLine="200"/>
    </w:pPr>
    <w:rPr>
      <w:szCs w:val="20"/>
    </w:rPr>
  </w:style>
  <w:style w:type="character" w:customStyle="1" w:styleId="515">
    <w:name w:val="样式 样式 首行缩进:  1.01 厘米 + 首行缩进:  2 字符 Char"/>
    <w:qFormat/>
    <w:uiPriority w:val="0"/>
  </w:style>
  <w:style w:type="paragraph" w:customStyle="1" w:styleId="516">
    <w:name w:val="日期6"/>
    <w:basedOn w:val="1"/>
    <w:next w:val="1"/>
    <w:semiHidden/>
    <w:qFormat/>
    <w:uiPriority w:val="0"/>
    <w:pPr>
      <w:autoSpaceDE w:val="0"/>
      <w:autoSpaceDN w:val="0"/>
      <w:adjustRightInd w:val="0"/>
      <w:textAlignment w:val="baseline"/>
    </w:pPr>
    <w:rPr>
      <w:spacing w:val="5"/>
      <w:kern w:val="0"/>
      <w:sz w:val="24"/>
      <w:szCs w:val="20"/>
    </w:rPr>
  </w:style>
  <w:style w:type="character" w:customStyle="1" w:styleId="517">
    <w:name w:val="正文 + 首行缩进:  2 字符 Char Char"/>
    <w:qFormat/>
    <w:uiPriority w:val="0"/>
    <w:rPr>
      <w:rFonts w:eastAsia="宋体" w:cs="宋体"/>
      <w:kern w:val="2"/>
      <w:sz w:val="24"/>
      <w:lang w:val="en-US" w:eastAsia="zh-CN" w:bidi="ar-SA"/>
    </w:rPr>
  </w:style>
  <w:style w:type="paragraph" w:customStyle="1" w:styleId="518">
    <w:name w:val="Char Char Char Char Char Char"/>
    <w:basedOn w:val="1"/>
    <w:semiHidden/>
    <w:qFormat/>
    <w:uiPriority w:val="0"/>
    <w:pPr>
      <w:spacing w:line="300" w:lineRule="auto"/>
      <w:ind w:firstLine="200" w:firstLineChars="200"/>
    </w:pPr>
    <w:rPr>
      <w:rFonts w:cs="宋体"/>
      <w:sz w:val="24"/>
    </w:rPr>
  </w:style>
  <w:style w:type="paragraph" w:customStyle="1" w:styleId="519">
    <w:name w:val="样式 正文缩进 + 首行缩进:  2 字符"/>
    <w:basedOn w:val="22"/>
    <w:link w:val="1064"/>
    <w:semiHidden/>
    <w:qFormat/>
    <w:uiPriority w:val="0"/>
    <w:pPr>
      <w:overflowPunct w:val="0"/>
      <w:autoSpaceDE w:val="0"/>
      <w:autoSpaceDN w:val="0"/>
      <w:spacing w:line="360" w:lineRule="auto"/>
      <w:ind w:left="56" w:firstLine="475" w:firstLineChars="198"/>
      <w:textAlignment w:val="bottom"/>
    </w:pPr>
    <w:rPr>
      <w:rFonts w:ascii="宋体" w:hAnsi="宋体"/>
      <w:kern w:val="0"/>
      <w:sz w:val="24"/>
    </w:rPr>
  </w:style>
  <w:style w:type="paragraph" w:customStyle="1" w:styleId="520">
    <w:name w:val="文章正文"/>
    <w:basedOn w:val="1"/>
    <w:link w:val="1345"/>
    <w:qFormat/>
    <w:uiPriority w:val="0"/>
    <w:pPr>
      <w:spacing w:beforeLines="50" w:afterLines="50" w:line="360" w:lineRule="auto"/>
      <w:ind w:firstLine="480" w:firstLineChars="200"/>
    </w:pPr>
    <w:rPr>
      <w:rFonts w:ascii="宋体" w:hAnsi="宋体"/>
      <w:sz w:val="24"/>
    </w:rPr>
  </w:style>
  <w:style w:type="paragraph" w:customStyle="1" w:styleId="521">
    <w:name w:val="自动表头"/>
    <w:basedOn w:val="1"/>
    <w:semiHidden/>
    <w:qFormat/>
    <w:uiPriority w:val="0"/>
    <w:pPr>
      <w:autoSpaceDE w:val="0"/>
      <w:autoSpaceDN w:val="0"/>
      <w:adjustRightInd w:val="0"/>
      <w:spacing w:line="360" w:lineRule="auto"/>
    </w:pPr>
    <w:rPr>
      <w:rFonts w:ascii="黑体" w:hAnsi="宋体" w:eastAsia="黑体"/>
      <w:color w:val="000000"/>
      <w:szCs w:val="21"/>
    </w:rPr>
  </w:style>
  <w:style w:type="paragraph" w:customStyle="1" w:styleId="522">
    <w:name w:val="自动表格内部"/>
    <w:basedOn w:val="1"/>
    <w:semiHidden/>
    <w:qFormat/>
    <w:uiPriority w:val="0"/>
    <w:pPr>
      <w:adjustRightInd w:val="0"/>
      <w:snapToGrid w:val="0"/>
      <w:jc w:val="center"/>
    </w:pPr>
    <w:rPr>
      <w:szCs w:val="21"/>
    </w:rPr>
  </w:style>
  <w:style w:type="paragraph" w:customStyle="1" w:styleId="523">
    <w:name w:val="xl62"/>
    <w:basedOn w:val="1"/>
    <w:qFormat/>
    <w:uiPriority w:val="0"/>
    <w:pPr>
      <w:widowControl/>
      <w:pBdr>
        <w:bottom w:val="single" w:color="auto" w:sz="4" w:space="0"/>
      </w:pBdr>
      <w:spacing w:before="100" w:after="100"/>
      <w:jc w:val="center"/>
    </w:pPr>
    <w:rPr>
      <w:rFonts w:hint="eastAsia" w:ascii="宋体" w:hAnsi="宋体"/>
      <w:kern w:val="0"/>
      <w:sz w:val="24"/>
      <w:szCs w:val="20"/>
    </w:rPr>
  </w:style>
  <w:style w:type="character" w:customStyle="1" w:styleId="524">
    <w:name w:val="bodyfont1"/>
    <w:qFormat/>
    <w:uiPriority w:val="0"/>
    <w:rPr>
      <w:sz w:val="17"/>
      <w:szCs w:val="17"/>
    </w:rPr>
  </w:style>
  <w:style w:type="paragraph" w:customStyle="1" w:styleId="525">
    <w:name w:val="标题2"/>
    <w:basedOn w:val="5"/>
    <w:link w:val="526"/>
    <w:semiHidden/>
    <w:qFormat/>
    <w:uiPriority w:val="0"/>
    <w:pPr>
      <w:widowControl/>
      <w:tabs>
        <w:tab w:val="left" w:pos="360"/>
      </w:tabs>
      <w:ind w:firstLine="425"/>
    </w:pPr>
    <w:rPr>
      <w:b/>
      <w:bCs w:val="0"/>
      <w:sz w:val="30"/>
      <w:szCs w:val="20"/>
    </w:rPr>
  </w:style>
  <w:style w:type="character" w:customStyle="1" w:styleId="526">
    <w:name w:val="标题2 Char"/>
    <w:link w:val="525"/>
    <w:semiHidden/>
    <w:qFormat/>
    <w:uiPriority w:val="0"/>
    <w:rPr>
      <w:rFonts w:ascii="Times New Roman" w:hAnsi="Times New Roman" w:eastAsia="黑体"/>
      <w:b/>
      <w:kern w:val="2"/>
      <w:sz w:val="30"/>
    </w:rPr>
  </w:style>
  <w:style w:type="paragraph" w:customStyle="1" w:styleId="527">
    <w:name w:val="样式 标题 3 + 加粗"/>
    <w:basedOn w:val="6"/>
    <w:semiHidden/>
    <w:qFormat/>
    <w:uiPriority w:val="0"/>
    <w:pPr>
      <w:keepNext w:val="0"/>
      <w:keepLines w:val="0"/>
      <w:jc w:val="left"/>
    </w:pPr>
    <w:rPr>
      <w:b/>
      <w:bCs w:val="0"/>
      <w:snapToGrid w:val="0"/>
      <w:kern w:val="0"/>
      <w:sz w:val="24"/>
      <w:szCs w:val="24"/>
    </w:rPr>
  </w:style>
  <w:style w:type="character" w:customStyle="1" w:styleId="528">
    <w:name w:val="样式 标题 3 + 加粗 Char"/>
    <w:semiHidden/>
    <w:qFormat/>
    <w:uiPriority w:val="0"/>
    <w:rPr>
      <w:rFonts w:eastAsia="宋体"/>
      <w:b/>
      <w:bCs/>
      <w:snapToGrid w:val="0"/>
      <w:spacing w:val="20"/>
      <w:sz w:val="24"/>
      <w:szCs w:val="24"/>
      <w:lang w:val="en-US" w:eastAsia="zh-CN" w:bidi="ar-SA"/>
    </w:rPr>
  </w:style>
  <w:style w:type="paragraph" w:customStyle="1" w:styleId="529">
    <w:name w:val="小表"/>
    <w:basedOn w:val="1"/>
    <w:qFormat/>
    <w:uiPriority w:val="0"/>
    <w:pPr>
      <w:widowControl/>
      <w:tabs>
        <w:tab w:val="left" w:pos="352"/>
      </w:tabs>
      <w:overflowPunct w:val="0"/>
      <w:autoSpaceDE w:val="0"/>
      <w:autoSpaceDN w:val="0"/>
      <w:adjustRightInd w:val="0"/>
      <w:jc w:val="center"/>
      <w:textAlignment w:val="bottom"/>
    </w:pPr>
    <w:rPr>
      <w:rFonts w:ascii="宋体" w:hAnsi="宋体"/>
      <w:kern w:val="0"/>
      <w:szCs w:val="20"/>
    </w:rPr>
  </w:style>
  <w:style w:type="paragraph" w:customStyle="1" w:styleId="530">
    <w:name w:val="我的标题1"/>
    <w:basedOn w:val="1"/>
    <w:semiHidden/>
    <w:qFormat/>
    <w:uiPriority w:val="0"/>
    <w:pPr>
      <w:spacing w:line="460" w:lineRule="exact"/>
      <w:ind w:firstLine="192" w:firstLineChars="192"/>
      <w:outlineLvl w:val="0"/>
    </w:pPr>
    <w:rPr>
      <w:rFonts w:ascii="黑体" w:eastAsia="黑体"/>
      <w:sz w:val="32"/>
    </w:rPr>
  </w:style>
  <w:style w:type="character" w:customStyle="1" w:styleId="531">
    <w:name w:val="p15"/>
    <w:qFormat/>
    <w:uiPriority w:val="0"/>
    <w:rPr>
      <w:rFonts w:ascii="宋体" w:hAnsi="宋体" w:eastAsia="宋体" w:cs="宋体"/>
      <w:kern w:val="2"/>
      <w:sz w:val="24"/>
      <w:szCs w:val="24"/>
      <w:lang w:val="en-US" w:eastAsia="zh-CN" w:bidi="ar-SA"/>
    </w:rPr>
  </w:style>
  <w:style w:type="character" w:customStyle="1" w:styleId="532">
    <w:name w:val="标题 13 Char Char"/>
    <w:qFormat/>
    <w:uiPriority w:val="0"/>
    <w:rPr>
      <w:rFonts w:ascii="Arial Unicode MS" w:hAnsi="Arial Unicode MS" w:eastAsia="Arial Unicode MS" w:cs="Arial Unicode MS"/>
      <w:b/>
      <w:bCs/>
      <w:color w:val="000000"/>
      <w:kern w:val="2"/>
      <w:sz w:val="27"/>
      <w:szCs w:val="27"/>
      <w:lang w:val="en-US" w:eastAsia="zh-CN" w:bidi="ar-SA"/>
    </w:rPr>
  </w:style>
  <w:style w:type="paragraph" w:customStyle="1" w:styleId="533">
    <w:name w:val="样式 左侧:  0 厘米 悬挂缩进: 5.96 字符 行距: 固定值 28 磅"/>
    <w:basedOn w:val="1"/>
    <w:qFormat/>
    <w:uiPriority w:val="0"/>
    <w:pPr>
      <w:spacing w:line="500" w:lineRule="exact"/>
    </w:pPr>
    <w:rPr>
      <w:rFonts w:cs="宋体"/>
      <w:sz w:val="28"/>
      <w:szCs w:val="20"/>
    </w:rPr>
  </w:style>
  <w:style w:type="paragraph" w:customStyle="1" w:styleId="534">
    <w:name w:val="样式 行距: 固定值 28 磅"/>
    <w:basedOn w:val="1"/>
    <w:qFormat/>
    <w:uiPriority w:val="0"/>
    <w:pPr>
      <w:spacing w:line="500" w:lineRule="exact"/>
      <w:ind w:firstLine="692" w:firstLineChars="250"/>
    </w:pPr>
    <w:rPr>
      <w:rFonts w:cs="宋体"/>
      <w:sz w:val="28"/>
      <w:szCs w:val="20"/>
    </w:rPr>
  </w:style>
  <w:style w:type="paragraph" w:customStyle="1" w:styleId="535">
    <w:name w:val="样式 样式 行距: 固定值 28 磅 + 首行缩进:  2.5 字符"/>
    <w:basedOn w:val="534"/>
    <w:qFormat/>
    <w:uiPriority w:val="0"/>
    <w:pPr>
      <w:spacing w:line="312" w:lineRule="auto"/>
    </w:pPr>
  </w:style>
  <w:style w:type="paragraph" w:customStyle="1" w:styleId="536">
    <w:name w:val="样式 样式 样式 行距: 固定值 28 磅 + 首行缩进:  2.5 字符 + 首行缩进:  2.5 字符"/>
    <w:basedOn w:val="535"/>
    <w:qFormat/>
    <w:uiPriority w:val="0"/>
    <w:pPr>
      <w:spacing w:line="500" w:lineRule="exact"/>
      <w:ind w:firstLine="250"/>
    </w:pPr>
  </w:style>
  <w:style w:type="paragraph" w:customStyle="1" w:styleId="537">
    <w:name w:val="样式 标题 2标题 21 + Times New Roman 小三 非加粗 行距: 最小值 24 磅"/>
    <w:basedOn w:val="5"/>
    <w:qFormat/>
    <w:uiPriority w:val="0"/>
    <w:pPr>
      <w:tabs>
        <w:tab w:val="left" w:pos="1320"/>
      </w:tabs>
      <w:spacing w:line="480" w:lineRule="atLeast"/>
      <w:ind w:left="1320" w:hanging="420"/>
    </w:pPr>
    <w:rPr>
      <w:rFonts w:cs="宋体"/>
      <w:b/>
      <w:bCs w:val="0"/>
      <w:sz w:val="30"/>
      <w:szCs w:val="20"/>
    </w:rPr>
  </w:style>
  <w:style w:type="paragraph" w:customStyle="1" w:styleId="538">
    <w:name w:val="样式 表格1 + 首行缩进:  2 字符"/>
    <w:basedOn w:val="198"/>
    <w:qFormat/>
    <w:uiPriority w:val="0"/>
    <w:pPr>
      <w:autoSpaceDE/>
      <w:autoSpaceDN/>
      <w:snapToGrid/>
      <w:spacing w:line="240" w:lineRule="auto"/>
      <w:textAlignment w:val="center"/>
    </w:pPr>
    <w:rPr>
      <w:rFonts w:hAnsi="宋体" w:cs="宋体"/>
      <w:color w:val="auto"/>
      <w:spacing w:val="0"/>
      <w:sz w:val="21"/>
      <w:szCs w:val="20"/>
    </w:rPr>
  </w:style>
  <w:style w:type="paragraph" w:customStyle="1" w:styleId="539">
    <w:name w:val="表头名称"/>
    <w:basedOn w:val="22"/>
    <w:qFormat/>
    <w:uiPriority w:val="0"/>
    <w:pPr>
      <w:autoSpaceDE w:val="0"/>
      <w:autoSpaceDN w:val="0"/>
      <w:adjustRightInd w:val="0"/>
      <w:spacing w:beforeLines="50" w:line="360" w:lineRule="auto"/>
      <w:ind w:firstLine="0" w:firstLineChars="0"/>
    </w:pPr>
    <w:rPr>
      <w:rFonts w:ascii="黑体" w:hAnsi="宋体" w:eastAsia="黑体"/>
      <w:kern w:val="0"/>
      <w:sz w:val="24"/>
      <w:szCs w:val="20"/>
    </w:rPr>
  </w:style>
  <w:style w:type="paragraph" w:customStyle="1" w:styleId="540">
    <w:name w:val="表格内容格式"/>
    <w:basedOn w:val="1"/>
    <w:qFormat/>
    <w:uiPriority w:val="0"/>
    <w:pPr>
      <w:adjustRightInd w:val="0"/>
      <w:spacing w:line="240" w:lineRule="atLeast"/>
      <w:textAlignment w:val="baseline"/>
    </w:pPr>
    <w:rPr>
      <w:rFonts w:ascii="宋体" w:hAnsi="宋体"/>
      <w:snapToGrid w:val="0"/>
      <w:color w:val="000000"/>
      <w:kern w:val="0"/>
      <w:szCs w:val="21"/>
    </w:rPr>
  </w:style>
  <w:style w:type="paragraph" w:customStyle="1" w:styleId="541">
    <w:name w:val="样式 标题 1 + 小四"/>
    <w:basedOn w:val="4"/>
    <w:qFormat/>
    <w:uiPriority w:val="0"/>
    <w:pPr>
      <w:spacing w:before="120" w:line="0" w:lineRule="atLeast"/>
      <w:ind w:left="851" w:hanging="851"/>
      <w:jc w:val="center"/>
    </w:pPr>
    <w:rPr>
      <w:sz w:val="30"/>
      <w:szCs w:val="20"/>
    </w:rPr>
  </w:style>
  <w:style w:type="paragraph" w:customStyle="1" w:styleId="542">
    <w:name w:val="样式 标题 2标题 21标题 121 + Times New Roman 小三 非加粗 黑色 段前: 8 磅 段...1"/>
    <w:basedOn w:val="5"/>
    <w:qFormat/>
    <w:uiPriority w:val="0"/>
    <w:pPr>
      <w:spacing w:before="160" w:after="160"/>
      <w:ind w:left="2507" w:hanging="1247"/>
    </w:pPr>
    <w:rPr>
      <w:b/>
      <w:bCs w:val="0"/>
      <w:color w:val="000000"/>
      <w:sz w:val="30"/>
      <w:szCs w:val="20"/>
    </w:rPr>
  </w:style>
  <w:style w:type="paragraph" w:customStyle="1" w:styleId="543">
    <w:name w:val="样式 标题 2标题 21标题 121 + Times New Roman 小三 非加粗 黑色 段前: 8 磅 段...2"/>
    <w:basedOn w:val="5"/>
    <w:qFormat/>
    <w:uiPriority w:val="0"/>
    <w:pPr>
      <w:tabs>
        <w:tab w:val="left" w:pos="992"/>
      </w:tabs>
      <w:spacing w:before="160" w:after="160"/>
      <w:ind w:left="992" w:hanging="567"/>
    </w:pPr>
    <w:rPr>
      <w:b/>
      <w:bCs w:val="0"/>
      <w:color w:val="000000"/>
      <w:sz w:val="30"/>
      <w:szCs w:val="20"/>
    </w:rPr>
  </w:style>
  <w:style w:type="paragraph" w:customStyle="1" w:styleId="544">
    <w:name w:val="样式 标题 4标题 14 + 加粗 无下划线 自动设置 段前: 3 磅 段后: 10 磅"/>
    <w:basedOn w:val="7"/>
    <w:qFormat/>
    <w:uiPriority w:val="0"/>
    <w:pPr>
      <w:keepLines w:val="0"/>
      <w:spacing w:before="60" w:after="200" w:line="240" w:lineRule="auto"/>
    </w:pPr>
    <w:rPr>
      <w:b/>
      <w:color w:val="000000"/>
      <w:szCs w:val="20"/>
    </w:rPr>
  </w:style>
  <w:style w:type="paragraph" w:customStyle="1" w:styleId="545">
    <w:name w:val="样式 标题 4标题 14 + 加粗 无下划线 自动设置 段前: 3 磅 段后: 10 磅1"/>
    <w:basedOn w:val="7"/>
    <w:qFormat/>
    <w:uiPriority w:val="0"/>
    <w:pPr>
      <w:keepLines w:val="0"/>
      <w:tabs>
        <w:tab w:val="left" w:pos="864"/>
      </w:tabs>
      <w:spacing w:before="60" w:after="200" w:line="240" w:lineRule="auto"/>
    </w:pPr>
    <w:rPr>
      <w:b/>
      <w:color w:val="000000"/>
      <w:szCs w:val="20"/>
    </w:rPr>
  </w:style>
  <w:style w:type="paragraph" w:customStyle="1" w:styleId="546">
    <w:name w:val="样式 标题 4标题 14 + 加粗 无下划线 自动设置 段前: 3 磅 段后: 10 磅2"/>
    <w:basedOn w:val="7"/>
    <w:qFormat/>
    <w:uiPriority w:val="0"/>
    <w:pPr>
      <w:keepLines w:val="0"/>
      <w:tabs>
        <w:tab w:val="left" w:pos="425"/>
      </w:tabs>
      <w:spacing w:before="60" w:after="200" w:line="240" w:lineRule="auto"/>
    </w:pPr>
    <w:rPr>
      <w:b/>
      <w:color w:val="000000"/>
      <w:szCs w:val="20"/>
    </w:rPr>
  </w:style>
  <w:style w:type="paragraph" w:customStyle="1" w:styleId="547">
    <w:name w:val="样式 样式 标题 4标题 14 + 自动设置 + 无下划线"/>
    <w:basedOn w:val="548"/>
    <w:qFormat/>
    <w:uiPriority w:val="0"/>
    <w:pPr>
      <w:tabs>
        <w:tab w:val="left" w:pos="864"/>
      </w:tabs>
    </w:pPr>
    <w:rPr>
      <w:u w:val="none"/>
    </w:rPr>
  </w:style>
  <w:style w:type="paragraph" w:customStyle="1" w:styleId="548">
    <w:name w:val="样式 标题 4标题 14 + 自动设置"/>
    <w:basedOn w:val="7"/>
    <w:qFormat/>
    <w:uiPriority w:val="0"/>
    <w:pPr>
      <w:keepLines w:val="0"/>
      <w:spacing w:line="240" w:lineRule="auto"/>
    </w:pPr>
    <w:rPr>
      <w:bCs w:val="0"/>
      <w:color w:val="000000"/>
      <w:szCs w:val="24"/>
      <w:u w:val="single"/>
    </w:rPr>
  </w:style>
  <w:style w:type="paragraph" w:customStyle="1" w:styleId="549">
    <w:name w:val="样式 标题 4标题 14 + 加粗 无下划线 自动设置 段前: 3 磅 段后: 10 磅4"/>
    <w:basedOn w:val="7"/>
    <w:qFormat/>
    <w:uiPriority w:val="0"/>
    <w:pPr>
      <w:keepLines w:val="0"/>
      <w:tabs>
        <w:tab w:val="left" w:pos="2400"/>
      </w:tabs>
      <w:spacing w:before="60" w:after="200" w:line="240" w:lineRule="auto"/>
      <w:ind w:left="2400" w:hanging="420"/>
    </w:pPr>
    <w:rPr>
      <w:b/>
      <w:color w:val="000000"/>
      <w:szCs w:val="20"/>
    </w:rPr>
  </w:style>
  <w:style w:type="paragraph" w:customStyle="1" w:styleId="550">
    <w:name w:val="正文 + 首行缩进:  2 字符 Char"/>
    <w:basedOn w:val="1"/>
    <w:semiHidden/>
    <w:qFormat/>
    <w:uiPriority w:val="0"/>
    <w:pPr>
      <w:ind w:firstLine="480" w:firstLineChars="200"/>
    </w:pPr>
    <w:rPr>
      <w:rFonts w:cs="宋体"/>
      <w:sz w:val="24"/>
      <w:szCs w:val="20"/>
    </w:rPr>
  </w:style>
  <w:style w:type="paragraph" w:customStyle="1" w:styleId="551">
    <w:name w:val="正文 + 首行缩进:  2 字符"/>
    <w:basedOn w:val="1"/>
    <w:qFormat/>
    <w:uiPriority w:val="0"/>
    <w:pPr>
      <w:ind w:firstLine="480" w:firstLineChars="200"/>
    </w:pPr>
    <w:rPr>
      <w:rFonts w:cs="宋体"/>
      <w:sz w:val="24"/>
      <w:szCs w:val="20"/>
    </w:rPr>
  </w:style>
  <w:style w:type="paragraph" w:customStyle="1" w:styleId="552">
    <w:name w:val="正文表格"/>
    <w:basedOn w:val="1"/>
    <w:qFormat/>
    <w:uiPriority w:val="0"/>
    <w:pPr>
      <w:keepNext/>
      <w:keepLines/>
      <w:tabs>
        <w:tab w:val="center" w:pos="6804"/>
      </w:tabs>
      <w:overflowPunct w:val="0"/>
      <w:adjustRightInd w:val="0"/>
      <w:spacing w:before="80"/>
      <w:jc w:val="center"/>
      <w:textAlignment w:val="bottom"/>
    </w:pPr>
    <w:rPr>
      <w:kern w:val="0"/>
      <w:sz w:val="24"/>
      <w:szCs w:val="20"/>
    </w:rPr>
  </w:style>
  <w:style w:type="paragraph" w:customStyle="1" w:styleId="553">
    <w:name w:val="样式 标题 4标题 14H4 + 小四 非加粗"/>
    <w:basedOn w:val="7"/>
    <w:qFormat/>
    <w:uiPriority w:val="0"/>
    <w:pPr>
      <w:tabs>
        <w:tab w:val="left" w:pos="2160"/>
      </w:tabs>
      <w:spacing w:line="377" w:lineRule="auto"/>
      <w:ind w:left="2160" w:hanging="420"/>
    </w:pPr>
    <w:rPr>
      <w:bCs w:val="0"/>
      <w:color w:val="000000"/>
    </w:rPr>
  </w:style>
  <w:style w:type="paragraph" w:customStyle="1" w:styleId="554">
    <w:name w:val="样式 小四 行距: 固定值 23 磅"/>
    <w:basedOn w:val="1"/>
    <w:qFormat/>
    <w:uiPriority w:val="0"/>
    <w:rPr>
      <w:sz w:val="28"/>
    </w:rPr>
  </w:style>
  <w:style w:type="paragraph" w:customStyle="1" w:styleId="555">
    <w:name w:val="样式 标题 2标题 21标题 121 + Times New Roman 小三 非加粗 黑色 段前: 8 磅 段...3"/>
    <w:basedOn w:val="1"/>
    <w:qFormat/>
    <w:uiPriority w:val="0"/>
    <w:pPr>
      <w:tabs>
        <w:tab w:val="left" w:pos="238"/>
      </w:tabs>
      <w:ind w:left="238"/>
    </w:pPr>
    <w:rPr>
      <w:sz w:val="28"/>
    </w:rPr>
  </w:style>
  <w:style w:type="paragraph" w:customStyle="1" w:styleId="556">
    <w:name w:val="图名称 Char Char Char Char Char Char Char Char Char Char"/>
    <w:basedOn w:val="1"/>
    <w:qFormat/>
    <w:uiPriority w:val="0"/>
    <w:pPr>
      <w:tabs>
        <w:tab w:val="left" w:pos="-120"/>
      </w:tabs>
      <w:spacing w:before="60" w:line="310" w:lineRule="atLeast"/>
      <w:jc w:val="center"/>
    </w:pPr>
    <w:rPr>
      <w:rFonts w:ascii="黑体" w:eastAsia="黑体"/>
      <w:b/>
      <w:bCs/>
      <w:kern w:val="0"/>
      <w:szCs w:val="28"/>
    </w:rPr>
  </w:style>
  <w:style w:type="paragraph" w:customStyle="1" w:styleId="557">
    <w:name w:val="表内小四中"/>
    <w:basedOn w:val="1"/>
    <w:qFormat/>
    <w:uiPriority w:val="0"/>
    <w:pPr>
      <w:adjustRightInd w:val="0"/>
      <w:snapToGrid w:val="0"/>
      <w:ind w:left="-4" w:leftChars="-2" w:right="-22" w:rightChars="-10"/>
      <w:jc w:val="center"/>
      <w:textAlignment w:val="baseline"/>
    </w:pPr>
    <w:rPr>
      <w:kern w:val="0"/>
      <w:sz w:val="24"/>
      <w:szCs w:val="20"/>
    </w:rPr>
  </w:style>
  <w:style w:type="paragraph" w:customStyle="1" w:styleId="558">
    <w:name w:val="表标题1"/>
    <w:basedOn w:val="1"/>
    <w:next w:val="1"/>
    <w:qFormat/>
    <w:uiPriority w:val="0"/>
    <w:pPr>
      <w:spacing w:beforeLines="50" w:after="120" w:line="300" w:lineRule="auto"/>
      <w:jc w:val="center"/>
    </w:pPr>
    <w:rPr>
      <w:sz w:val="24"/>
      <w:szCs w:val="20"/>
    </w:rPr>
  </w:style>
  <w:style w:type="paragraph" w:customStyle="1" w:styleId="559">
    <w:name w:val="样式 标题 2标题 21标题 121H2SeHead wsa2标题 1.1 + 小三 非加粗 段前: 12.5..."/>
    <w:basedOn w:val="5"/>
    <w:qFormat/>
    <w:uiPriority w:val="0"/>
    <w:pPr>
      <w:tabs>
        <w:tab w:val="left" w:pos="1320"/>
      </w:tabs>
      <w:spacing w:line="480" w:lineRule="auto"/>
    </w:pPr>
    <w:rPr>
      <w:rFonts w:cs="TimesNewRomanPSMT"/>
      <w:bCs w:val="0"/>
      <w:kern w:val="0"/>
      <w:sz w:val="28"/>
      <w:szCs w:val="28"/>
    </w:rPr>
  </w:style>
  <w:style w:type="paragraph" w:customStyle="1" w:styleId="560">
    <w:name w:val="表题 2"/>
    <w:basedOn w:val="1"/>
    <w:qFormat/>
    <w:uiPriority w:val="0"/>
    <w:pPr>
      <w:adjustRightInd w:val="0"/>
      <w:spacing w:before="120" w:after="120"/>
      <w:jc w:val="center"/>
      <w:textAlignment w:val="baseline"/>
    </w:pPr>
    <w:rPr>
      <w:kern w:val="0"/>
      <w:sz w:val="28"/>
      <w:szCs w:val="20"/>
    </w:rPr>
  </w:style>
  <w:style w:type="paragraph" w:customStyle="1" w:styleId="561">
    <w:name w:val="表格 2"/>
    <w:basedOn w:val="194"/>
    <w:qFormat/>
    <w:uiPriority w:val="0"/>
    <w:pPr>
      <w:autoSpaceDE w:val="0"/>
      <w:autoSpaceDN w:val="0"/>
      <w:textAlignment w:val="baseline"/>
    </w:pPr>
    <w:rPr>
      <w:kern w:val="0"/>
      <w:sz w:val="24"/>
    </w:rPr>
  </w:style>
  <w:style w:type="paragraph" w:customStyle="1" w:styleId="562">
    <w:name w:val="表格 3"/>
    <w:basedOn w:val="194"/>
    <w:qFormat/>
    <w:uiPriority w:val="0"/>
    <w:pPr>
      <w:autoSpaceDE w:val="0"/>
      <w:autoSpaceDN w:val="0"/>
    </w:pPr>
    <w:rPr>
      <w:kern w:val="0"/>
    </w:rPr>
  </w:style>
  <w:style w:type="paragraph" w:customStyle="1" w:styleId="563">
    <w:name w:val="Normal1"/>
    <w:semiHidden/>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564">
    <w:name w:val="Char14"/>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Normal Char"/>
    <w:link w:val="566"/>
    <w:semiHidden/>
    <w:qFormat/>
    <w:uiPriority w:val="0"/>
    <w:pPr>
      <w:widowControl w:val="0"/>
      <w:adjustRightInd w:val="0"/>
      <w:spacing w:line="360" w:lineRule="atLeast"/>
      <w:textAlignment w:val="baseline"/>
    </w:pPr>
    <w:rPr>
      <w:rFonts w:ascii="宋体" w:hAnsi="Times New Roman" w:eastAsia="宋体" w:cs="Times New Roman"/>
      <w:kern w:val="2"/>
      <w:sz w:val="34"/>
      <w:szCs w:val="24"/>
      <w:lang w:val="en-US" w:eastAsia="zh-CN" w:bidi="ar-SA"/>
    </w:rPr>
  </w:style>
  <w:style w:type="character" w:customStyle="1" w:styleId="566">
    <w:name w:val="Normal Char Char"/>
    <w:link w:val="565"/>
    <w:semiHidden/>
    <w:qFormat/>
    <w:uiPriority w:val="0"/>
    <w:rPr>
      <w:rFonts w:ascii="宋体" w:hAnsi="Times New Roman" w:eastAsia="宋体" w:cs="Times New Roman"/>
      <w:sz w:val="34"/>
      <w:szCs w:val="24"/>
    </w:rPr>
  </w:style>
  <w:style w:type="paragraph" w:customStyle="1" w:styleId="567">
    <w:name w:val="样式 表头 + Times New Roman 黑色"/>
    <w:basedOn w:val="202"/>
    <w:semiHidden/>
    <w:qFormat/>
    <w:uiPriority w:val="0"/>
    <w:pPr>
      <w:spacing w:beforeLines="30" w:line="240" w:lineRule="auto"/>
    </w:pPr>
    <w:rPr>
      <w:rFonts w:eastAsia="宋体"/>
      <w:b/>
      <w:bCs/>
      <w:color w:val="000000"/>
      <w:spacing w:val="0"/>
      <w:kern w:val="2"/>
      <w:sz w:val="24"/>
      <w:szCs w:val="24"/>
    </w:rPr>
  </w:style>
  <w:style w:type="paragraph" w:customStyle="1" w:styleId="568">
    <w:name w:val="样式 样式1 + 黑色"/>
    <w:basedOn w:val="192"/>
    <w:semiHidden/>
    <w:qFormat/>
    <w:uiPriority w:val="0"/>
    <w:pPr>
      <w:spacing w:line="480" w:lineRule="exact"/>
      <w:ind w:firstLine="480" w:firstLineChars="200"/>
    </w:pPr>
    <w:rPr>
      <w:rFonts w:eastAsia="宋体"/>
      <w:b w:val="0"/>
      <w:sz w:val="24"/>
    </w:rPr>
  </w:style>
  <w:style w:type="paragraph" w:customStyle="1" w:styleId="569">
    <w:name w:val="样式 标题 3 + Times New Roman 黑色 段前: 13 磅 段后: 13 磅 行距: 多倍行距 1.73..."/>
    <w:basedOn w:val="6"/>
    <w:semiHidden/>
    <w:qFormat/>
    <w:uiPriority w:val="0"/>
    <w:rPr>
      <w:color w:val="000000"/>
      <w:sz w:val="24"/>
      <w:szCs w:val="20"/>
    </w:rPr>
  </w:style>
  <w:style w:type="paragraph" w:customStyle="1" w:styleId="570">
    <w:name w:val="样式 标题 2 + Times New Roman 黑色 段前: 13 磅 段后: 13 磅 行距: 多倍行距 1.73..."/>
    <w:basedOn w:val="5"/>
    <w:semiHidden/>
    <w:qFormat/>
    <w:uiPriority w:val="0"/>
    <w:pPr>
      <w:spacing w:beforeLines="100" w:line="360" w:lineRule="auto"/>
    </w:pPr>
    <w:rPr>
      <w:b/>
      <w:bCs w:val="0"/>
      <w:color w:val="000000"/>
      <w:sz w:val="28"/>
      <w:szCs w:val="20"/>
    </w:rPr>
  </w:style>
  <w:style w:type="paragraph" w:customStyle="1" w:styleId="571">
    <w:name w:val="正文 Char Char Char Char"/>
    <w:basedOn w:val="1"/>
    <w:next w:val="1"/>
    <w:semiHidden/>
    <w:qFormat/>
    <w:uiPriority w:val="0"/>
    <w:pPr>
      <w:adjustRightInd w:val="0"/>
      <w:spacing w:line="360" w:lineRule="auto"/>
      <w:ind w:firstLine="482"/>
      <w:jc w:val="left"/>
      <w:textAlignment w:val="baseline"/>
    </w:pPr>
    <w:rPr>
      <w:rFonts w:ascii="宋体"/>
      <w:snapToGrid w:val="0"/>
      <w:kern w:val="21"/>
      <w:sz w:val="24"/>
    </w:rPr>
  </w:style>
  <w:style w:type="paragraph" w:customStyle="1" w:styleId="572">
    <w:name w:val="默认段落字体 Para Char Char Char1 Char Char Char Char"/>
    <w:basedOn w:val="51"/>
    <w:qFormat/>
    <w:uiPriority w:val="0"/>
    <w:pPr>
      <w:spacing w:after="0" w:line="360" w:lineRule="auto"/>
      <w:ind w:left="178" w:leftChars="85" w:firstLine="658" w:firstLineChars="235"/>
    </w:pPr>
    <w:rPr>
      <w:sz w:val="24"/>
    </w:rPr>
  </w:style>
  <w:style w:type="paragraph" w:customStyle="1" w:styleId="573">
    <w:name w:val="dandan6-13正文 Char Char Char Char Char"/>
    <w:basedOn w:val="1"/>
    <w:next w:val="1"/>
    <w:semiHidden/>
    <w:qFormat/>
    <w:uiPriority w:val="0"/>
    <w:pPr>
      <w:keepNext/>
      <w:keepLines/>
      <w:widowControl/>
      <w:adjustRightInd w:val="0"/>
      <w:spacing w:before="40" w:after="40" w:line="360" w:lineRule="auto"/>
      <w:ind w:firstLine="200" w:firstLineChars="200"/>
      <w:textAlignment w:val="baseline"/>
    </w:pPr>
    <w:rPr>
      <w:rFonts w:cs="宋体"/>
      <w:kern w:val="0"/>
      <w:sz w:val="24"/>
      <w:szCs w:val="28"/>
    </w:rPr>
  </w:style>
  <w:style w:type="paragraph" w:customStyle="1" w:styleId="574">
    <w:name w:val="样式 正文001 + 首行缩进:  2 字符"/>
    <w:basedOn w:val="1"/>
    <w:semiHidden/>
    <w:qFormat/>
    <w:uiPriority w:val="0"/>
    <w:pPr>
      <w:spacing w:line="500" w:lineRule="atLeast"/>
      <w:ind w:firstLine="480" w:firstLineChars="200"/>
    </w:pPr>
    <w:rPr>
      <w:sz w:val="24"/>
      <w:szCs w:val="20"/>
    </w:rPr>
  </w:style>
  <w:style w:type="paragraph" w:customStyle="1" w:styleId="575">
    <w:name w:val="figure1"/>
    <w:basedOn w:val="1"/>
    <w:semiHidden/>
    <w:qFormat/>
    <w:uiPriority w:val="0"/>
    <w:pPr>
      <w:spacing w:line="320" w:lineRule="atLeast"/>
      <w:ind w:firstLine="200" w:firstLineChars="200"/>
      <w:jc w:val="left"/>
    </w:pPr>
    <w:rPr>
      <w:snapToGrid w:val="0"/>
      <w:spacing w:val="-20"/>
      <w:kern w:val="0"/>
      <w:sz w:val="24"/>
    </w:rPr>
  </w:style>
  <w:style w:type="paragraph" w:customStyle="1" w:styleId="576">
    <w:name w:val="Char Char Char Char Char Char Char"/>
    <w:basedOn w:val="1"/>
    <w:qFormat/>
    <w:uiPriority w:val="0"/>
    <w:rPr>
      <w:sz w:val="24"/>
    </w:rPr>
  </w:style>
  <w:style w:type="paragraph" w:customStyle="1" w:styleId="577">
    <w:name w:val="陈光的正文"/>
    <w:basedOn w:val="1"/>
    <w:qFormat/>
    <w:uiPriority w:val="0"/>
    <w:pPr>
      <w:spacing w:line="360" w:lineRule="auto"/>
      <w:ind w:firstLine="567"/>
    </w:pPr>
    <w:rPr>
      <w:sz w:val="28"/>
      <w:szCs w:val="20"/>
    </w:rPr>
  </w:style>
  <w:style w:type="paragraph" w:customStyle="1" w:styleId="578">
    <w:name w:val="表格文字2"/>
    <w:basedOn w:val="1"/>
    <w:qFormat/>
    <w:uiPriority w:val="0"/>
    <w:pPr>
      <w:adjustRightInd w:val="0"/>
      <w:spacing w:before="60"/>
      <w:jc w:val="center"/>
      <w:textAlignment w:val="baseline"/>
    </w:pPr>
    <w:rPr>
      <w:rFonts w:ascii="宋体"/>
      <w:kern w:val="0"/>
      <w:szCs w:val="20"/>
    </w:rPr>
  </w:style>
  <w:style w:type="paragraph" w:customStyle="1" w:styleId="579">
    <w:name w:val="正文 宋体 小四 行距: 1.5 倍行距"/>
    <w:basedOn w:val="1"/>
    <w:semiHidden/>
    <w:qFormat/>
    <w:uiPriority w:val="0"/>
    <w:pPr>
      <w:adjustRightInd w:val="0"/>
      <w:snapToGrid w:val="0"/>
      <w:spacing w:line="360" w:lineRule="auto"/>
      <w:ind w:firstLine="200" w:firstLineChars="200"/>
    </w:pPr>
    <w:rPr>
      <w:rFonts w:ascii="宋体"/>
      <w:sz w:val="24"/>
      <w:szCs w:val="20"/>
    </w:rPr>
  </w:style>
  <w:style w:type="paragraph" w:customStyle="1" w:styleId="580">
    <w:name w:val="样式 黑色 首行缩进:  2 字符"/>
    <w:basedOn w:val="1"/>
    <w:semiHidden/>
    <w:qFormat/>
    <w:uiPriority w:val="0"/>
    <w:pPr>
      <w:spacing w:line="360" w:lineRule="exact"/>
      <w:ind w:firstLine="200" w:firstLineChars="200"/>
    </w:pPr>
    <w:rPr>
      <w:rFonts w:cs="宋体"/>
      <w:snapToGrid w:val="0"/>
      <w:color w:val="000000"/>
      <w:kern w:val="0"/>
      <w:sz w:val="24"/>
      <w:szCs w:val="20"/>
    </w:rPr>
  </w:style>
  <w:style w:type="character" w:customStyle="1" w:styleId="581">
    <w:name w:val="标题1.1.1.1.1 Char"/>
    <w:qFormat/>
    <w:uiPriority w:val="0"/>
    <w:rPr>
      <w:rFonts w:ascii="Calibri" w:hAnsi="Calibri" w:eastAsia="宋体"/>
      <w:b/>
      <w:bCs/>
      <w:kern w:val="2"/>
      <w:sz w:val="28"/>
      <w:szCs w:val="28"/>
      <w:lang w:val="en-US" w:eastAsia="zh-CN" w:bidi="ar-SA"/>
    </w:rPr>
  </w:style>
  <w:style w:type="paragraph" w:customStyle="1" w:styleId="582">
    <w:name w:val="Char1 Char Char Char Char Char Char Char Char Char Char Char Char"/>
    <w:basedOn w:val="1"/>
    <w:semiHidden/>
    <w:qFormat/>
    <w:uiPriority w:val="0"/>
  </w:style>
  <w:style w:type="character" w:customStyle="1" w:styleId="583">
    <w:name w:val="myfont"/>
    <w:qFormat/>
    <w:uiPriority w:val="0"/>
  </w:style>
  <w:style w:type="character" w:customStyle="1" w:styleId="584">
    <w:name w:val="页眉1 Char"/>
    <w:qFormat/>
    <w:uiPriority w:val="0"/>
    <w:rPr>
      <w:rFonts w:eastAsia="宋体"/>
      <w:kern w:val="2"/>
      <w:sz w:val="18"/>
      <w:szCs w:val="18"/>
      <w:lang w:val="en-US" w:eastAsia="zh-CN" w:bidi="ar-SA"/>
    </w:rPr>
  </w:style>
  <w:style w:type="paragraph" w:customStyle="1" w:styleId="585">
    <w:name w:val="样式13"/>
    <w:basedOn w:val="1"/>
    <w:qFormat/>
    <w:uiPriority w:val="0"/>
    <w:pPr>
      <w:spacing w:line="320" w:lineRule="exact"/>
      <w:jc w:val="center"/>
    </w:pPr>
    <w:rPr>
      <w:rFonts w:ascii="宋体" w:hAnsi="宋体"/>
      <w:sz w:val="24"/>
    </w:rPr>
  </w:style>
  <w:style w:type="paragraph" w:customStyle="1" w:styleId="586">
    <w:name w:val="nr"/>
    <w:basedOn w:val="1"/>
    <w:qFormat/>
    <w:uiPriority w:val="0"/>
    <w:pPr>
      <w:widowControl/>
      <w:spacing w:before="100" w:beforeAutospacing="1" w:after="100" w:afterAutospacing="1" w:line="320" w:lineRule="atLeast"/>
      <w:jc w:val="left"/>
    </w:pPr>
    <w:rPr>
      <w:rFonts w:hint="eastAsia" w:ascii="宋体" w:hAnsi="宋体"/>
      <w:color w:val="000000"/>
      <w:kern w:val="0"/>
      <w:sz w:val="22"/>
      <w:szCs w:val="22"/>
    </w:rPr>
  </w:style>
  <w:style w:type="character" w:customStyle="1" w:styleId="587">
    <w:name w:val="text11"/>
    <w:qFormat/>
    <w:uiPriority w:val="0"/>
    <w:rPr>
      <w:rFonts w:hint="eastAsia" w:ascii="宋" w:eastAsia="宋"/>
      <w:color w:val="000000"/>
      <w:sz w:val="18"/>
      <w:szCs w:val="18"/>
      <w:u w:val="none"/>
    </w:rPr>
  </w:style>
  <w:style w:type="character" w:customStyle="1" w:styleId="588">
    <w:name w:val="nr1"/>
    <w:qFormat/>
    <w:uiPriority w:val="0"/>
    <w:rPr>
      <w:rFonts w:hint="eastAsia" w:ascii="宋体" w:hAnsi="宋体" w:eastAsia="宋体"/>
      <w:color w:val="000000"/>
      <w:sz w:val="22"/>
      <w:szCs w:val="22"/>
    </w:rPr>
  </w:style>
  <w:style w:type="character" w:customStyle="1" w:styleId="589">
    <w:name w:val="标准 Char"/>
    <w:link w:val="309"/>
    <w:qFormat/>
    <w:uiPriority w:val="0"/>
    <w:rPr>
      <w:rFonts w:ascii="Times New Roman" w:hAnsi="Times New Roman" w:eastAsia="宋体" w:cs="Times New Roman"/>
      <w:kern w:val="0"/>
      <w:sz w:val="24"/>
      <w:szCs w:val="21"/>
    </w:rPr>
  </w:style>
  <w:style w:type="character" w:customStyle="1" w:styleId="590">
    <w:name w:val="正文首行缩进 2 Char"/>
    <w:qFormat/>
    <w:uiPriority w:val="0"/>
    <w:rPr>
      <w:rFonts w:ascii="Times New Roman" w:hAnsi="Times New Roman" w:eastAsia="宋体" w:cs="Times New Roman"/>
      <w:szCs w:val="24"/>
    </w:rPr>
  </w:style>
  <w:style w:type="character" w:customStyle="1" w:styleId="591">
    <w:name w:val="title11"/>
    <w:qFormat/>
    <w:uiPriority w:val="0"/>
    <w:rPr>
      <w:b/>
      <w:bCs/>
      <w:sz w:val="23"/>
      <w:szCs w:val="23"/>
    </w:rPr>
  </w:style>
  <w:style w:type="paragraph" w:customStyle="1" w:styleId="592">
    <w:name w:val="表格正文"/>
    <w:basedOn w:val="1"/>
    <w:link w:val="593"/>
    <w:qFormat/>
    <w:uiPriority w:val="0"/>
    <w:pPr>
      <w:adjustRightInd w:val="0"/>
      <w:spacing w:line="460" w:lineRule="exact"/>
      <w:jc w:val="left"/>
      <w:textAlignment w:val="baseline"/>
    </w:pPr>
    <w:rPr>
      <w:kern w:val="0"/>
      <w:sz w:val="24"/>
      <w:szCs w:val="20"/>
    </w:rPr>
  </w:style>
  <w:style w:type="character" w:customStyle="1" w:styleId="593">
    <w:name w:val="表格正文 Char"/>
    <w:link w:val="592"/>
    <w:qFormat/>
    <w:uiPriority w:val="0"/>
    <w:rPr>
      <w:rFonts w:ascii="Times New Roman" w:hAnsi="Times New Roman" w:eastAsia="宋体" w:cs="Times New Roman"/>
      <w:kern w:val="0"/>
      <w:sz w:val="24"/>
      <w:szCs w:val="20"/>
    </w:rPr>
  </w:style>
  <w:style w:type="paragraph" w:customStyle="1" w:styleId="594">
    <w:name w:val="正文报告"/>
    <w:basedOn w:val="1"/>
    <w:qFormat/>
    <w:uiPriority w:val="0"/>
    <w:pPr>
      <w:tabs>
        <w:tab w:val="left" w:pos="510"/>
      </w:tabs>
      <w:adjustRightInd w:val="0"/>
      <w:spacing w:line="460" w:lineRule="exact"/>
      <w:ind w:firstLine="482"/>
      <w:textAlignment w:val="baseline"/>
    </w:pPr>
    <w:rPr>
      <w:kern w:val="0"/>
      <w:sz w:val="24"/>
      <w:szCs w:val="20"/>
    </w:rPr>
  </w:style>
  <w:style w:type="paragraph" w:customStyle="1" w:styleId="595">
    <w:name w:val="符号"/>
    <w:basedOn w:val="1"/>
    <w:qFormat/>
    <w:uiPriority w:val="0"/>
    <w:pPr>
      <w:tabs>
        <w:tab w:val="left" w:pos="810"/>
        <w:tab w:val="left" w:pos="935"/>
      </w:tabs>
      <w:adjustRightInd w:val="0"/>
      <w:spacing w:line="460" w:lineRule="exact"/>
      <w:ind w:left="935" w:hanging="285"/>
      <w:jc w:val="left"/>
      <w:textAlignment w:val="baseline"/>
    </w:pPr>
    <w:rPr>
      <w:kern w:val="0"/>
      <w:sz w:val="24"/>
      <w:szCs w:val="20"/>
    </w:rPr>
  </w:style>
  <w:style w:type="paragraph" w:customStyle="1" w:styleId="596">
    <w:name w:val="项目"/>
    <w:basedOn w:val="1"/>
    <w:qFormat/>
    <w:uiPriority w:val="0"/>
    <w:pPr>
      <w:tabs>
        <w:tab w:val="left" w:pos="1290"/>
      </w:tabs>
      <w:spacing w:line="460" w:lineRule="exact"/>
      <w:ind w:left="1290" w:hanging="720"/>
      <w:jc w:val="center"/>
    </w:pPr>
    <w:rPr>
      <w:rFonts w:ascii="宋体"/>
      <w:spacing w:val="20"/>
      <w:sz w:val="24"/>
      <w:szCs w:val="20"/>
    </w:rPr>
  </w:style>
  <w:style w:type="paragraph" w:customStyle="1" w:styleId="597">
    <w:name w:val="支标题 a)"/>
    <w:basedOn w:val="1"/>
    <w:next w:val="1"/>
    <w:qFormat/>
    <w:uiPriority w:val="0"/>
    <w:pPr>
      <w:tabs>
        <w:tab w:val="left" w:pos="510"/>
        <w:tab w:val="left" w:pos="1097"/>
      </w:tabs>
      <w:autoSpaceDE w:val="0"/>
      <w:autoSpaceDN w:val="0"/>
      <w:adjustRightInd w:val="0"/>
      <w:spacing w:before="120" w:after="120" w:line="460" w:lineRule="exact"/>
      <w:ind w:left="284" w:firstLine="453"/>
      <w:jc w:val="left"/>
    </w:pPr>
    <w:rPr>
      <w:rFonts w:ascii="ZapfDingbats BT" w:hAnsi="ZapfDingbats BT"/>
      <w:kern w:val="0"/>
      <w:sz w:val="23"/>
      <w:szCs w:val="20"/>
    </w:rPr>
  </w:style>
  <w:style w:type="paragraph" w:customStyle="1" w:styleId="598">
    <w:name w:val="xl54"/>
    <w:basedOn w:val="1"/>
    <w:qFormat/>
    <w:uiPriority w:val="0"/>
    <w:pPr>
      <w:widowControl/>
      <w:pBdr>
        <w:top w:val="single" w:color="auto" w:sz="4" w:space="0"/>
        <w:left w:val="single" w:color="auto" w:sz="4" w:space="0"/>
        <w:bottom w:val="single" w:color="auto" w:sz="8" w:space="0"/>
        <w:right w:val="single" w:color="auto" w:sz="4" w:space="0"/>
      </w:pBdr>
      <w:spacing w:before="100" w:after="100"/>
      <w:jc w:val="center"/>
    </w:pPr>
    <w:rPr>
      <w:rFonts w:ascii="宋体" w:hAnsi="宋体"/>
      <w:kern w:val="0"/>
      <w:sz w:val="24"/>
      <w:szCs w:val="20"/>
    </w:rPr>
  </w:style>
  <w:style w:type="paragraph" w:customStyle="1" w:styleId="599">
    <w:name w:val="xl55"/>
    <w:basedOn w:val="1"/>
    <w:qFormat/>
    <w:uiPriority w:val="0"/>
    <w:pPr>
      <w:widowControl/>
      <w:pBdr>
        <w:top w:val="single" w:color="auto" w:sz="4" w:space="0"/>
        <w:left w:val="single" w:color="auto" w:sz="4" w:space="0"/>
        <w:bottom w:val="single" w:color="auto" w:sz="8" w:space="0"/>
        <w:right w:val="single" w:color="auto" w:sz="4" w:space="0"/>
      </w:pBdr>
      <w:spacing w:before="100" w:after="100"/>
      <w:jc w:val="center"/>
    </w:pPr>
    <w:rPr>
      <w:rFonts w:ascii="宋体" w:hAnsi="宋体"/>
      <w:color w:val="00FFFF"/>
      <w:kern w:val="0"/>
      <w:sz w:val="24"/>
      <w:szCs w:val="20"/>
    </w:rPr>
  </w:style>
  <w:style w:type="paragraph" w:customStyle="1" w:styleId="600">
    <w:name w:val="xl56"/>
    <w:basedOn w:val="1"/>
    <w:qFormat/>
    <w:uiPriority w:val="0"/>
    <w:pPr>
      <w:widowControl/>
      <w:pBdr>
        <w:top w:val="single" w:color="auto" w:sz="4" w:space="0"/>
        <w:left w:val="single" w:color="auto" w:sz="4" w:space="0"/>
        <w:bottom w:val="single" w:color="auto" w:sz="8" w:space="0"/>
      </w:pBdr>
      <w:spacing w:before="100" w:after="100"/>
      <w:jc w:val="center"/>
    </w:pPr>
    <w:rPr>
      <w:rFonts w:ascii="宋体" w:hAnsi="宋体"/>
      <w:color w:val="00FFFF"/>
      <w:kern w:val="0"/>
      <w:sz w:val="24"/>
      <w:szCs w:val="20"/>
    </w:rPr>
  </w:style>
  <w:style w:type="paragraph" w:customStyle="1" w:styleId="601">
    <w:name w:val="xl57"/>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kern w:val="0"/>
      <w:sz w:val="24"/>
      <w:szCs w:val="20"/>
    </w:rPr>
  </w:style>
  <w:style w:type="paragraph" w:customStyle="1" w:styleId="602">
    <w:name w:val="xl58"/>
    <w:basedOn w:val="1"/>
    <w:qFormat/>
    <w:uiPriority w:val="0"/>
    <w:pPr>
      <w:widowControl/>
      <w:pBdr>
        <w:top w:val="single" w:color="auto" w:sz="8" w:space="0"/>
        <w:left w:val="single" w:color="auto" w:sz="8" w:space="0"/>
        <w:right w:val="single" w:color="auto" w:sz="4" w:space="0"/>
      </w:pBdr>
      <w:spacing w:before="100" w:after="100"/>
      <w:jc w:val="left"/>
    </w:pPr>
    <w:rPr>
      <w:rFonts w:ascii="宋体" w:hAnsi="宋体"/>
      <w:kern w:val="0"/>
      <w:sz w:val="24"/>
      <w:szCs w:val="20"/>
    </w:rPr>
  </w:style>
  <w:style w:type="paragraph" w:customStyle="1" w:styleId="603">
    <w:name w:val="xl59"/>
    <w:basedOn w:val="1"/>
    <w:qFormat/>
    <w:uiPriority w:val="0"/>
    <w:pPr>
      <w:widowControl/>
      <w:pBdr>
        <w:top w:val="single" w:color="auto" w:sz="8" w:space="0"/>
        <w:left w:val="single" w:color="auto" w:sz="4" w:space="0"/>
        <w:bottom w:val="single" w:color="auto" w:sz="4" w:space="0"/>
        <w:right w:val="single" w:color="auto" w:sz="4" w:space="0"/>
      </w:pBdr>
      <w:spacing w:before="100" w:after="100"/>
      <w:jc w:val="center"/>
    </w:pPr>
    <w:rPr>
      <w:kern w:val="0"/>
      <w:sz w:val="24"/>
      <w:szCs w:val="20"/>
    </w:rPr>
  </w:style>
  <w:style w:type="paragraph" w:customStyle="1" w:styleId="604">
    <w:name w:val="xl60"/>
    <w:basedOn w:val="1"/>
    <w:qFormat/>
    <w:uiPriority w:val="0"/>
    <w:pPr>
      <w:widowControl/>
      <w:pBdr>
        <w:top w:val="single" w:color="auto" w:sz="8" w:space="0"/>
        <w:left w:val="single" w:color="auto" w:sz="4" w:space="0"/>
        <w:bottom w:val="single" w:color="auto" w:sz="4" w:space="0"/>
        <w:right w:val="single" w:color="auto" w:sz="8" w:space="0"/>
      </w:pBdr>
      <w:shd w:val="clear" w:color="auto" w:fill="FFFFFF"/>
      <w:spacing w:before="100" w:after="100"/>
      <w:jc w:val="center"/>
    </w:pPr>
    <w:rPr>
      <w:kern w:val="0"/>
      <w:sz w:val="24"/>
      <w:szCs w:val="20"/>
    </w:rPr>
  </w:style>
  <w:style w:type="paragraph" w:customStyle="1" w:styleId="605">
    <w:name w:val="xl61"/>
    <w:basedOn w:val="1"/>
    <w:qFormat/>
    <w:uiPriority w:val="0"/>
    <w:pPr>
      <w:widowControl/>
      <w:pBdr>
        <w:left w:val="single" w:color="auto" w:sz="8" w:space="0"/>
        <w:bottom w:val="single" w:color="auto" w:sz="4" w:space="0"/>
        <w:right w:val="single" w:color="auto" w:sz="4" w:space="0"/>
      </w:pBdr>
      <w:spacing w:before="100" w:after="100"/>
      <w:jc w:val="left"/>
    </w:pPr>
    <w:rPr>
      <w:rFonts w:ascii="宋体" w:hAnsi="宋体"/>
      <w:kern w:val="0"/>
      <w:sz w:val="24"/>
      <w:szCs w:val="20"/>
    </w:rPr>
  </w:style>
  <w:style w:type="paragraph" w:customStyle="1" w:styleId="606">
    <w:name w:val="xl64"/>
    <w:basedOn w:val="1"/>
    <w:qFormat/>
    <w:uiPriority w:val="0"/>
    <w:pPr>
      <w:widowControl/>
      <w:pBdr>
        <w:left w:val="single" w:color="auto" w:sz="4" w:space="0"/>
        <w:bottom w:val="single" w:color="auto" w:sz="4" w:space="0"/>
        <w:right w:val="single" w:color="auto" w:sz="4" w:space="0"/>
      </w:pBdr>
      <w:shd w:val="clear" w:color="auto" w:fill="FFFFFF"/>
      <w:spacing w:before="100" w:after="100"/>
      <w:jc w:val="center"/>
    </w:pPr>
    <w:rPr>
      <w:rFonts w:ascii="宋体" w:hAnsi="宋体"/>
      <w:kern w:val="0"/>
      <w:sz w:val="24"/>
      <w:szCs w:val="20"/>
    </w:rPr>
  </w:style>
  <w:style w:type="paragraph" w:customStyle="1" w:styleId="607">
    <w:name w:val="xl65"/>
    <w:basedOn w:val="1"/>
    <w:qFormat/>
    <w:uiPriority w:val="0"/>
    <w:pPr>
      <w:widowControl/>
      <w:pBdr>
        <w:top w:val="single" w:color="auto" w:sz="4" w:space="0"/>
        <w:left w:val="single" w:color="auto" w:sz="4" w:space="0"/>
        <w:bottom w:val="single" w:color="auto" w:sz="4" w:space="0"/>
        <w:right w:val="single" w:color="auto" w:sz="4" w:space="0"/>
      </w:pBdr>
      <w:spacing w:before="100" w:after="100"/>
      <w:jc w:val="left"/>
    </w:pPr>
    <w:rPr>
      <w:rFonts w:ascii="宋体" w:hAnsi="宋体"/>
      <w:kern w:val="0"/>
      <w:sz w:val="24"/>
      <w:szCs w:val="20"/>
    </w:rPr>
  </w:style>
  <w:style w:type="paragraph" w:customStyle="1" w:styleId="608">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after="100"/>
      <w:jc w:val="center"/>
    </w:pPr>
    <w:rPr>
      <w:rFonts w:ascii="宋体" w:hAnsi="宋体"/>
      <w:kern w:val="0"/>
      <w:sz w:val="24"/>
      <w:szCs w:val="20"/>
    </w:rPr>
  </w:style>
  <w:style w:type="paragraph" w:customStyle="1" w:styleId="609">
    <w:name w:val="xl67"/>
    <w:basedOn w:val="1"/>
    <w:qFormat/>
    <w:uiPriority w:val="0"/>
    <w:pPr>
      <w:widowControl/>
      <w:pBdr>
        <w:top w:val="single" w:color="auto" w:sz="4" w:space="0"/>
        <w:left w:val="single" w:color="auto" w:sz="4" w:space="0"/>
        <w:right w:val="single" w:color="auto" w:sz="4" w:space="0"/>
      </w:pBdr>
      <w:shd w:val="clear" w:color="auto" w:fill="FFFFFF"/>
      <w:spacing w:before="100" w:after="100"/>
      <w:jc w:val="center"/>
    </w:pPr>
    <w:rPr>
      <w:rFonts w:ascii="宋体" w:hAnsi="宋体"/>
      <w:kern w:val="0"/>
      <w:sz w:val="24"/>
      <w:szCs w:val="20"/>
    </w:rPr>
  </w:style>
  <w:style w:type="paragraph" w:customStyle="1" w:styleId="610">
    <w:name w:val="xl68"/>
    <w:basedOn w:val="1"/>
    <w:qFormat/>
    <w:uiPriority w:val="0"/>
    <w:pPr>
      <w:widowControl/>
      <w:pBdr>
        <w:top w:val="single" w:color="auto" w:sz="4" w:space="0"/>
        <w:left w:val="single" w:color="auto" w:sz="4" w:space="0"/>
        <w:bottom w:val="single" w:color="auto" w:sz="4" w:space="0"/>
        <w:right w:val="single" w:color="auto" w:sz="4" w:space="0"/>
      </w:pBdr>
      <w:spacing w:before="100" w:after="100"/>
      <w:jc w:val="center"/>
    </w:pPr>
    <w:rPr>
      <w:rFonts w:ascii="宋体" w:hAnsi="宋体"/>
      <w:color w:val="000000"/>
      <w:kern w:val="0"/>
      <w:sz w:val="24"/>
      <w:szCs w:val="20"/>
    </w:rPr>
  </w:style>
  <w:style w:type="paragraph" w:customStyle="1" w:styleId="611">
    <w:name w:val="font9"/>
    <w:basedOn w:val="1"/>
    <w:qFormat/>
    <w:uiPriority w:val="0"/>
    <w:pPr>
      <w:widowControl/>
      <w:spacing w:before="100" w:after="100"/>
      <w:jc w:val="left"/>
    </w:pPr>
    <w:rPr>
      <w:rFonts w:hint="eastAsia" w:ascii="宋体" w:hAnsi="宋体"/>
      <w:kern w:val="0"/>
      <w:sz w:val="20"/>
      <w:szCs w:val="20"/>
    </w:rPr>
  </w:style>
  <w:style w:type="paragraph" w:customStyle="1" w:styleId="612">
    <w:name w:val="font10"/>
    <w:basedOn w:val="1"/>
    <w:qFormat/>
    <w:uiPriority w:val="0"/>
    <w:pPr>
      <w:widowControl/>
      <w:spacing w:before="100" w:after="100"/>
      <w:jc w:val="left"/>
    </w:pPr>
    <w:rPr>
      <w:rFonts w:hint="eastAsia" w:ascii="宋体" w:hAnsi="宋体"/>
      <w:color w:val="0000FF"/>
      <w:kern w:val="0"/>
      <w:sz w:val="20"/>
      <w:szCs w:val="20"/>
    </w:rPr>
  </w:style>
  <w:style w:type="paragraph" w:customStyle="1" w:styleId="613">
    <w:name w:val="自由格式"/>
    <w:basedOn w:val="1"/>
    <w:qFormat/>
    <w:uiPriority w:val="0"/>
    <w:pPr>
      <w:ind w:firstLine="600" w:firstLineChars="200"/>
    </w:pPr>
    <w:rPr>
      <w:rFonts w:ascii="仿宋_GB2312" w:eastAsia="仿宋_GB2312"/>
      <w:sz w:val="30"/>
      <w:szCs w:val="30"/>
    </w:rPr>
  </w:style>
  <w:style w:type="paragraph" w:customStyle="1" w:styleId="614">
    <w:name w:val="table1"/>
    <w:basedOn w:val="1"/>
    <w:qFormat/>
    <w:uiPriority w:val="0"/>
    <w:pPr>
      <w:adjustRightInd w:val="0"/>
      <w:spacing w:line="240" w:lineRule="atLeast"/>
      <w:jc w:val="center"/>
      <w:textAlignment w:val="baseline"/>
    </w:pPr>
    <w:rPr>
      <w:rFonts w:eastAsia="黑体"/>
      <w:kern w:val="0"/>
      <w:sz w:val="24"/>
      <w:szCs w:val="20"/>
    </w:rPr>
  </w:style>
  <w:style w:type="paragraph" w:customStyle="1" w:styleId="615">
    <w:name w:val="表文"/>
    <w:basedOn w:val="1"/>
    <w:qFormat/>
    <w:uiPriority w:val="0"/>
    <w:pPr>
      <w:adjustRightInd w:val="0"/>
      <w:jc w:val="center"/>
      <w:textAlignment w:val="baseline"/>
    </w:pPr>
    <w:rPr>
      <w:kern w:val="0"/>
      <w:sz w:val="24"/>
      <w:szCs w:val="20"/>
    </w:rPr>
  </w:style>
  <w:style w:type="character" w:customStyle="1" w:styleId="616">
    <w:name w:val="jjgk1"/>
    <w:qFormat/>
    <w:uiPriority w:val="0"/>
    <w:rPr>
      <w:color w:val="009900"/>
      <w:sz w:val="9"/>
      <w:szCs w:val="9"/>
    </w:rPr>
  </w:style>
  <w:style w:type="paragraph" w:customStyle="1" w:styleId="617">
    <w:name w:val="??"/>
    <w:qFormat/>
    <w:uiPriority w:val="0"/>
    <w:pPr>
      <w:widowControl w:val="0"/>
      <w:autoSpaceDE w:val="0"/>
      <w:autoSpaceDN w:val="0"/>
      <w:adjustRightInd w:val="0"/>
      <w:spacing w:line="460" w:lineRule="exact"/>
      <w:ind w:firstLine="510"/>
      <w:textAlignment w:val="baseline"/>
    </w:pPr>
    <w:rPr>
      <w:rFonts w:ascii="Times New Roman" w:hAnsi="Times New Roman" w:eastAsia="宋体" w:cs="Times New Roman"/>
      <w:sz w:val="24"/>
      <w:lang w:val="en-US" w:eastAsia="zh-CN" w:bidi="ar-SA"/>
    </w:rPr>
  </w:style>
  <w:style w:type="paragraph" w:customStyle="1" w:styleId="618">
    <w:name w:val="表序号"/>
    <w:basedOn w:val="8"/>
    <w:qFormat/>
    <w:uiPriority w:val="0"/>
    <w:pPr>
      <w:numPr>
        <w:ilvl w:val="0"/>
        <w:numId w:val="0"/>
      </w:numPr>
      <w:tabs>
        <w:tab w:val="left" w:pos="1620"/>
      </w:tabs>
      <w:adjustRightInd/>
      <w:spacing w:before="0" w:after="0" w:line="360" w:lineRule="auto"/>
      <w:ind w:left="1620" w:leftChars="600" w:hanging="360" w:hangingChars="200"/>
      <w:jc w:val="center"/>
      <w:textAlignment w:val="auto"/>
    </w:pPr>
    <w:rPr>
      <w:rFonts w:ascii="宋体" w:hAnsi="Arial"/>
      <w:bCs w:val="0"/>
      <w:kern w:val="2"/>
      <w:sz w:val="24"/>
      <w:szCs w:val="20"/>
    </w:rPr>
  </w:style>
  <w:style w:type="paragraph" w:customStyle="1" w:styleId="619">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character" w:customStyle="1" w:styleId="620">
    <w:name w:val="表格 Char Char"/>
    <w:qFormat/>
    <w:uiPriority w:val="0"/>
    <w:rPr>
      <w:rFonts w:eastAsia="仿宋_GB2312" w:cs="宋体"/>
      <w:bCs/>
      <w:snapToGrid w:val="0"/>
      <w:sz w:val="21"/>
      <w:szCs w:val="21"/>
      <w:lang w:val="en-US" w:eastAsia="zh-CN" w:bidi="ar-SA"/>
    </w:rPr>
  </w:style>
  <w:style w:type="paragraph" w:customStyle="1" w:styleId="621">
    <w:name w:val="列图"/>
    <w:basedOn w:val="66"/>
    <w:next w:val="1"/>
    <w:qFormat/>
    <w:uiPriority w:val="0"/>
    <w:pPr>
      <w:tabs>
        <w:tab w:val="left" w:pos="3765"/>
      </w:tabs>
      <w:spacing w:beforeLines="50"/>
      <w:jc w:val="center"/>
    </w:pPr>
    <w:rPr>
      <w:rFonts w:ascii="仿宋_GB2312" w:eastAsia="仿宋_GB2312"/>
      <w:bCs/>
      <w:szCs w:val="24"/>
    </w:rPr>
  </w:style>
  <w:style w:type="paragraph" w:customStyle="1" w:styleId="622">
    <w:name w:val="1文章"/>
    <w:basedOn w:val="1"/>
    <w:qFormat/>
    <w:uiPriority w:val="0"/>
    <w:pPr>
      <w:snapToGrid w:val="0"/>
      <w:spacing w:line="420" w:lineRule="auto"/>
      <w:ind w:firstLine="454"/>
      <w:outlineLvl w:val="4"/>
    </w:pPr>
    <w:rPr>
      <w:spacing w:val="4"/>
      <w:sz w:val="24"/>
    </w:rPr>
  </w:style>
  <w:style w:type="paragraph" w:customStyle="1" w:styleId="623">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624">
    <w:name w:val="Plain Text1"/>
    <w:basedOn w:val="1"/>
    <w:qFormat/>
    <w:uiPriority w:val="0"/>
    <w:pPr>
      <w:autoSpaceDE w:val="0"/>
      <w:autoSpaceDN w:val="0"/>
      <w:adjustRightInd w:val="0"/>
      <w:textAlignment w:val="baseline"/>
    </w:pPr>
    <w:rPr>
      <w:rFonts w:ascii="宋体" w:hAnsi="Tms Rmn"/>
      <w:kern w:val="0"/>
      <w:szCs w:val="20"/>
    </w:rPr>
  </w:style>
  <w:style w:type="paragraph" w:customStyle="1" w:styleId="625">
    <w:name w:val="段落"/>
    <w:basedOn w:val="1"/>
    <w:qFormat/>
    <w:uiPriority w:val="0"/>
    <w:pPr>
      <w:spacing w:line="580" w:lineRule="exact"/>
      <w:ind w:firstLine="200" w:firstLineChars="200"/>
    </w:pPr>
    <w:rPr>
      <w:spacing w:val="6"/>
      <w:sz w:val="28"/>
      <w:szCs w:val="28"/>
    </w:rPr>
  </w:style>
  <w:style w:type="paragraph" w:customStyle="1" w:styleId="626">
    <w:name w:val="标题0"/>
    <w:basedOn w:val="1"/>
    <w:next w:val="1"/>
    <w:qFormat/>
    <w:uiPriority w:val="0"/>
    <w:pPr>
      <w:spacing w:beforeLines="200" w:afterLines="200" w:line="240" w:lineRule="atLeast"/>
      <w:jc w:val="center"/>
    </w:pPr>
    <w:rPr>
      <w:rFonts w:eastAsia="黑体"/>
      <w:sz w:val="36"/>
    </w:rPr>
  </w:style>
  <w:style w:type="paragraph" w:customStyle="1" w:styleId="627">
    <w:name w:val="样式 样式 首行缩进:  2 字符 + 首行缩进:  2 字符"/>
    <w:basedOn w:val="1"/>
    <w:qFormat/>
    <w:uiPriority w:val="0"/>
    <w:pPr>
      <w:spacing w:line="440" w:lineRule="exact"/>
      <w:ind w:firstLine="560" w:firstLineChars="200"/>
    </w:pPr>
    <w:rPr>
      <w:rFonts w:eastAsia="楷体_GB2312" w:cs="宋体"/>
      <w:sz w:val="28"/>
      <w:szCs w:val="20"/>
    </w:rPr>
  </w:style>
  <w:style w:type="paragraph" w:customStyle="1" w:styleId="628">
    <w:name w:val="样式 正文文本缩进 + (中文) 楷体_GB2312 行距: 固定值 22 磅"/>
    <w:basedOn w:val="35"/>
    <w:qFormat/>
    <w:uiPriority w:val="0"/>
    <w:pPr>
      <w:spacing w:line="440" w:lineRule="exact"/>
      <w:ind w:firstLine="560" w:firstLineChars="200"/>
    </w:pPr>
    <w:rPr>
      <w:rFonts w:eastAsia="楷体_GB2312" w:cs="宋体"/>
      <w:sz w:val="28"/>
    </w:rPr>
  </w:style>
  <w:style w:type="paragraph" w:customStyle="1" w:styleId="629">
    <w:name w:val="样式 标题 1章标题 1 + 黑色 行距: 1.5 倍行距"/>
    <w:basedOn w:val="4"/>
    <w:qFormat/>
    <w:uiPriority w:val="0"/>
    <w:pPr>
      <w:spacing w:line="360" w:lineRule="auto"/>
    </w:pPr>
    <w:rPr>
      <w:rFonts w:cs="宋体"/>
      <w:b/>
      <w:color w:val="000000"/>
      <w:szCs w:val="20"/>
    </w:rPr>
  </w:style>
  <w:style w:type="paragraph" w:customStyle="1" w:styleId="630">
    <w:name w:val="样式 标题 3条标题1.1.1h3H3level_3PIM 3Level 3 HeadHeading 3 - ol..."/>
    <w:basedOn w:val="6"/>
    <w:qFormat/>
    <w:uiPriority w:val="0"/>
    <w:pPr>
      <w:spacing w:beforeLines="100"/>
    </w:pPr>
    <w:rPr>
      <w:rFonts w:ascii="宋体" w:hAnsi="宋体" w:cs="宋体"/>
      <w:bCs w:val="0"/>
      <w:sz w:val="28"/>
      <w:szCs w:val="20"/>
    </w:rPr>
  </w:style>
  <w:style w:type="paragraph" w:customStyle="1" w:styleId="631">
    <w:name w:val="Char1 Char Char"/>
    <w:basedOn w:val="1"/>
    <w:semiHidden/>
    <w:qFormat/>
    <w:uiPriority w:val="0"/>
  </w:style>
  <w:style w:type="paragraph" w:customStyle="1" w:styleId="632">
    <w:name w:val="默认段落字体 Para Char Char Char1 Char Char Char Char Char Char Char Char Char Char Char Char1"/>
    <w:basedOn w:val="1"/>
    <w:qFormat/>
    <w:uiPriority w:val="0"/>
    <w:rPr>
      <w:sz w:val="24"/>
    </w:rPr>
  </w:style>
  <w:style w:type="paragraph" w:customStyle="1" w:styleId="633">
    <w:name w:val="Char4 Char Char Char"/>
    <w:basedOn w:val="1"/>
    <w:semiHidden/>
    <w:qFormat/>
    <w:uiPriority w:val="0"/>
    <w:rPr>
      <w:sz w:val="24"/>
    </w:rPr>
  </w:style>
  <w:style w:type="paragraph" w:customStyle="1" w:styleId="634">
    <w:name w:val="样式 表头 + 段前: 0.5 行 段后: 0.5 行"/>
    <w:basedOn w:val="1"/>
    <w:qFormat/>
    <w:uiPriority w:val="0"/>
    <w:pPr>
      <w:autoSpaceDE w:val="0"/>
      <w:autoSpaceDN w:val="0"/>
      <w:adjustRightInd w:val="0"/>
      <w:spacing w:before="100" w:beforeAutospacing="1" w:after="100" w:afterAutospacing="1" w:line="480" w:lineRule="exact"/>
      <w:jc w:val="center"/>
    </w:pPr>
    <w:rPr>
      <w:b/>
      <w:bCs/>
      <w:sz w:val="24"/>
      <w:szCs w:val="20"/>
      <w:lang w:val="zh-CN"/>
    </w:rPr>
  </w:style>
  <w:style w:type="paragraph" w:customStyle="1" w:styleId="635">
    <w:name w:val="Char1 Char Char Char"/>
    <w:basedOn w:val="1"/>
    <w:semiHidden/>
    <w:qFormat/>
    <w:uiPriority w:val="0"/>
  </w:style>
  <w:style w:type="paragraph" w:customStyle="1" w:styleId="636">
    <w:name w:val="正文新 Char"/>
    <w:basedOn w:val="1"/>
    <w:qFormat/>
    <w:uiPriority w:val="0"/>
    <w:pPr>
      <w:spacing w:line="360" w:lineRule="auto"/>
      <w:ind w:firstLine="480" w:firstLineChars="200"/>
    </w:pPr>
    <w:rPr>
      <w:sz w:val="24"/>
      <w:szCs w:val="20"/>
    </w:rPr>
  </w:style>
  <w:style w:type="paragraph" w:customStyle="1" w:styleId="637">
    <w:name w:val="Char1 Char Char Char Char Char Char"/>
    <w:basedOn w:val="1"/>
    <w:semiHidden/>
    <w:qFormat/>
    <w:uiPriority w:val="0"/>
  </w:style>
  <w:style w:type="paragraph" w:customStyle="1" w:styleId="638">
    <w:name w:val="Char Char Char Char Char Char4"/>
    <w:basedOn w:val="1"/>
    <w:semiHidden/>
    <w:qFormat/>
    <w:uiPriority w:val="0"/>
  </w:style>
  <w:style w:type="paragraph" w:customStyle="1" w:styleId="639">
    <w:name w:val="4-25正"/>
    <w:basedOn w:val="1"/>
    <w:link w:val="640"/>
    <w:semiHidden/>
    <w:qFormat/>
    <w:uiPriority w:val="0"/>
    <w:pPr>
      <w:widowControl/>
      <w:spacing w:before="40" w:after="40" w:line="360" w:lineRule="auto"/>
      <w:ind w:firstLine="480" w:firstLineChars="200"/>
    </w:pPr>
    <w:rPr>
      <w:rFonts w:cs="宋体"/>
      <w:kern w:val="0"/>
      <w:sz w:val="24"/>
      <w:szCs w:val="20"/>
    </w:rPr>
  </w:style>
  <w:style w:type="character" w:customStyle="1" w:styleId="640">
    <w:name w:val="4-25正 Char"/>
    <w:link w:val="639"/>
    <w:semiHidden/>
    <w:qFormat/>
    <w:uiPriority w:val="0"/>
    <w:rPr>
      <w:rFonts w:ascii="Times New Roman" w:hAnsi="Times New Roman" w:eastAsia="宋体" w:cs="宋体"/>
      <w:kern w:val="0"/>
      <w:sz w:val="24"/>
      <w:szCs w:val="20"/>
    </w:rPr>
  </w:style>
  <w:style w:type="paragraph" w:customStyle="1" w:styleId="641">
    <w:name w:val="Char Char Char Char Char Char Char Char Char1 Char Char Char Char"/>
    <w:basedOn w:val="1"/>
    <w:semiHidden/>
    <w:qFormat/>
    <w:uiPriority w:val="0"/>
    <w:rPr>
      <w:szCs w:val="21"/>
    </w:rPr>
  </w:style>
  <w:style w:type="paragraph" w:customStyle="1" w:styleId="642">
    <w:name w:val="Char Char Char Char Char Char Char Char Char Char Char Char Char Char Char Char Char Char Char Char Char Char Char Char Char Char Char Char Char Char Char Char Char Char Char Char Char Char Char Char"/>
    <w:basedOn w:val="1"/>
    <w:semiHidden/>
    <w:qFormat/>
    <w:uiPriority w:val="0"/>
    <w:rPr>
      <w:sz w:val="24"/>
    </w:rPr>
  </w:style>
  <w:style w:type="paragraph" w:customStyle="1" w:styleId="643">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644">
    <w:name w:val="我的 标题 1.."/>
    <w:basedOn w:val="4"/>
    <w:qFormat/>
    <w:uiPriority w:val="0"/>
    <w:pPr>
      <w:keepLines w:val="0"/>
      <w:tabs>
        <w:tab w:val="left" w:pos="432"/>
      </w:tabs>
      <w:spacing w:before="156" w:after="7" w:line="360" w:lineRule="auto"/>
    </w:pPr>
    <w:rPr>
      <w:b/>
      <w:bCs w:val="0"/>
      <w:kern w:val="2"/>
      <w:szCs w:val="20"/>
    </w:rPr>
  </w:style>
  <w:style w:type="paragraph" w:customStyle="1" w:styleId="645">
    <w:name w:val="淮安正文样式 小四 行距: 1.5 倍行距 首行缩进:  2 字符"/>
    <w:basedOn w:val="1"/>
    <w:qFormat/>
    <w:uiPriority w:val="0"/>
    <w:pPr>
      <w:adjustRightInd w:val="0"/>
      <w:snapToGrid w:val="0"/>
      <w:ind w:firstLine="480" w:firstLineChars="200"/>
    </w:pPr>
    <w:rPr>
      <w:snapToGrid w:val="0"/>
      <w:color w:val="0000FF"/>
      <w:kern w:val="0"/>
      <w:sz w:val="24"/>
      <w:szCs w:val="28"/>
    </w:rPr>
  </w:style>
  <w:style w:type="paragraph" w:customStyle="1" w:styleId="646">
    <w:name w:val="样式 表号 + 首行缩进:  0.99 厘米"/>
    <w:basedOn w:val="1"/>
    <w:semiHidden/>
    <w:qFormat/>
    <w:uiPriority w:val="0"/>
    <w:pPr>
      <w:widowControl/>
      <w:adjustRightInd w:val="0"/>
      <w:snapToGrid w:val="0"/>
      <w:spacing w:line="240" w:lineRule="atLeast"/>
      <w:ind w:firstLine="420"/>
      <w:outlineLvl w:val="4"/>
    </w:pPr>
    <w:rPr>
      <w:rFonts w:ascii="宋体" w:hAnsi="宋体" w:cs="宋体"/>
      <w:kern w:val="0"/>
      <w:sz w:val="24"/>
      <w:szCs w:val="20"/>
    </w:rPr>
  </w:style>
  <w:style w:type="paragraph" w:customStyle="1" w:styleId="647">
    <w:name w:val="Char Char Char Char1 Char Char Char Char Char Char"/>
    <w:basedOn w:val="1"/>
    <w:next w:val="1"/>
    <w:semiHidden/>
    <w:qFormat/>
    <w:uiPriority w:val="0"/>
    <w:pPr>
      <w:spacing w:line="360" w:lineRule="auto"/>
      <w:ind w:firstLine="200" w:firstLineChars="200"/>
    </w:pPr>
    <w:rPr>
      <w:rFonts w:ascii="宋体" w:hAnsi="宋体" w:cs="宋体"/>
      <w:sz w:val="24"/>
    </w:rPr>
  </w:style>
  <w:style w:type="paragraph" w:customStyle="1" w:styleId="648">
    <w:name w:val="样式 正文文本缩进 + 仿宋_GB2312 蓝色 行距: 固定值 28 磅"/>
    <w:basedOn w:val="35"/>
    <w:semiHidden/>
    <w:qFormat/>
    <w:uiPriority w:val="0"/>
    <w:pPr>
      <w:spacing w:line="560" w:lineRule="exact"/>
      <w:ind w:firstLine="200" w:firstLineChars="200"/>
    </w:pPr>
    <w:rPr>
      <w:rFonts w:ascii="仿宋_GB2312" w:eastAsia="仿宋_GB2312" w:cs="宋体"/>
      <w:color w:val="0000FF"/>
      <w:sz w:val="28"/>
      <w:szCs w:val="28"/>
    </w:rPr>
  </w:style>
  <w:style w:type="paragraph" w:customStyle="1" w:styleId="649">
    <w:name w:val="表蕊"/>
    <w:basedOn w:val="1"/>
    <w:link w:val="650"/>
    <w:qFormat/>
    <w:uiPriority w:val="0"/>
    <w:pPr>
      <w:adjustRightInd w:val="0"/>
      <w:spacing w:line="320" w:lineRule="atLeast"/>
      <w:jc w:val="left"/>
      <w:textAlignment w:val="baseline"/>
    </w:pPr>
    <w:rPr>
      <w:rFonts w:eastAsia="楷体_GB2312"/>
      <w:spacing w:val="-10"/>
      <w:kern w:val="0"/>
      <w:szCs w:val="20"/>
    </w:rPr>
  </w:style>
  <w:style w:type="character" w:customStyle="1" w:styleId="650">
    <w:name w:val="表蕊 Char1"/>
    <w:link w:val="649"/>
    <w:qFormat/>
    <w:uiPriority w:val="0"/>
    <w:rPr>
      <w:rFonts w:ascii="Times New Roman" w:hAnsi="Times New Roman" w:eastAsia="楷体_GB2312" w:cs="Times New Roman"/>
      <w:spacing w:val="-10"/>
      <w:kern w:val="0"/>
      <w:szCs w:val="20"/>
    </w:rPr>
  </w:style>
  <w:style w:type="paragraph" w:customStyle="1" w:styleId="651">
    <w:name w:val="正文样式1"/>
    <w:basedOn w:val="1"/>
    <w:qFormat/>
    <w:uiPriority w:val="0"/>
    <w:pPr>
      <w:adjustRightInd w:val="0"/>
      <w:spacing w:line="480" w:lineRule="atLeast"/>
      <w:ind w:firstLine="567"/>
      <w:jc w:val="left"/>
      <w:textAlignment w:val="baseline"/>
    </w:pPr>
    <w:rPr>
      <w:kern w:val="0"/>
      <w:sz w:val="28"/>
      <w:szCs w:val="20"/>
    </w:rPr>
  </w:style>
  <w:style w:type="paragraph" w:customStyle="1" w:styleId="652">
    <w:name w:val="表格样式1"/>
    <w:basedOn w:val="1"/>
    <w:qFormat/>
    <w:uiPriority w:val="0"/>
    <w:pPr>
      <w:adjustRightInd w:val="0"/>
      <w:spacing w:line="20" w:lineRule="atLeast"/>
      <w:ind w:firstLine="482"/>
      <w:jc w:val="center"/>
      <w:textAlignment w:val="baseline"/>
    </w:pPr>
    <w:rPr>
      <w:rFonts w:ascii="宋体"/>
      <w:kern w:val="0"/>
      <w:sz w:val="24"/>
      <w:szCs w:val="20"/>
    </w:rPr>
  </w:style>
  <w:style w:type="paragraph" w:customStyle="1" w:styleId="653">
    <w:name w:val="1正文段落"/>
    <w:basedOn w:val="1"/>
    <w:link w:val="1455"/>
    <w:qFormat/>
    <w:uiPriority w:val="0"/>
    <w:pPr>
      <w:spacing w:line="360" w:lineRule="auto"/>
      <w:ind w:firstLine="480" w:firstLineChars="200"/>
      <w:jc w:val="left"/>
    </w:pPr>
    <w:rPr>
      <w:snapToGrid w:val="0"/>
      <w:kern w:val="0"/>
      <w:sz w:val="24"/>
    </w:rPr>
  </w:style>
  <w:style w:type="paragraph" w:customStyle="1" w:styleId="654">
    <w:name w:val="2级标题"/>
    <w:basedOn w:val="5"/>
    <w:qFormat/>
    <w:uiPriority w:val="0"/>
    <w:pPr>
      <w:keepNext w:val="0"/>
      <w:keepLines w:val="0"/>
      <w:tabs>
        <w:tab w:val="left" w:pos="3564"/>
      </w:tabs>
      <w:spacing w:line="360" w:lineRule="auto"/>
    </w:pPr>
    <w:rPr>
      <w:rFonts w:ascii="黑体" w:hAnsi="Arial"/>
      <w:b/>
      <w:bCs w:val="0"/>
      <w:sz w:val="28"/>
      <w:szCs w:val="28"/>
    </w:rPr>
  </w:style>
  <w:style w:type="paragraph" w:customStyle="1" w:styleId="655">
    <w:name w:val="3级标题"/>
    <w:basedOn w:val="6"/>
    <w:qFormat/>
    <w:uiPriority w:val="0"/>
    <w:pPr>
      <w:keepNext w:val="0"/>
      <w:keepLines w:val="0"/>
      <w:jc w:val="left"/>
    </w:pPr>
    <w:rPr>
      <w:rFonts w:ascii="黑体"/>
      <w:kern w:val="0"/>
      <w:sz w:val="24"/>
    </w:rPr>
  </w:style>
  <w:style w:type="paragraph" w:customStyle="1" w:styleId="656">
    <w:name w:val="Char Char1 Char Char Char Char"/>
    <w:basedOn w:val="1"/>
    <w:semiHidden/>
    <w:qFormat/>
    <w:uiPriority w:val="0"/>
    <w:rPr>
      <w:sz w:val="24"/>
    </w:rPr>
  </w:style>
  <w:style w:type="paragraph" w:customStyle="1" w:styleId="657">
    <w:name w:val="批注框文本 Char Char"/>
    <w:basedOn w:val="1"/>
    <w:qFormat/>
    <w:uiPriority w:val="0"/>
    <w:rPr>
      <w:sz w:val="18"/>
      <w:szCs w:val="20"/>
    </w:rPr>
  </w:style>
  <w:style w:type="paragraph" w:customStyle="1" w:styleId="658">
    <w:name w:val="Char1 Char Char Char Char Char Char Char Char Char"/>
    <w:basedOn w:val="1"/>
    <w:semiHidden/>
    <w:qFormat/>
    <w:uiPriority w:val="0"/>
  </w:style>
  <w:style w:type="paragraph" w:customStyle="1" w:styleId="659">
    <w:name w:val="Char2 Char Char Char Char Char Char Char Char Char Char Char Char Char Char Char Char Char Char Char Char Char"/>
    <w:basedOn w:val="1"/>
    <w:semiHidden/>
    <w:qFormat/>
    <w:uiPriority w:val="0"/>
    <w:pPr>
      <w:spacing w:line="360" w:lineRule="auto"/>
      <w:ind w:firstLine="200" w:firstLineChars="200"/>
    </w:pPr>
    <w:rPr>
      <w:rFonts w:eastAsia="黑体"/>
      <w:sz w:val="28"/>
      <w:szCs w:val="28"/>
    </w:rPr>
  </w:style>
  <w:style w:type="paragraph" w:customStyle="1" w:styleId="660">
    <w:name w:val="样式 首行缩进:  0.77 厘米 行距: 固定值 20 磅44"/>
    <w:basedOn w:val="1"/>
    <w:qFormat/>
    <w:uiPriority w:val="0"/>
    <w:pPr>
      <w:spacing w:line="360" w:lineRule="auto"/>
      <w:ind w:firstLine="480" w:firstLineChars="200"/>
    </w:pPr>
    <w:rPr>
      <w:sz w:val="24"/>
    </w:rPr>
  </w:style>
  <w:style w:type="paragraph" w:customStyle="1" w:styleId="661">
    <w:name w:val="Char1 Char Char Char Char Char Char Char Char Char3"/>
    <w:basedOn w:val="1"/>
    <w:semiHidden/>
    <w:qFormat/>
    <w:uiPriority w:val="0"/>
  </w:style>
  <w:style w:type="paragraph" w:customStyle="1" w:styleId="662">
    <w:name w:val="标题　3"/>
    <w:basedOn w:val="7"/>
    <w:qFormat/>
    <w:uiPriority w:val="0"/>
    <w:rPr>
      <w:szCs w:val="20"/>
    </w:rPr>
  </w:style>
  <w:style w:type="paragraph" w:customStyle="1" w:styleId="663">
    <w:name w:val="标题　4"/>
    <w:basedOn w:val="7"/>
    <w:qFormat/>
    <w:uiPriority w:val="0"/>
    <w:rPr>
      <w:szCs w:val="20"/>
    </w:rPr>
  </w:style>
  <w:style w:type="character" w:customStyle="1" w:styleId="664">
    <w:name w:val="标题4 Char Char Char Char"/>
    <w:semiHidden/>
    <w:qFormat/>
    <w:uiPriority w:val="0"/>
    <w:rPr>
      <w:rFonts w:eastAsia="宋体"/>
      <w:kern w:val="2"/>
      <w:sz w:val="21"/>
      <w:szCs w:val="24"/>
      <w:lang w:val="en-US" w:eastAsia="zh-CN" w:bidi="ar-SA"/>
    </w:rPr>
  </w:style>
  <w:style w:type="paragraph" w:customStyle="1" w:styleId="665">
    <w:name w:val="Char Char Char Char Char Char Char Char Char"/>
    <w:basedOn w:val="1"/>
    <w:semiHidden/>
    <w:qFormat/>
    <w:uiPriority w:val="0"/>
    <w:pPr>
      <w:spacing w:line="360" w:lineRule="auto"/>
      <w:ind w:firstLine="200" w:firstLineChars="200"/>
    </w:pPr>
    <w:rPr>
      <w:rFonts w:ascii="宋体" w:hAnsi="宋体" w:cs="宋体"/>
      <w:sz w:val="24"/>
    </w:rPr>
  </w:style>
  <w:style w:type="character" w:customStyle="1" w:styleId="666">
    <w:name w:val="样式 Times New Roman"/>
    <w:semiHidden/>
    <w:qFormat/>
    <w:uiPriority w:val="0"/>
    <w:rPr>
      <w:rFonts w:hint="default" w:ascii="Times New Roman" w:hAnsi="Times New Roman" w:eastAsia="仿宋_GB2312" w:cs="Times New Roman"/>
      <w:sz w:val="28"/>
      <w:szCs w:val="28"/>
    </w:rPr>
  </w:style>
  <w:style w:type="character" w:customStyle="1" w:styleId="667">
    <w:name w:val="表头 Char Char"/>
    <w:link w:val="668"/>
    <w:semiHidden/>
    <w:qFormat/>
    <w:uiPriority w:val="0"/>
    <w:rPr>
      <w:rFonts w:ascii="宋体" w:hAnsi="Arial" w:eastAsia="黑体"/>
      <w:sz w:val="24"/>
    </w:rPr>
  </w:style>
  <w:style w:type="paragraph" w:customStyle="1" w:styleId="668">
    <w:name w:val="表头 Char"/>
    <w:basedOn w:val="1"/>
    <w:next w:val="1"/>
    <w:link w:val="667"/>
    <w:semiHidden/>
    <w:qFormat/>
    <w:uiPriority w:val="0"/>
    <w:pPr>
      <w:tabs>
        <w:tab w:val="left" w:pos="560"/>
      </w:tabs>
      <w:snapToGrid w:val="0"/>
      <w:spacing w:beforeLines="50" w:afterLines="50" w:line="500" w:lineRule="exact"/>
      <w:ind w:firstLine="567"/>
      <w:jc w:val="center"/>
    </w:pPr>
    <w:rPr>
      <w:rFonts w:ascii="宋体" w:hAnsi="Arial" w:eastAsia="黑体"/>
      <w:sz w:val="24"/>
      <w:szCs w:val="22"/>
    </w:rPr>
  </w:style>
  <w:style w:type="character" w:customStyle="1" w:styleId="669">
    <w:name w:val="样式 首行缩进:  2 字符 Char"/>
    <w:link w:val="670"/>
    <w:qFormat/>
    <w:uiPriority w:val="0"/>
    <w:rPr>
      <w:rFonts w:ascii="Arial" w:hAnsi="Arial" w:eastAsia="仿宋_GB2312" w:cs="宋体"/>
      <w:sz w:val="28"/>
    </w:rPr>
  </w:style>
  <w:style w:type="paragraph" w:customStyle="1" w:styleId="670">
    <w:name w:val="样式 首行缩进:  2 字符"/>
    <w:basedOn w:val="1"/>
    <w:link w:val="669"/>
    <w:qFormat/>
    <w:uiPriority w:val="0"/>
    <w:pPr>
      <w:tabs>
        <w:tab w:val="left" w:pos="560"/>
      </w:tabs>
      <w:spacing w:line="500" w:lineRule="exact"/>
      <w:ind w:firstLine="560" w:firstLineChars="200"/>
    </w:pPr>
    <w:rPr>
      <w:rFonts w:ascii="Arial" w:hAnsi="Arial" w:eastAsia="仿宋_GB2312" w:cs="宋体"/>
      <w:sz w:val="28"/>
      <w:szCs w:val="22"/>
    </w:rPr>
  </w:style>
  <w:style w:type="character" w:customStyle="1" w:styleId="671">
    <w:name w:val="样式 Times New Roman1"/>
    <w:semiHidden/>
    <w:qFormat/>
    <w:uiPriority w:val="0"/>
    <w:rPr>
      <w:rFonts w:hint="default" w:ascii="Times New Roman" w:hAnsi="Times New Roman" w:cs="Times New Roman"/>
    </w:rPr>
  </w:style>
  <w:style w:type="paragraph" w:customStyle="1" w:styleId="672">
    <w:name w:val="样式 首行缩进:  2 字符1"/>
    <w:basedOn w:val="1"/>
    <w:qFormat/>
    <w:uiPriority w:val="0"/>
    <w:pPr>
      <w:tabs>
        <w:tab w:val="left" w:pos="560"/>
      </w:tabs>
      <w:spacing w:line="500" w:lineRule="exact"/>
      <w:ind w:firstLine="560" w:firstLineChars="200"/>
    </w:pPr>
    <w:rPr>
      <w:rFonts w:ascii="Arial" w:hAnsi="Arial" w:eastAsia="仿宋_GB2312" w:cs="宋体"/>
      <w:sz w:val="28"/>
      <w:szCs w:val="20"/>
    </w:rPr>
  </w:style>
  <w:style w:type="paragraph" w:customStyle="1" w:styleId="673">
    <w:name w:val="Char Char Char Char Char Char Char Char1 Char Char Char Char Char Char Char Char Char Char Char Char1 Char"/>
    <w:basedOn w:val="1"/>
    <w:semiHidden/>
    <w:qFormat/>
    <w:uiPriority w:val="0"/>
    <w:rPr>
      <w:sz w:val="24"/>
    </w:rPr>
  </w:style>
  <w:style w:type="paragraph" w:customStyle="1" w:styleId="674">
    <w:name w:val="晓丹"/>
    <w:basedOn w:val="86"/>
    <w:semiHidden/>
    <w:qFormat/>
    <w:uiPriority w:val="0"/>
    <w:pPr>
      <w:adjustRightInd w:val="0"/>
      <w:snapToGrid w:val="0"/>
      <w:spacing w:after="0" w:line="360" w:lineRule="auto"/>
      <w:ind w:firstLine="200"/>
      <w:textAlignment w:val="baseline"/>
    </w:pPr>
    <w:rPr>
      <w:rFonts w:ascii="宋体" w:hAnsi="宋体"/>
      <w:snapToGrid/>
      <w:color w:val="000000"/>
      <w:spacing w:val="6"/>
    </w:rPr>
  </w:style>
  <w:style w:type="paragraph" w:customStyle="1" w:styleId="675">
    <w:name w:val="Char Char Char1 Char"/>
    <w:basedOn w:val="1"/>
    <w:semiHidden/>
    <w:qFormat/>
    <w:uiPriority w:val="0"/>
    <w:rPr>
      <w:sz w:val="24"/>
    </w:rPr>
  </w:style>
  <w:style w:type="paragraph" w:customStyle="1" w:styleId="676">
    <w:name w:val="p2"/>
    <w:basedOn w:val="1"/>
    <w:qFormat/>
    <w:uiPriority w:val="0"/>
    <w:pPr>
      <w:widowControl/>
      <w:autoSpaceDE w:val="0"/>
      <w:autoSpaceDN w:val="0"/>
      <w:spacing w:line="540" w:lineRule="atLeast"/>
      <w:ind w:firstLine="596"/>
    </w:pPr>
    <w:rPr>
      <w:rFonts w:hint="eastAsia" w:ascii="華康中楷體" w:eastAsia="華康中楷體"/>
      <w:spacing w:val="20"/>
      <w:kern w:val="0"/>
      <w:sz w:val="28"/>
      <w:szCs w:val="28"/>
      <w:lang w:eastAsia="zh-TW"/>
    </w:rPr>
  </w:style>
  <w:style w:type="character" w:customStyle="1" w:styleId="677">
    <w:name w:val="表中文字 Char1"/>
    <w:link w:val="142"/>
    <w:qFormat/>
    <w:uiPriority w:val="0"/>
    <w:rPr>
      <w:rFonts w:ascii="Times New Roman" w:hAnsi="Times New Roman" w:eastAsia="宋体" w:cs="Times New Roman"/>
      <w:snapToGrid w:val="0"/>
      <w:kern w:val="0"/>
      <w:szCs w:val="21"/>
      <w:lang w:eastAsia="zh-TW"/>
    </w:rPr>
  </w:style>
  <w:style w:type="character" w:customStyle="1" w:styleId="678">
    <w:name w:val="节标题 1.1 Char"/>
    <w:qFormat/>
    <w:uiPriority w:val="0"/>
    <w:rPr>
      <w:rFonts w:ascii="Arial" w:hAnsi="Arial" w:eastAsia="黑体"/>
      <w:b/>
      <w:bCs/>
      <w:kern w:val="2"/>
      <w:sz w:val="32"/>
      <w:szCs w:val="32"/>
      <w:lang w:val="en-US" w:eastAsia="zh-CN" w:bidi="ar-SA"/>
    </w:rPr>
  </w:style>
  <w:style w:type="paragraph" w:customStyle="1" w:styleId="679">
    <w:name w:val="样式 小四"/>
    <w:basedOn w:val="1"/>
    <w:link w:val="1344"/>
    <w:qFormat/>
    <w:uiPriority w:val="0"/>
    <w:pPr>
      <w:widowControl/>
      <w:adjustRightInd w:val="0"/>
      <w:snapToGrid w:val="0"/>
      <w:spacing w:line="240" w:lineRule="atLeast"/>
      <w:jc w:val="center"/>
    </w:pPr>
    <w:rPr>
      <w:kern w:val="0"/>
      <w:sz w:val="24"/>
      <w:szCs w:val="20"/>
    </w:rPr>
  </w:style>
  <w:style w:type="paragraph" w:customStyle="1" w:styleId="680">
    <w:name w:val="样式 首行缩进:  1.13 厘米"/>
    <w:basedOn w:val="1"/>
    <w:semiHidden/>
    <w:qFormat/>
    <w:uiPriority w:val="0"/>
    <w:pPr>
      <w:spacing w:line="500" w:lineRule="exact"/>
      <w:jc w:val="left"/>
    </w:pPr>
    <w:rPr>
      <w:rFonts w:ascii="华文中宋" w:hAnsi="华文中宋" w:eastAsia="仿宋_GB2312"/>
      <w:sz w:val="32"/>
      <w:szCs w:val="20"/>
    </w:rPr>
  </w:style>
  <w:style w:type="paragraph" w:customStyle="1" w:styleId="681">
    <w:name w:val="正文内容"/>
    <w:basedOn w:val="1"/>
    <w:next w:val="1"/>
    <w:link w:val="682"/>
    <w:semiHidden/>
    <w:qFormat/>
    <w:uiPriority w:val="0"/>
    <w:pPr>
      <w:snapToGrid w:val="0"/>
      <w:spacing w:beforeLines="25" w:afterLines="25" w:line="440" w:lineRule="exact"/>
      <w:ind w:firstLine="200" w:firstLineChars="200"/>
    </w:pPr>
    <w:rPr>
      <w:kern w:val="0"/>
      <w:sz w:val="24"/>
    </w:rPr>
  </w:style>
  <w:style w:type="character" w:customStyle="1" w:styleId="682">
    <w:name w:val="正文内容 Char Char"/>
    <w:link w:val="681"/>
    <w:semiHidden/>
    <w:qFormat/>
    <w:uiPriority w:val="0"/>
    <w:rPr>
      <w:rFonts w:ascii="Times New Roman" w:hAnsi="Times New Roman" w:eastAsia="宋体" w:cs="Times New Roman"/>
      <w:kern w:val="0"/>
      <w:sz w:val="24"/>
      <w:szCs w:val="24"/>
    </w:rPr>
  </w:style>
  <w:style w:type="paragraph" w:customStyle="1" w:styleId="683">
    <w:name w:val="正文首行缩进 2 + Times New Roman"/>
    <w:basedOn w:val="1"/>
    <w:qFormat/>
    <w:uiPriority w:val="0"/>
    <w:pPr>
      <w:numPr>
        <w:ilvl w:val="0"/>
        <w:numId w:val="4"/>
      </w:numPr>
      <w:tabs>
        <w:tab w:val="left" w:pos="0"/>
        <w:tab w:val="left" w:pos="3150"/>
      </w:tabs>
      <w:autoSpaceDE w:val="0"/>
      <w:autoSpaceDN w:val="0"/>
      <w:spacing w:line="360" w:lineRule="auto"/>
    </w:pPr>
    <w:rPr>
      <w:kern w:val="0"/>
      <w:sz w:val="24"/>
    </w:rPr>
  </w:style>
  <w:style w:type="paragraph" w:customStyle="1" w:styleId="684">
    <w:name w:val="正文wang"/>
    <w:basedOn w:val="1"/>
    <w:link w:val="685"/>
    <w:semiHidden/>
    <w:qFormat/>
    <w:uiPriority w:val="0"/>
    <w:pPr>
      <w:spacing w:line="360" w:lineRule="auto"/>
      <w:ind w:firstLine="480" w:firstLineChars="200"/>
    </w:pPr>
    <w:rPr>
      <w:kern w:val="0"/>
      <w:sz w:val="24"/>
    </w:rPr>
  </w:style>
  <w:style w:type="character" w:customStyle="1" w:styleId="685">
    <w:name w:val="正文wang Char"/>
    <w:link w:val="684"/>
    <w:semiHidden/>
    <w:qFormat/>
    <w:uiPriority w:val="0"/>
    <w:rPr>
      <w:rFonts w:ascii="Times New Roman" w:hAnsi="Times New Roman" w:eastAsia="宋体" w:cs="Times New Roman"/>
      <w:kern w:val="0"/>
      <w:sz w:val="24"/>
      <w:szCs w:val="24"/>
    </w:rPr>
  </w:style>
  <w:style w:type="paragraph" w:customStyle="1" w:styleId="686">
    <w:name w:val="dandan6-13正文"/>
    <w:basedOn w:val="1"/>
    <w:next w:val="1"/>
    <w:semiHidden/>
    <w:qFormat/>
    <w:uiPriority w:val="0"/>
    <w:pPr>
      <w:keepNext/>
      <w:keepLines/>
      <w:widowControl/>
      <w:adjustRightInd w:val="0"/>
      <w:spacing w:before="40" w:after="40" w:line="360" w:lineRule="auto"/>
      <w:ind w:firstLine="200" w:firstLineChars="200"/>
    </w:pPr>
    <w:rPr>
      <w:rFonts w:cs="宋体"/>
      <w:kern w:val="0"/>
      <w:sz w:val="24"/>
      <w:szCs w:val="28"/>
    </w:rPr>
  </w:style>
  <w:style w:type="character" w:customStyle="1" w:styleId="687">
    <w:name w:val="正文样式1 Char Char1 Char"/>
    <w:semiHidden/>
    <w:qFormat/>
    <w:uiPriority w:val="0"/>
    <w:rPr>
      <w:snapToGrid w:val="0"/>
      <w:position w:val="-12"/>
      <w:sz w:val="24"/>
      <w:szCs w:val="24"/>
    </w:rPr>
  </w:style>
  <w:style w:type="paragraph" w:customStyle="1" w:styleId="688">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character" w:customStyle="1" w:styleId="689">
    <w:name w:val="标题1.1.1.1.1.1 Char"/>
    <w:qFormat/>
    <w:uiPriority w:val="0"/>
    <w:rPr>
      <w:rFonts w:ascii="Arial" w:hAnsi="Arial" w:eastAsia="黑体"/>
      <w:b/>
      <w:bCs/>
      <w:color w:val="000000"/>
      <w:kern w:val="2"/>
      <w:sz w:val="24"/>
      <w:szCs w:val="24"/>
    </w:rPr>
  </w:style>
  <w:style w:type="character" w:customStyle="1" w:styleId="690">
    <w:name w:val="标题 7表内5号 Char"/>
    <w:qFormat/>
    <w:uiPriority w:val="0"/>
    <w:rPr>
      <w:rFonts w:ascii="Book Antiqua" w:hAnsi="Times New Roman"/>
      <w:color w:val="000000"/>
      <w:sz w:val="21"/>
    </w:rPr>
  </w:style>
  <w:style w:type="character" w:customStyle="1" w:styleId="691">
    <w:name w:val="目标题 1) Char"/>
    <w:qFormat/>
    <w:uiPriority w:val="0"/>
    <w:rPr>
      <w:rFonts w:ascii="Arial" w:hAnsi="Arial" w:eastAsia="黑体"/>
      <w:color w:val="000000"/>
      <w:kern w:val="2"/>
      <w:sz w:val="24"/>
      <w:szCs w:val="24"/>
    </w:rPr>
  </w:style>
  <w:style w:type="character" w:customStyle="1" w:styleId="692">
    <w:name w:val="干标题(a) Char"/>
    <w:qFormat/>
    <w:uiPriority w:val="0"/>
    <w:rPr>
      <w:rFonts w:ascii="Arial" w:hAnsi="Arial" w:eastAsia="黑体"/>
      <w:color w:val="000000"/>
      <w:kern w:val="2"/>
      <w:sz w:val="21"/>
      <w:szCs w:val="21"/>
    </w:rPr>
  </w:style>
  <w:style w:type="character" w:customStyle="1" w:styleId="693">
    <w:name w:val="样式3 Char"/>
    <w:link w:val="479"/>
    <w:qFormat/>
    <w:uiPriority w:val="0"/>
    <w:rPr>
      <w:rFonts w:ascii="Times New Roman" w:hAnsi="Times New Roman" w:eastAsia="黑体"/>
      <w:b/>
      <w:bCs/>
      <w:kern w:val="2"/>
      <w:sz w:val="30"/>
    </w:rPr>
  </w:style>
  <w:style w:type="paragraph" w:customStyle="1" w:styleId="694">
    <w:name w:val="范式1"/>
    <w:basedOn w:val="4"/>
    <w:semiHidden/>
    <w:qFormat/>
    <w:uiPriority w:val="0"/>
    <w:pPr>
      <w:spacing w:after="360" w:line="360" w:lineRule="auto"/>
    </w:pPr>
    <w:rPr>
      <w:b/>
      <w:bCs w:val="0"/>
      <w:szCs w:val="20"/>
    </w:rPr>
  </w:style>
  <w:style w:type="paragraph" w:customStyle="1" w:styleId="695">
    <w:name w:val="范式2"/>
    <w:basedOn w:val="5"/>
    <w:qFormat/>
    <w:uiPriority w:val="0"/>
    <w:pPr>
      <w:spacing w:line="480" w:lineRule="exact"/>
    </w:pPr>
    <w:rPr>
      <w:rFonts w:ascii="黑体" w:hAnsi="Arial"/>
      <w:b/>
      <w:bCs w:val="0"/>
      <w:sz w:val="36"/>
    </w:rPr>
  </w:style>
  <w:style w:type="paragraph" w:customStyle="1" w:styleId="696">
    <w:name w:val="范式3"/>
    <w:basedOn w:val="6"/>
    <w:semiHidden/>
    <w:qFormat/>
    <w:uiPriority w:val="0"/>
    <w:pPr>
      <w:autoSpaceDE w:val="0"/>
      <w:autoSpaceDN w:val="0"/>
      <w:spacing w:before="120" w:after="120" w:line="500" w:lineRule="exact"/>
      <w:jc w:val="left"/>
      <w:textAlignment w:val="baseline"/>
    </w:pPr>
    <w:rPr>
      <w:spacing w:val="20"/>
      <w:kern w:val="0"/>
      <w:szCs w:val="20"/>
    </w:rPr>
  </w:style>
  <w:style w:type="paragraph" w:customStyle="1" w:styleId="697">
    <w:name w:val="Char Char Char1 Char Char Char Char Char Char Char Char Char Char Char"/>
    <w:basedOn w:val="1"/>
    <w:semiHidden/>
    <w:qFormat/>
    <w:uiPriority w:val="0"/>
  </w:style>
  <w:style w:type="paragraph" w:customStyle="1" w:styleId="698">
    <w:name w:val="样式4"/>
    <w:basedOn w:val="7"/>
    <w:qFormat/>
    <w:uiPriority w:val="0"/>
    <w:pPr>
      <w:spacing w:before="280" w:after="290" w:line="376" w:lineRule="atLeast"/>
    </w:pPr>
    <w:rPr>
      <w:rFonts w:ascii="黑体"/>
      <w:b/>
    </w:rPr>
  </w:style>
  <w:style w:type="paragraph" w:customStyle="1" w:styleId="699">
    <w:name w:val="hhcwt表格内文字"/>
    <w:basedOn w:val="1"/>
    <w:link w:val="1101"/>
    <w:qFormat/>
    <w:uiPriority w:val="0"/>
    <w:pPr>
      <w:jc w:val="center"/>
    </w:pPr>
    <w:rPr>
      <w:rFonts w:eastAsia="仿宋_GB2312"/>
      <w:szCs w:val="20"/>
    </w:rPr>
  </w:style>
  <w:style w:type="paragraph" w:customStyle="1" w:styleId="700">
    <w:name w:val="p0"/>
    <w:basedOn w:val="1"/>
    <w:qFormat/>
    <w:uiPriority w:val="0"/>
    <w:pPr>
      <w:widowControl/>
      <w:spacing w:line="360" w:lineRule="auto"/>
    </w:pPr>
    <w:rPr>
      <w:rFonts w:ascii="宋体" w:hAnsi="宋体" w:cs="宋体"/>
      <w:kern w:val="0"/>
      <w:sz w:val="28"/>
      <w:szCs w:val="28"/>
    </w:rPr>
  </w:style>
  <w:style w:type="paragraph" w:customStyle="1" w:styleId="701">
    <w:name w:val="p23"/>
    <w:basedOn w:val="1"/>
    <w:semiHidden/>
    <w:qFormat/>
    <w:uiPriority w:val="0"/>
    <w:pPr>
      <w:widowControl/>
      <w:jc w:val="center"/>
    </w:pPr>
    <w:rPr>
      <w:rFonts w:ascii="仿宋_GB2312" w:hAnsi="宋体" w:eastAsia="仿宋_GB2312" w:cs="宋体"/>
      <w:kern w:val="0"/>
      <w:szCs w:val="21"/>
    </w:rPr>
  </w:style>
  <w:style w:type="paragraph" w:customStyle="1" w:styleId="702">
    <w:name w:val="A标题3"/>
    <w:next w:val="1"/>
    <w:semiHidden/>
    <w:qFormat/>
    <w:uiPriority w:val="0"/>
    <w:pPr>
      <w:spacing w:beforeLines="100" w:afterLines="100" w:line="360" w:lineRule="auto"/>
      <w:outlineLvl w:val="2"/>
    </w:pPr>
    <w:rPr>
      <w:rFonts w:ascii="Times New Roman" w:hAnsi="Times New Roman" w:eastAsia="黑体" w:cs="宋体"/>
      <w:b/>
      <w:color w:val="FF0000"/>
      <w:spacing w:val="20"/>
      <w:sz w:val="28"/>
      <w:lang w:val="en-US" w:eastAsia="zh-CN" w:bidi="ar-SA"/>
    </w:rPr>
  </w:style>
  <w:style w:type="paragraph" w:customStyle="1" w:styleId="703">
    <w:name w:val="A标题4"/>
    <w:next w:val="1"/>
    <w:semiHidden/>
    <w:qFormat/>
    <w:uiPriority w:val="0"/>
    <w:pPr>
      <w:spacing w:beforeLines="50" w:afterLines="50" w:line="360" w:lineRule="auto"/>
      <w:outlineLvl w:val="3"/>
    </w:pPr>
    <w:rPr>
      <w:rFonts w:ascii="Arial" w:hAnsi="Arial" w:eastAsia="宋体" w:cs="宋体"/>
      <w:b/>
      <w:bCs/>
      <w:kern w:val="2"/>
      <w:sz w:val="28"/>
      <w:lang w:val="en-US" w:eastAsia="zh-CN" w:bidi="ar-SA"/>
    </w:rPr>
  </w:style>
  <w:style w:type="table" w:customStyle="1" w:styleId="704">
    <w:name w:val="灰度表格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05">
    <w:name w:val="样式 标题 2节标题 1.1标题 21标题 12H2SeHead wsa2标题 1.1标题 2 Char1 Ch..."/>
    <w:basedOn w:val="5"/>
    <w:semiHidden/>
    <w:qFormat/>
    <w:uiPriority w:val="0"/>
    <w:pPr>
      <w:spacing w:beforeLines="100" w:afterLines="100" w:line="480" w:lineRule="exact"/>
    </w:pPr>
    <w:rPr>
      <w:rFonts w:ascii="黑体" w:hAnsi="Arial" w:cs="宋体"/>
      <w:b/>
      <w:bCs w:val="0"/>
      <w:sz w:val="36"/>
      <w:szCs w:val="20"/>
    </w:rPr>
  </w:style>
  <w:style w:type="paragraph" w:customStyle="1" w:styleId="706">
    <w:name w:val="样式 标题 2节标题 1.1标题 21标题 12H2SeHead wsa2标题 1.1标题 2 Char1 Ch...1"/>
    <w:basedOn w:val="5"/>
    <w:semiHidden/>
    <w:qFormat/>
    <w:uiPriority w:val="0"/>
    <w:pPr>
      <w:spacing w:beforeLines="100" w:line="480" w:lineRule="exact"/>
    </w:pPr>
    <w:rPr>
      <w:rFonts w:ascii="黑体" w:hAnsi="黑体" w:cs="宋体"/>
      <w:b/>
      <w:bCs w:val="0"/>
      <w:sz w:val="36"/>
      <w:szCs w:val="20"/>
    </w:rPr>
  </w:style>
  <w:style w:type="paragraph" w:customStyle="1" w:styleId="707">
    <w:name w:val="样式5"/>
    <w:basedOn w:val="7"/>
    <w:qFormat/>
    <w:uiPriority w:val="0"/>
    <w:pPr>
      <w:widowControl/>
      <w:spacing w:before="280" w:after="290" w:line="377" w:lineRule="auto"/>
    </w:pPr>
  </w:style>
  <w:style w:type="paragraph" w:customStyle="1" w:styleId="708">
    <w:name w:val="样式6"/>
    <w:next w:val="1"/>
    <w:link w:val="1372"/>
    <w:qFormat/>
    <w:uiPriority w:val="0"/>
    <w:rPr>
      <w:rFonts w:ascii="Arial" w:hAnsi="Arial" w:eastAsia="黑体" w:cs="Times New Roman"/>
      <w:b/>
      <w:bCs/>
      <w:kern w:val="2"/>
      <w:sz w:val="28"/>
      <w:szCs w:val="28"/>
      <w:lang w:val="en-US" w:eastAsia="zh-CN" w:bidi="ar-SA"/>
    </w:rPr>
  </w:style>
  <w:style w:type="paragraph" w:customStyle="1" w:styleId="709">
    <w:name w:val="style7"/>
    <w:basedOn w:val="1"/>
    <w:semiHidden/>
    <w:qFormat/>
    <w:uiPriority w:val="0"/>
    <w:pPr>
      <w:widowControl/>
      <w:spacing w:before="100" w:beforeAutospacing="1" w:after="100" w:afterAutospacing="1" w:line="360" w:lineRule="auto"/>
      <w:jc w:val="left"/>
    </w:pPr>
    <w:rPr>
      <w:rFonts w:ascii="宋体" w:hAnsi="宋体" w:cs="宋体"/>
      <w:color w:val="000099"/>
      <w:kern w:val="0"/>
      <w:sz w:val="24"/>
    </w:rPr>
  </w:style>
  <w:style w:type="paragraph" w:customStyle="1" w:styleId="710">
    <w:name w:val="A标题1"/>
    <w:next w:val="1"/>
    <w:semiHidden/>
    <w:qFormat/>
    <w:uiPriority w:val="0"/>
    <w:pPr>
      <w:spacing w:beforeLines="100" w:afterLines="100" w:line="360" w:lineRule="auto"/>
      <w:jc w:val="both"/>
      <w:outlineLvl w:val="0"/>
    </w:pPr>
    <w:rPr>
      <w:rFonts w:ascii="Times New Roman" w:hAnsi="Times New Roman" w:eastAsia="黑体" w:cs="宋体"/>
      <w:b/>
      <w:kern w:val="44"/>
      <w:sz w:val="32"/>
      <w:lang w:val="en-US" w:eastAsia="zh-CN" w:bidi="ar-SA"/>
    </w:rPr>
  </w:style>
  <w:style w:type="paragraph" w:customStyle="1" w:styleId="711">
    <w:name w:val="A标题2"/>
    <w:next w:val="1"/>
    <w:semiHidden/>
    <w:qFormat/>
    <w:uiPriority w:val="0"/>
    <w:pPr>
      <w:spacing w:beforeLines="100" w:afterLines="100"/>
      <w:outlineLvl w:val="1"/>
    </w:pPr>
    <w:rPr>
      <w:rFonts w:ascii="黑体" w:hAnsi="Arial" w:eastAsia="黑体" w:cs="宋体"/>
      <w:b/>
      <w:kern w:val="2"/>
      <w:sz w:val="30"/>
      <w:lang w:val="en-US" w:eastAsia="zh-CN" w:bidi="ar-SA"/>
    </w:rPr>
  </w:style>
  <w:style w:type="paragraph" w:customStyle="1" w:styleId="712">
    <w:name w:val="样式 A标题3 + 自动设置"/>
    <w:basedOn w:val="1"/>
    <w:link w:val="713"/>
    <w:semiHidden/>
    <w:qFormat/>
    <w:uiPriority w:val="0"/>
    <w:pPr>
      <w:widowControl/>
      <w:spacing w:beforeLines="100" w:afterLines="100" w:line="360" w:lineRule="auto"/>
      <w:jc w:val="left"/>
      <w:outlineLvl w:val="2"/>
    </w:pPr>
    <w:rPr>
      <w:rFonts w:eastAsia="黑体" w:cs="宋体"/>
      <w:b/>
      <w:bCs/>
      <w:spacing w:val="20"/>
      <w:kern w:val="0"/>
      <w:sz w:val="28"/>
      <w:szCs w:val="20"/>
    </w:rPr>
  </w:style>
  <w:style w:type="character" w:customStyle="1" w:styleId="713">
    <w:name w:val="样式 A标题3 + 自动设置 Char"/>
    <w:link w:val="712"/>
    <w:semiHidden/>
    <w:qFormat/>
    <w:uiPriority w:val="0"/>
    <w:rPr>
      <w:rFonts w:ascii="Times New Roman" w:hAnsi="Times New Roman" w:eastAsia="黑体" w:cs="宋体"/>
      <w:b/>
      <w:bCs/>
      <w:spacing w:val="20"/>
      <w:kern w:val="0"/>
      <w:sz w:val="28"/>
      <w:szCs w:val="20"/>
    </w:rPr>
  </w:style>
  <w:style w:type="character" w:customStyle="1" w:styleId="714">
    <w:name w:val="bj1"/>
    <w:semiHidden/>
    <w:qFormat/>
    <w:uiPriority w:val="0"/>
    <w:rPr>
      <w:rFonts w:hint="eastAsia" w:ascii="宋体" w:hAnsi="宋体" w:eastAsia="宋体"/>
      <w:sz w:val="18"/>
      <w:szCs w:val="18"/>
    </w:rPr>
  </w:style>
  <w:style w:type="paragraph" w:customStyle="1" w:styleId="715">
    <w:name w:val="Char2 Char Char Char Char Char Char Char Char Char Char Char1 Char Char Char Char Char Char Char"/>
    <w:basedOn w:val="1"/>
    <w:semiHidden/>
    <w:qFormat/>
    <w:uiPriority w:val="0"/>
    <w:rPr>
      <w:sz w:val="24"/>
    </w:rPr>
  </w:style>
  <w:style w:type="character" w:customStyle="1" w:styleId="716">
    <w:name w:val="样式1 Char"/>
    <w:link w:val="192"/>
    <w:qFormat/>
    <w:uiPriority w:val="0"/>
    <w:rPr>
      <w:rFonts w:ascii="Times New Roman" w:hAnsi="Times New Roman" w:eastAsia="仿宋_GB2312" w:cs="Times New Roman"/>
      <w:b/>
      <w:color w:val="000000"/>
      <w:sz w:val="28"/>
      <w:szCs w:val="24"/>
    </w:rPr>
  </w:style>
  <w:style w:type="character" w:customStyle="1" w:styleId="717">
    <w:name w:val="纯文本 Char Char Char Char Char"/>
    <w:qFormat/>
    <w:uiPriority w:val="99"/>
    <w:rPr>
      <w:rFonts w:ascii="宋体" w:hAnsi="Courier New" w:eastAsia="宋体" w:cs="Courier New"/>
      <w:sz w:val="21"/>
      <w:szCs w:val="21"/>
      <w:lang w:val="en-US" w:eastAsia="zh-CN" w:bidi="ar-SA"/>
    </w:rPr>
  </w:style>
  <w:style w:type="paragraph" w:customStyle="1" w:styleId="718">
    <w:name w:val="正文01"/>
    <w:basedOn w:val="1"/>
    <w:qFormat/>
    <w:uiPriority w:val="0"/>
    <w:pPr>
      <w:spacing w:before="40" w:line="420" w:lineRule="exact"/>
      <w:ind w:firstLine="200" w:firstLineChars="200"/>
    </w:pPr>
    <w:rPr>
      <w:bCs/>
      <w:sz w:val="24"/>
    </w:rPr>
  </w:style>
  <w:style w:type="character" w:customStyle="1" w:styleId="719">
    <w:name w:val="报告书表格 Char"/>
    <w:link w:val="451"/>
    <w:qFormat/>
    <w:uiPriority w:val="0"/>
    <w:rPr>
      <w:rFonts w:ascii="Times New Roman" w:hAnsi="Times New Roman" w:eastAsia="宋体" w:cs="Times New Roman"/>
      <w:kern w:val="0"/>
      <w:szCs w:val="20"/>
    </w:rPr>
  </w:style>
  <w:style w:type="character" w:customStyle="1" w:styleId="720">
    <w:name w:val="Default Char"/>
    <w:link w:val="165"/>
    <w:qFormat/>
    <w:uiPriority w:val="0"/>
    <w:rPr>
      <w:rFonts w:ascii="Times New Roman" w:hAnsi="Times New Roman" w:eastAsia="宋体" w:cs="Times New Roman"/>
      <w:color w:val="000000"/>
      <w:kern w:val="0"/>
      <w:sz w:val="24"/>
      <w:szCs w:val="24"/>
    </w:rPr>
  </w:style>
  <w:style w:type="character" w:customStyle="1" w:styleId="721">
    <w:name w:val="灰度表格 Char"/>
    <w:qFormat/>
    <w:uiPriority w:val="0"/>
    <w:rPr>
      <w:rFonts w:eastAsia="宋体"/>
      <w:kern w:val="2"/>
      <w:sz w:val="21"/>
      <w:szCs w:val="21"/>
      <w:lang w:val="en-US" w:eastAsia="zh-CN" w:bidi="ar-SA"/>
    </w:rPr>
  </w:style>
  <w:style w:type="paragraph" w:customStyle="1" w:styleId="722">
    <w:name w:val="表蕊居中"/>
    <w:basedOn w:val="165"/>
    <w:next w:val="165"/>
    <w:qFormat/>
    <w:uiPriority w:val="0"/>
    <w:rPr>
      <w:rFonts w:ascii="宋体"/>
      <w:color w:val="auto"/>
    </w:rPr>
  </w:style>
  <w:style w:type="paragraph" w:customStyle="1" w:styleId="723">
    <w:name w:val="表蕊左对齐"/>
    <w:basedOn w:val="165"/>
    <w:next w:val="165"/>
    <w:semiHidden/>
    <w:qFormat/>
    <w:uiPriority w:val="0"/>
    <w:rPr>
      <w:rFonts w:ascii="宋体"/>
      <w:color w:val="auto"/>
    </w:rPr>
  </w:style>
  <w:style w:type="paragraph" w:customStyle="1" w:styleId="724">
    <w:name w:val="图标题"/>
    <w:basedOn w:val="165"/>
    <w:next w:val="165"/>
    <w:semiHidden/>
    <w:qFormat/>
    <w:uiPriority w:val="0"/>
    <w:rPr>
      <w:color w:val="auto"/>
    </w:rPr>
  </w:style>
  <w:style w:type="character" w:customStyle="1" w:styleId="725">
    <w:name w:val="tpc_content1"/>
    <w:qFormat/>
    <w:uiPriority w:val="0"/>
    <w:rPr>
      <w:rFonts w:hint="default"/>
      <w:sz w:val="18"/>
    </w:rPr>
  </w:style>
  <w:style w:type="character" w:customStyle="1" w:styleId="726">
    <w:name w:val="正文文字 Char1"/>
    <w:qFormat/>
    <w:uiPriority w:val="0"/>
    <w:rPr>
      <w:rFonts w:eastAsia="宋体"/>
      <w:snapToGrid w:val="0"/>
      <w:sz w:val="24"/>
      <w:szCs w:val="24"/>
      <w:lang w:val="en-US" w:eastAsia="zh-CN" w:bidi="ar-SA"/>
    </w:rPr>
  </w:style>
  <w:style w:type="table" w:customStyle="1" w:styleId="727">
    <w:name w:val="new"/>
    <w:basedOn w:val="88"/>
    <w:qFormat/>
    <w:uiPriority w:val="0"/>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
  </w:style>
  <w:style w:type="character" w:customStyle="1" w:styleId="728">
    <w:name w:val="Table Title Char2"/>
    <w:semiHidden/>
    <w:qFormat/>
    <w:uiPriority w:val="0"/>
    <w:rPr>
      <w:rFonts w:eastAsia="宋体"/>
      <w:kern w:val="2"/>
      <w:sz w:val="24"/>
      <w:lang w:val="en-US" w:eastAsia="zh-CN"/>
    </w:rPr>
  </w:style>
  <w:style w:type="table" w:customStyle="1" w:styleId="729">
    <w:name w:val="wb01"/>
    <w:basedOn w:val="88"/>
    <w:qFormat/>
    <w:uiPriority w:val="0"/>
    <w:pPr>
      <w:jc w:val="center"/>
    </w:pPr>
    <w:rPr>
      <w:rFonts w:ascii="Times New Roman" w:hAnsi="Times New Roman"/>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730">
    <w:name w:val="二级项 Char Char"/>
    <w:semiHidden/>
    <w:qFormat/>
    <w:uiPriority w:val="0"/>
    <w:rPr>
      <w:rFonts w:ascii="Cambria" w:hAnsi="Cambria" w:eastAsia="宋体" w:cs="Times New Roman"/>
      <w:b/>
      <w:bCs/>
      <w:sz w:val="24"/>
      <w:szCs w:val="24"/>
    </w:rPr>
  </w:style>
  <w:style w:type="paragraph" w:customStyle="1" w:styleId="731">
    <w:name w:val="表格下方正文"/>
    <w:basedOn w:val="1"/>
    <w:semiHidden/>
    <w:qFormat/>
    <w:uiPriority w:val="0"/>
    <w:pPr>
      <w:spacing w:before="300" w:line="420" w:lineRule="exact"/>
      <w:ind w:firstLine="200" w:firstLineChars="200"/>
    </w:pPr>
    <w:rPr>
      <w:bCs/>
      <w:sz w:val="24"/>
    </w:rPr>
  </w:style>
  <w:style w:type="paragraph" w:customStyle="1" w:styleId="732">
    <w:name w:val="目录 31"/>
    <w:basedOn w:val="1"/>
    <w:next w:val="1"/>
    <w:semiHidden/>
    <w:qFormat/>
    <w:uiPriority w:val="0"/>
    <w:pPr>
      <w:ind w:left="840" w:leftChars="400"/>
    </w:pPr>
    <w:rPr>
      <w:szCs w:val="20"/>
    </w:rPr>
  </w:style>
  <w:style w:type="paragraph" w:customStyle="1" w:styleId="733">
    <w:name w:val="字元 字元"/>
    <w:basedOn w:val="1"/>
    <w:semiHidden/>
    <w:qFormat/>
    <w:uiPriority w:val="0"/>
    <w:rPr>
      <w:sz w:val="24"/>
    </w:rPr>
  </w:style>
  <w:style w:type="paragraph" w:customStyle="1" w:styleId="734">
    <w:name w:val="一级条标题"/>
    <w:basedOn w:val="4"/>
    <w:next w:val="1"/>
    <w:qFormat/>
    <w:uiPriority w:val="0"/>
    <w:pPr>
      <w:keepNext w:val="0"/>
      <w:keepLines w:val="0"/>
      <w:widowControl/>
      <w:tabs>
        <w:tab w:val="left" w:pos="0"/>
        <w:tab w:val="left" w:pos="360"/>
        <w:tab w:val="left" w:pos="1260"/>
      </w:tabs>
      <w:ind w:left="1260" w:hanging="420"/>
      <w:outlineLvl w:val="2"/>
    </w:pPr>
    <w:rPr>
      <w:rFonts w:ascii="黑体"/>
      <w:b/>
      <w:bCs w:val="0"/>
      <w:kern w:val="0"/>
      <w:sz w:val="21"/>
      <w:szCs w:val="20"/>
    </w:rPr>
  </w:style>
  <w:style w:type="paragraph" w:customStyle="1" w:styleId="735">
    <w:name w:val="二级条标题"/>
    <w:basedOn w:val="1"/>
    <w:next w:val="1"/>
    <w:qFormat/>
    <w:uiPriority w:val="0"/>
    <w:pPr>
      <w:widowControl/>
      <w:tabs>
        <w:tab w:val="left" w:pos="360"/>
        <w:tab w:val="left" w:pos="1134"/>
      </w:tabs>
      <w:ind w:left="1134" w:hanging="1134"/>
      <w:outlineLvl w:val="3"/>
    </w:pPr>
    <w:rPr>
      <w:rFonts w:ascii="黑体" w:eastAsia="黑体"/>
      <w:kern w:val="0"/>
      <w:szCs w:val="20"/>
    </w:rPr>
  </w:style>
  <w:style w:type="paragraph" w:customStyle="1" w:styleId="736">
    <w:name w:val="四级条标题"/>
    <w:basedOn w:val="1"/>
    <w:next w:val="1"/>
    <w:qFormat/>
    <w:uiPriority w:val="0"/>
    <w:pPr>
      <w:widowControl/>
      <w:tabs>
        <w:tab w:val="left" w:pos="0"/>
        <w:tab w:val="left" w:pos="360"/>
        <w:tab w:val="left" w:pos="1276"/>
        <w:tab w:val="left" w:pos="2520"/>
      </w:tabs>
      <w:ind w:left="2520" w:hanging="420"/>
      <w:outlineLvl w:val="5"/>
    </w:pPr>
    <w:rPr>
      <w:rFonts w:ascii="黑体" w:eastAsia="黑体"/>
      <w:kern w:val="0"/>
      <w:szCs w:val="20"/>
    </w:rPr>
  </w:style>
  <w:style w:type="paragraph" w:customStyle="1" w:styleId="737">
    <w:name w:val="三级条标题"/>
    <w:basedOn w:val="735"/>
    <w:next w:val="1"/>
    <w:qFormat/>
    <w:uiPriority w:val="0"/>
    <w:pPr>
      <w:ind w:left="2100" w:hanging="420"/>
      <w:outlineLvl w:val="4"/>
    </w:pPr>
  </w:style>
  <w:style w:type="character" w:customStyle="1" w:styleId="738">
    <w:name w:val="Body Text 21 Char"/>
    <w:link w:val="209"/>
    <w:qFormat/>
    <w:uiPriority w:val="0"/>
    <w:rPr>
      <w:rFonts w:ascii="宋体" w:hAnsi="Tms Rmn" w:eastAsia="宋体" w:cs="Times New Roman"/>
      <w:kern w:val="0"/>
      <w:sz w:val="24"/>
      <w:szCs w:val="20"/>
    </w:rPr>
  </w:style>
  <w:style w:type="paragraph" w:customStyle="1" w:styleId="739">
    <w:name w:val="样式 样式 标题 4 + 黑色 左侧:  -0.01 厘米 首行缩进:  0.01 厘米 + 左侧:  0 厘米 首行缩进: ..."/>
    <w:basedOn w:val="1"/>
    <w:semiHidden/>
    <w:qFormat/>
    <w:uiPriority w:val="0"/>
    <w:pPr>
      <w:keepNext/>
      <w:keepLines/>
      <w:tabs>
        <w:tab w:val="left" w:pos="851"/>
      </w:tabs>
      <w:spacing w:beforeLines="50" w:line="324" w:lineRule="auto"/>
      <w:ind w:left="851" w:hanging="851"/>
      <w:outlineLvl w:val="3"/>
    </w:pPr>
    <w:rPr>
      <w:rFonts w:ascii="仿宋_GB2312" w:hAnsi="Arial" w:eastAsia="仿宋_GB2312" w:cs="宋体"/>
      <w:color w:val="000000"/>
      <w:sz w:val="28"/>
      <w:szCs w:val="20"/>
    </w:rPr>
  </w:style>
  <w:style w:type="paragraph" w:customStyle="1" w:styleId="740">
    <w:name w:val="表内字体"/>
    <w:basedOn w:val="1"/>
    <w:qFormat/>
    <w:uiPriority w:val="0"/>
    <w:pPr>
      <w:jc w:val="center"/>
    </w:pPr>
    <w:rPr>
      <w:rFonts w:hAnsi="宋体"/>
      <w:szCs w:val="20"/>
    </w:rPr>
  </w:style>
  <w:style w:type="paragraph" w:customStyle="1" w:styleId="741">
    <w:name w:val="项目编号文字"/>
    <w:basedOn w:val="1"/>
    <w:next w:val="22"/>
    <w:qFormat/>
    <w:uiPriority w:val="0"/>
    <w:pPr>
      <w:spacing w:before="120" w:after="120" w:line="360" w:lineRule="auto"/>
      <w:ind w:left="1077"/>
    </w:pPr>
    <w:rPr>
      <w:sz w:val="24"/>
      <w:szCs w:val="20"/>
    </w:rPr>
  </w:style>
  <w:style w:type="paragraph" w:customStyle="1" w:styleId="742">
    <w:name w:val="Date2"/>
    <w:basedOn w:val="1"/>
    <w:next w:val="1"/>
    <w:semiHidden/>
    <w:qFormat/>
    <w:uiPriority w:val="0"/>
    <w:pPr>
      <w:adjustRightInd w:val="0"/>
      <w:textAlignment w:val="baseline"/>
    </w:pPr>
    <w:rPr>
      <w:szCs w:val="20"/>
    </w:rPr>
  </w:style>
  <w:style w:type="paragraph" w:customStyle="1" w:styleId="743">
    <w:name w:val="二级无标题条"/>
    <w:basedOn w:val="1"/>
    <w:qFormat/>
    <w:uiPriority w:val="0"/>
    <w:pPr>
      <w:tabs>
        <w:tab w:val="left" w:pos="1152"/>
      </w:tabs>
      <w:ind w:left="1152" w:hanging="1152"/>
    </w:pPr>
  </w:style>
  <w:style w:type="paragraph" w:customStyle="1" w:styleId="744">
    <w:name w:val="样式 标题 4 + 行距: 1.5 倍行距"/>
    <w:basedOn w:val="7"/>
    <w:semiHidden/>
    <w:qFormat/>
    <w:uiPriority w:val="0"/>
    <w:rPr>
      <w:rFonts w:cs="宋体"/>
      <w:b/>
      <w:bCs w:val="0"/>
      <w:color w:val="000000"/>
      <w:szCs w:val="20"/>
    </w:rPr>
  </w:style>
  <w:style w:type="paragraph" w:customStyle="1" w:styleId="745">
    <w:name w:val="小四宋居中1.0"/>
    <w:basedOn w:val="1"/>
    <w:next w:val="1"/>
    <w:qFormat/>
    <w:uiPriority w:val="0"/>
    <w:pPr>
      <w:jc w:val="center"/>
    </w:pPr>
    <w:rPr>
      <w:rFonts w:ascii="仿宋_GB2312" w:eastAsia="仿宋_GB2312"/>
      <w:sz w:val="24"/>
      <w:szCs w:val="28"/>
    </w:rPr>
  </w:style>
  <w:style w:type="character" w:customStyle="1" w:styleId="746">
    <w:name w:val="普通文字 Char Char Char Char Char Char Char Char Char Char Char"/>
    <w:qFormat/>
    <w:uiPriority w:val="0"/>
    <w:rPr>
      <w:rFonts w:ascii="宋体" w:hAnsi="Courier New" w:eastAsia="宋体"/>
      <w:kern w:val="2"/>
      <w:sz w:val="21"/>
      <w:lang w:val="en-US" w:eastAsia="zh-CN" w:bidi="ar-SA"/>
    </w:rPr>
  </w:style>
  <w:style w:type="paragraph" w:customStyle="1" w:styleId="747">
    <w:name w:val="小四表格"/>
    <w:basedOn w:val="1"/>
    <w:qFormat/>
    <w:uiPriority w:val="0"/>
    <w:pPr>
      <w:keepNext/>
      <w:autoSpaceDE w:val="0"/>
      <w:autoSpaceDN w:val="0"/>
      <w:adjustRightInd w:val="0"/>
      <w:spacing w:line="480" w:lineRule="atLeast"/>
      <w:jc w:val="center"/>
    </w:pPr>
    <w:rPr>
      <w:color w:val="000000"/>
      <w:sz w:val="24"/>
      <w:szCs w:val="20"/>
    </w:rPr>
  </w:style>
  <w:style w:type="paragraph" w:customStyle="1" w:styleId="748">
    <w:name w:val="T.."/>
    <w:basedOn w:val="165"/>
    <w:next w:val="165"/>
    <w:semiHidden/>
    <w:qFormat/>
    <w:uiPriority w:val="0"/>
    <w:rPr>
      <w:rFonts w:ascii=".." w:eastAsia=".."/>
      <w:color w:val="auto"/>
    </w:rPr>
  </w:style>
  <w:style w:type="paragraph" w:customStyle="1" w:styleId="749">
    <w:name w:val=".."/>
    <w:basedOn w:val="165"/>
    <w:next w:val="165"/>
    <w:semiHidden/>
    <w:qFormat/>
    <w:uiPriority w:val="0"/>
    <w:rPr>
      <w:rFonts w:ascii=".." w:eastAsia=".."/>
      <w:color w:val="auto"/>
    </w:rPr>
  </w:style>
  <w:style w:type="paragraph" w:customStyle="1" w:styleId="750">
    <w:name w:val="新正文"/>
    <w:basedOn w:val="1"/>
    <w:link w:val="751"/>
    <w:qFormat/>
    <w:uiPriority w:val="0"/>
    <w:pPr>
      <w:spacing w:line="480" w:lineRule="exact"/>
      <w:ind w:firstLine="567"/>
    </w:pPr>
    <w:rPr>
      <w:rFonts w:ascii="仿宋_GB2312" w:eastAsia="仿宋_GB2312"/>
      <w:bCs/>
      <w:kern w:val="0"/>
      <w:sz w:val="28"/>
      <w:szCs w:val="20"/>
    </w:rPr>
  </w:style>
  <w:style w:type="character" w:customStyle="1" w:styleId="751">
    <w:name w:val="新正文 Char"/>
    <w:link w:val="750"/>
    <w:qFormat/>
    <w:uiPriority w:val="0"/>
    <w:rPr>
      <w:rFonts w:ascii="仿宋_GB2312" w:hAnsi="Times New Roman" w:eastAsia="仿宋_GB2312" w:cs="Times New Roman"/>
      <w:bCs/>
      <w:kern w:val="0"/>
      <w:sz w:val="28"/>
      <w:szCs w:val="20"/>
    </w:rPr>
  </w:style>
  <w:style w:type="character" w:customStyle="1" w:styleId="752">
    <w:name w:val="表题 Char"/>
    <w:link w:val="197"/>
    <w:qFormat/>
    <w:uiPriority w:val="0"/>
    <w:rPr>
      <w:rFonts w:ascii="宋体" w:hAnsi="宋体" w:eastAsia="宋体" w:cs="Times New Roman"/>
      <w:spacing w:val="-20"/>
      <w:sz w:val="24"/>
      <w:szCs w:val="24"/>
    </w:rPr>
  </w:style>
  <w:style w:type="paragraph" w:customStyle="1" w:styleId="753">
    <w:name w:val="表题格式"/>
    <w:basedOn w:val="1"/>
    <w:qFormat/>
    <w:uiPriority w:val="0"/>
    <w:pPr>
      <w:spacing w:line="400" w:lineRule="exact"/>
    </w:pPr>
    <w:rPr>
      <w:rFonts w:eastAsia="仿宋_GB2312"/>
      <w:kern w:val="0"/>
      <w:sz w:val="24"/>
    </w:rPr>
  </w:style>
  <w:style w:type="character" w:customStyle="1" w:styleId="754">
    <w:name w:val="hottext1"/>
    <w:semiHidden/>
    <w:qFormat/>
    <w:uiPriority w:val="0"/>
    <w:rPr>
      <w:rFonts w:ascii="宋体" w:hAnsi="宋体" w:eastAsia="宋体"/>
      <w:strike/>
      <w:sz w:val="22"/>
      <w:szCs w:val="22"/>
      <w:u w:val="none"/>
    </w:rPr>
  </w:style>
  <w:style w:type="paragraph" w:customStyle="1" w:styleId="755">
    <w:name w:val="项目2"/>
    <w:basedOn w:val="1"/>
    <w:semiHidden/>
    <w:qFormat/>
    <w:uiPriority w:val="0"/>
    <w:pPr>
      <w:tabs>
        <w:tab w:val="left" w:pos="360"/>
      </w:tabs>
      <w:snapToGrid w:val="0"/>
      <w:spacing w:line="240" w:lineRule="atLeast"/>
      <w:ind w:left="340" w:hanging="340"/>
    </w:pPr>
    <w:rPr>
      <w:sz w:val="28"/>
      <w:szCs w:val="28"/>
    </w:rPr>
  </w:style>
  <w:style w:type="paragraph" w:customStyle="1" w:styleId="756">
    <w:name w:val="项目1"/>
    <w:basedOn w:val="1"/>
    <w:qFormat/>
    <w:uiPriority w:val="0"/>
    <w:pPr>
      <w:tabs>
        <w:tab w:val="left" w:pos="425"/>
      </w:tabs>
      <w:snapToGrid w:val="0"/>
      <w:spacing w:line="240" w:lineRule="atLeast"/>
      <w:ind w:left="425" w:hanging="425"/>
    </w:pPr>
    <w:rPr>
      <w:sz w:val="28"/>
      <w:szCs w:val="28"/>
    </w:rPr>
  </w:style>
  <w:style w:type="paragraph" w:customStyle="1" w:styleId="757">
    <w:name w:val="黑点"/>
    <w:basedOn w:val="1"/>
    <w:semiHidden/>
    <w:qFormat/>
    <w:uiPriority w:val="0"/>
    <w:pPr>
      <w:tabs>
        <w:tab w:val="left" w:pos="600"/>
        <w:tab w:val="left" w:pos="2100"/>
      </w:tabs>
      <w:adjustRightInd w:val="0"/>
      <w:spacing w:line="360" w:lineRule="auto"/>
      <w:ind w:left="2100" w:hanging="420"/>
      <w:jc w:val="left"/>
      <w:textAlignment w:val="baseline"/>
    </w:pPr>
    <w:rPr>
      <w:rFonts w:ascii="宋体" w:hAnsi="宋体"/>
      <w:color w:val="000000"/>
      <w:kern w:val="0"/>
      <w:sz w:val="24"/>
    </w:rPr>
  </w:style>
  <w:style w:type="paragraph" w:customStyle="1" w:styleId="758">
    <w:name w:val="样式 标题 2 + (中文) 宋体"/>
    <w:basedOn w:val="5"/>
    <w:semiHidden/>
    <w:qFormat/>
    <w:uiPriority w:val="0"/>
    <w:pPr>
      <w:keepNext w:val="0"/>
      <w:keepLines w:val="0"/>
      <w:tabs>
        <w:tab w:val="left" w:pos="576"/>
      </w:tabs>
      <w:spacing w:line="360" w:lineRule="auto"/>
      <w:ind w:left="567" w:hanging="567"/>
    </w:pPr>
    <w:rPr>
      <w:b/>
      <w:bCs w:val="0"/>
      <w:sz w:val="28"/>
      <w:szCs w:val="28"/>
    </w:rPr>
  </w:style>
  <w:style w:type="paragraph" w:customStyle="1" w:styleId="759">
    <w:name w:val="样式 标题 3 + 段前: 0 磅 段后: 8 磅 行距: 固定值 22 磅1"/>
    <w:basedOn w:val="6"/>
    <w:semiHidden/>
    <w:qFormat/>
    <w:uiPriority w:val="0"/>
    <w:pPr>
      <w:tabs>
        <w:tab w:val="left" w:pos="720"/>
      </w:tabs>
    </w:pPr>
    <w:rPr>
      <w:b/>
      <w:bCs w:val="0"/>
      <w:sz w:val="28"/>
      <w:szCs w:val="28"/>
    </w:rPr>
  </w:style>
  <w:style w:type="paragraph" w:customStyle="1" w:styleId="760">
    <w:name w:val="报告表格"/>
    <w:basedOn w:val="1"/>
    <w:link w:val="1825"/>
    <w:qFormat/>
    <w:uiPriority w:val="0"/>
    <w:pPr>
      <w:autoSpaceDE w:val="0"/>
      <w:autoSpaceDN w:val="0"/>
      <w:adjustRightInd w:val="0"/>
      <w:spacing w:before="40" w:after="40"/>
      <w:jc w:val="center"/>
      <w:textAlignment w:val="bottom"/>
    </w:pPr>
    <w:rPr>
      <w:kern w:val="0"/>
      <w:szCs w:val="21"/>
    </w:rPr>
  </w:style>
  <w:style w:type="paragraph" w:customStyle="1" w:styleId="761">
    <w:name w:val="文本框"/>
    <w:basedOn w:val="1"/>
    <w:next w:val="1"/>
    <w:qFormat/>
    <w:uiPriority w:val="0"/>
    <w:pPr>
      <w:widowControl/>
      <w:spacing w:line="320" w:lineRule="exact"/>
      <w:ind w:firstLine="200" w:firstLineChars="200"/>
      <w:jc w:val="center"/>
    </w:pPr>
    <w:rPr>
      <w:rFonts w:ascii="仿宋_GB2312" w:eastAsia="仿宋_GB2312"/>
      <w:kern w:val="0"/>
      <w:sz w:val="24"/>
    </w:rPr>
  </w:style>
  <w:style w:type="character" w:customStyle="1" w:styleId="762">
    <w:name w:val="标题 2 C"/>
    <w:qFormat/>
    <w:uiPriority w:val="0"/>
    <w:rPr>
      <w:rFonts w:ascii="宋体" w:hAnsi="Arial" w:eastAsia="宋体"/>
      <w:b/>
      <w:bCs/>
      <w:kern w:val="2"/>
      <w:sz w:val="32"/>
      <w:szCs w:val="32"/>
      <w:lang w:val="en-US" w:eastAsia="zh-CN"/>
    </w:rPr>
  </w:style>
  <w:style w:type="paragraph" w:customStyle="1" w:styleId="763">
    <w:name w:val="报告"/>
    <w:basedOn w:val="1"/>
    <w:link w:val="1658"/>
    <w:qFormat/>
    <w:uiPriority w:val="0"/>
    <w:pPr>
      <w:adjustRightInd w:val="0"/>
      <w:spacing w:line="360" w:lineRule="auto"/>
      <w:ind w:firstLine="505"/>
      <w:textAlignment w:val="center"/>
    </w:pPr>
    <w:rPr>
      <w:rFonts w:ascii="TimesNewRoman" w:hAnsi="TimesNewRoman"/>
      <w:kern w:val="0"/>
      <w:sz w:val="24"/>
    </w:rPr>
  </w:style>
  <w:style w:type="paragraph" w:customStyle="1" w:styleId="764">
    <w:name w:val="OmniPage #7"/>
    <w:basedOn w:val="1"/>
    <w:semiHidden/>
    <w:qFormat/>
    <w:uiPriority w:val="0"/>
    <w:pPr>
      <w:widowControl/>
      <w:spacing w:line="320" w:lineRule="exact"/>
      <w:jc w:val="left"/>
    </w:pPr>
    <w:rPr>
      <w:kern w:val="0"/>
      <w:sz w:val="20"/>
      <w:szCs w:val="20"/>
      <w:lang w:val="en-GB" w:eastAsia="en-US"/>
    </w:rPr>
  </w:style>
  <w:style w:type="paragraph" w:customStyle="1" w:styleId="765">
    <w:name w:val="正文标准格式"/>
    <w:basedOn w:val="1"/>
    <w:semiHidden/>
    <w:qFormat/>
    <w:uiPriority w:val="0"/>
    <w:pPr>
      <w:spacing w:line="500" w:lineRule="exact"/>
      <w:ind w:left="200" w:leftChars="200"/>
      <w:jc w:val="left"/>
    </w:pPr>
    <w:rPr>
      <w:rFonts w:eastAsia="仿宋_GB2312"/>
      <w:color w:val="000000"/>
      <w:sz w:val="28"/>
      <w:szCs w:val="28"/>
    </w:rPr>
  </w:style>
  <w:style w:type="character" w:customStyle="1" w:styleId="766">
    <w:name w:val="正文标准格式 Char"/>
    <w:semiHidden/>
    <w:qFormat/>
    <w:uiPriority w:val="0"/>
    <w:rPr>
      <w:rFonts w:eastAsia="仿宋_GB2312"/>
      <w:color w:val="000000"/>
      <w:kern w:val="2"/>
      <w:sz w:val="28"/>
      <w:szCs w:val="28"/>
      <w:lang w:val="en-US" w:eastAsia="zh-CN"/>
    </w:rPr>
  </w:style>
  <w:style w:type="paragraph" w:customStyle="1" w:styleId="767">
    <w:name w:val="样式 正文标准格式 + 左侧:  2 字符"/>
    <w:basedOn w:val="765"/>
    <w:semiHidden/>
    <w:qFormat/>
    <w:uiPriority w:val="0"/>
  </w:style>
  <w:style w:type="paragraph" w:customStyle="1" w:styleId="768">
    <w:name w:val="样式 正文标准格式 + 左侧:  2 字符1"/>
    <w:basedOn w:val="765"/>
    <w:semiHidden/>
    <w:qFormat/>
    <w:uiPriority w:val="0"/>
    <w:pPr>
      <w:ind w:left="0" w:leftChars="0"/>
    </w:pPr>
  </w:style>
  <w:style w:type="paragraph" w:customStyle="1" w:styleId="769">
    <w:name w:val="样式 111"/>
    <w:basedOn w:val="1"/>
    <w:semiHidden/>
    <w:qFormat/>
    <w:uiPriority w:val="0"/>
    <w:pPr>
      <w:jc w:val="center"/>
    </w:pPr>
    <w:rPr>
      <w:rFonts w:eastAsia="仿宋_GB2312"/>
      <w:color w:val="000000"/>
      <w:sz w:val="24"/>
    </w:rPr>
  </w:style>
  <w:style w:type="paragraph" w:customStyle="1" w:styleId="770">
    <w:name w:val="Chapter"/>
    <w:basedOn w:val="1"/>
    <w:semiHidden/>
    <w:qFormat/>
    <w:uiPriority w:val="0"/>
    <w:pPr>
      <w:widowControl/>
      <w:tabs>
        <w:tab w:val="left" w:pos="426"/>
        <w:tab w:val="left" w:pos="1620"/>
      </w:tabs>
    </w:pPr>
    <w:rPr>
      <w:b/>
      <w:bCs/>
      <w:kern w:val="0"/>
      <w:sz w:val="28"/>
      <w:szCs w:val="28"/>
      <w:lang w:eastAsia="en-US"/>
    </w:rPr>
  </w:style>
  <w:style w:type="paragraph" w:customStyle="1" w:styleId="771">
    <w:name w:val="ChapterNum"/>
    <w:basedOn w:val="770"/>
    <w:semiHidden/>
    <w:qFormat/>
    <w:uiPriority w:val="0"/>
    <w:pPr>
      <w:keepNext/>
      <w:tabs>
        <w:tab w:val="left" w:pos="570"/>
      </w:tabs>
      <w:ind w:left="570" w:hanging="570"/>
    </w:pPr>
    <w:rPr>
      <w:rFonts w:ascii="Arial" w:hAnsi="Arial"/>
    </w:rPr>
  </w:style>
  <w:style w:type="paragraph" w:customStyle="1" w:styleId="772">
    <w:name w:val="SectionNum"/>
    <w:basedOn w:val="1"/>
    <w:semiHidden/>
    <w:qFormat/>
    <w:uiPriority w:val="0"/>
    <w:pPr>
      <w:keepNext/>
      <w:widowControl/>
      <w:tabs>
        <w:tab w:val="left" w:pos="570"/>
      </w:tabs>
      <w:ind w:left="570" w:hanging="570"/>
    </w:pPr>
    <w:rPr>
      <w:rFonts w:ascii="Arial" w:hAnsi="Arial"/>
      <w:b/>
      <w:bCs/>
      <w:kern w:val="0"/>
      <w:sz w:val="24"/>
      <w:lang w:eastAsia="en-US"/>
    </w:rPr>
  </w:style>
  <w:style w:type="paragraph" w:customStyle="1" w:styleId="773">
    <w:name w:val="SubSectionNum"/>
    <w:basedOn w:val="1"/>
    <w:semiHidden/>
    <w:qFormat/>
    <w:uiPriority w:val="0"/>
    <w:pPr>
      <w:widowControl/>
      <w:tabs>
        <w:tab w:val="left" w:pos="720"/>
      </w:tabs>
      <w:ind w:left="720" w:hanging="720"/>
    </w:pPr>
    <w:rPr>
      <w:rFonts w:ascii="Arial" w:hAnsi="Arial"/>
      <w:b/>
      <w:bCs/>
      <w:kern w:val="0"/>
      <w:sz w:val="24"/>
      <w:lang w:eastAsia="en-US"/>
    </w:rPr>
  </w:style>
  <w:style w:type="paragraph" w:customStyle="1" w:styleId="774">
    <w:name w:val="中表格"/>
    <w:basedOn w:val="1"/>
    <w:qFormat/>
    <w:uiPriority w:val="0"/>
    <w:pPr>
      <w:spacing w:line="420" w:lineRule="exact"/>
      <w:jc w:val="center"/>
    </w:pPr>
    <w:rPr>
      <w:rFonts w:ascii="宋体" w:hAnsi="Arial"/>
      <w:sz w:val="24"/>
    </w:rPr>
  </w:style>
  <w:style w:type="paragraph" w:customStyle="1" w:styleId="775">
    <w:name w:val="大表格"/>
    <w:basedOn w:val="774"/>
    <w:qFormat/>
    <w:uiPriority w:val="0"/>
    <w:pPr>
      <w:spacing w:line="480" w:lineRule="exact"/>
    </w:pPr>
    <w:rPr>
      <w:sz w:val="28"/>
      <w:szCs w:val="28"/>
    </w:rPr>
  </w:style>
  <w:style w:type="paragraph" w:customStyle="1" w:styleId="776">
    <w:name w:val="c"/>
    <w:qFormat/>
    <w:uiPriority w:val="0"/>
    <w:pPr>
      <w:widowControl w:val="0"/>
      <w:autoSpaceDE w:val="0"/>
      <w:autoSpaceDN w:val="0"/>
      <w:adjustRightInd w:val="0"/>
      <w:jc w:val="both"/>
    </w:pPr>
    <w:rPr>
      <w:rFonts w:ascii="Arial" w:hAnsi="Arial" w:eastAsia="宋体" w:cs="Times New Roman"/>
      <w:sz w:val="24"/>
      <w:szCs w:val="24"/>
      <w:lang w:val="en-US" w:eastAsia="zh-CN" w:bidi="ar-SA"/>
    </w:rPr>
  </w:style>
  <w:style w:type="paragraph" w:customStyle="1" w:styleId="777">
    <w:name w:val="Print- From: To: Subject: Date:"/>
    <w:basedOn w:val="1"/>
    <w:qFormat/>
    <w:uiPriority w:val="0"/>
    <w:pPr>
      <w:pBdr>
        <w:left w:val="single" w:color="auto" w:sz="18" w:space="1"/>
      </w:pBdr>
      <w:adjustRightInd w:val="0"/>
      <w:spacing w:line="360" w:lineRule="atLeast"/>
      <w:jc w:val="left"/>
      <w:textAlignment w:val="baseline"/>
    </w:pPr>
    <w:rPr>
      <w:rFonts w:eastAsia="PMingLiU"/>
      <w:kern w:val="0"/>
      <w:sz w:val="24"/>
      <w:lang w:eastAsia="zh-TW"/>
    </w:rPr>
  </w:style>
  <w:style w:type="paragraph" w:customStyle="1" w:styleId="778">
    <w:name w:val="表格名称"/>
    <w:basedOn w:val="1"/>
    <w:semiHidden/>
    <w:qFormat/>
    <w:uiPriority w:val="0"/>
    <w:pPr>
      <w:keepNext/>
      <w:spacing w:beforeLines="25" w:afterLines="25" w:line="440" w:lineRule="exact"/>
    </w:pPr>
    <w:rPr>
      <w:rFonts w:ascii="宋体"/>
      <w:sz w:val="24"/>
    </w:rPr>
  </w:style>
  <w:style w:type="paragraph" w:customStyle="1" w:styleId="779">
    <w:name w:val="正文王"/>
    <w:basedOn w:val="45"/>
    <w:qFormat/>
    <w:uiPriority w:val="0"/>
    <w:pPr>
      <w:spacing w:line="440" w:lineRule="exact"/>
    </w:pPr>
    <w:rPr>
      <w:rFonts w:ascii="Arial" w:hAnsi="Arial"/>
      <w:kern w:val="0"/>
      <w:sz w:val="24"/>
      <w:szCs w:val="24"/>
    </w:rPr>
  </w:style>
  <w:style w:type="paragraph" w:customStyle="1" w:styleId="780">
    <w:name w:val="样式 标题 3条标题1.1.1 + 段前: 0.5 行 段后: 0.5 行"/>
    <w:basedOn w:val="6"/>
    <w:semiHidden/>
    <w:qFormat/>
    <w:uiPriority w:val="0"/>
    <w:pPr>
      <w:widowControl/>
      <w:numPr>
        <w:numId w:val="0"/>
      </w:numPr>
      <w:tabs>
        <w:tab w:val="left" w:pos="720"/>
      </w:tabs>
      <w:spacing w:before="156" w:after="156" w:line="500" w:lineRule="exact"/>
      <w:jc w:val="left"/>
    </w:pPr>
    <w:rPr>
      <w:rFonts w:ascii="仿宋_GB2312" w:eastAsia="仿宋_GB2312"/>
      <w:b/>
      <w:bCs w:val="0"/>
      <w:sz w:val="28"/>
      <w:szCs w:val="28"/>
    </w:rPr>
  </w:style>
  <w:style w:type="paragraph" w:customStyle="1" w:styleId="781">
    <w:name w:val="小四表文居中"/>
    <w:qFormat/>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782">
    <w:name w:val="表格03"/>
    <w:basedOn w:val="1"/>
    <w:qFormat/>
    <w:uiPriority w:val="0"/>
    <w:pPr>
      <w:spacing w:line="400" w:lineRule="exact"/>
      <w:jc w:val="center"/>
    </w:pPr>
    <w:rPr>
      <w:szCs w:val="21"/>
    </w:rPr>
  </w:style>
  <w:style w:type="paragraph" w:customStyle="1" w:styleId="783">
    <w:name w:val="样式 列表 2 + 宋体 小四 行距: 固定值 19 磅"/>
    <w:basedOn w:val="37"/>
    <w:semiHidden/>
    <w:qFormat/>
    <w:uiPriority w:val="0"/>
    <w:pPr>
      <w:spacing w:line="400" w:lineRule="exact"/>
      <w:ind w:left="0" w:leftChars="0" w:firstLine="0" w:firstLineChars="0"/>
      <w:contextualSpacing w:val="0"/>
      <w:jc w:val="center"/>
    </w:pPr>
    <w:rPr>
      <w:rFonts w:ascii="宋体" w:hAnsi="宋体"/>
      <w:sz w:val="24"/>
    </w:rPr>
  </w:style>
  <w:style w:type="paragraph" w:customStyle="1" w:styleId="784">
    <w:name w:val="样式 标题 2第一章 标题 2Heading 2 HiddenHeading 2 CCBSheading 2H2h2...3"/>
    <w:basedOn w:val="5"/>
    <w:semiHidden/>
    <w:qFormat/>
    <w:uiPriority w:val="0"/>
    <w:pPr>
      <w:spacing w:line="500" w:lineRule="exact"/>
    </w:pPr>
    <w:rPr>
      <w:rFonts w:eastAsia="仿宋_GB2312" w:cs="宋体"/>
      <w:sz w:val="28"/>
      <w:szCs w:val="20"/>
    </w:rPr>
  </w:style>
  <w:style w:type="character" w:customStyle="1" w:styleId="785">
    <w:name w:val="black0001"/>
    <w:semiHidden/>
    <w:qFormat/>
    <w:uiPriority w:val="0"/>
    <w:rPr>
      <w:b/>
      <w:bCs/>
      <w:color w:val="000000"/>
      <w:sz w:val="24"/>
      <w:szCs w:val="24"/>
    </w:rPr>
  </w:style>
  <w:style w:type="character" w:customStyle="1" w:styleId="786">
    <w:name w:val="标题 1.1 Char Char Char"/>
    <w:semiHidden/>
    <w:qFormat/>
    <w:uiPriority w:val="0"/>
    <w:rPr>
      <w:rFonts w:ascii="黑体" w:hAnsi="宋体" w:eastAsia="黑体"/>
      <w:b/>
      <w:bCs/>
      <w:kern w:val="2"/>
      <w:sz w:val="32"/>
      <w:szCs w:val="32"/>
      <w:lang w:val="en-US" w:eastAsia="zh-CN" w:bidi="ar-SA"/>
    </w:rPr>
  </w:style>
  <w:style w:type="paragraph" w:customStyle="1" w:styleId="787">
    <w:name w:val="CM42"/>
    <w:basedOn w:val="165"/>
    <w:next w:val="165"/>
    <w:qFormat/>
    <w:uiPriority w:val="0"/>
    <w:pPr>
      <w:spacing w:line="500" w:lineRule="atLeast"/>
    </w:pPr>
    <w:rPr>
      <w:rFonts w:ascii="黑体" w:eastAsia="黑体"/>
      <w:color w:val="auto"/>
    </w:rPr>
  </w:style>
  <w:style w:type="paragraph" w:customStyle="1" w:styleId="788">
    <w:name w:val="CM38"/>
    <w:basedOn w:val="165"/>
    <w:next w:val="165"/>
    <w:semiHidden/>
    <w:qFormat/>
    <w:uiPriority w:val="0"/>
    <w:pPr>
      <w:spacing w:line="500" w:lineRule="atLeast"/>
    </w:pPr>
    <w:rPr>
      <w:rFonts w:ascii="黑体" w:eastAsia="黑体"/>
      <w:color w:val="auto"/>
    </w:rPr>
  </w:style>
  <w:style w:type="paragraph" w:customStyle="1" w:styleId="789">
    <w:name w:val="HLZW + (中文)"/>
    <w:basedOn w:val="1"/>
    <w:semiHidden/>
    <w:qFormat/>
    <w:uiPriority w:val="0"/>
    <w:pPr>
      <w:spacing w:line="500" w:lineRule="exact"/>
      <w:ind w:firstLine="480" w:firstLineChars="200"/>
    </w:pPr>
    <w:rPr>
      <w:rFonts w:eastAsia="仿宋_GB2312" w:cs="宋体"/>
      <w:color w:val="000000"/>
      <w:sz w:val="28"/>
      <w:szCs w:val="20"/>
    </w:rPr>
  </w:style>
  <w:style w:type="paragraph" w:customStyle="1" w:styleId="790">
    <w:name w:val="HL22"/>
    <w:basedOn w:val="1"/>
    <w:semiHidden/>
    <w:qFormat/>
    <w:uiPriority w:val="0"/>
    <w:pPr>
      <w:keepNext/>
      <w:keepLines/>
      <w:spacing w:before="120" w:after="120" w:line="500" w:lineRule="exact"/>
      <w:outlineLvl w:val="1"/>
    </w:pPr>
    <w:rPr>
      <w:rFonts w:eastAsia="仿宋_GB2312"/>
      <w:b/>
      <w:bCs/>
      <w:color w:val="000000"/>
      <w:sz w:val="28"/>
      <w:szCs w:val="32"/>
    </w:rPr>
  </w:style>
  <w:style w:type="paragraph" w:customStyle="1" w:styleId="791">
    <w:name w:val="chen正文111"/>
    <w:basedOn w:val="1"/>
    <w:semiHidden/>
    <w:qFormat/>
    <w:uiPriority w:val="0"/>
    <w:pPr>
      <w:adjustRightInd w:val="0"/>
      <w:snapToGrid w:val="0"/>
      <w:spacing w:line="500" w:lineRule="exact"/>
      <w:ind w:firstLine="560" w:firstLineChars="200"/>
    </w:pPr>
    <w:rPr>
      <w:rFonts w:eastAsia="仿宋_GB2312"/>
      <w:bCs/>
      <w:color w:val="000000"/>
      <w:sz w:val="28"/>
      <w:szCs w:val="28"/>
    </w:rPr>
  </w:style>
  <w:style w:type="paragraph" w:customStyle="1" w:styleId="792">
    <w:name w:val="表格chenbb"/>
    <w:basedOn w:val="1"/>
    <w:semiHidden/>
    <w:qFormat/>
    <w:uiPriority w:val="0"/>
    <w:pPr>
      <w:spacing w:line="320" w:lineRule="exact"/>
      <w:jc w:val="center"/>
    </w:pPr>
    <w:rPr>
      <w:rFonts w:eastAsia="仿宋_GB2312"/>
      <w:b/>
      <w:kern w:val="0"/>
      <w:szCs w:val="21"/>
    </w:rPr>
  </w:style>
  <w:style w:type="paragraph" w:customStyle="1" w:styleId="793">
    <w:name w:val="正文楷体"/>
    <w:basedOn w:val="1"/>
    <w:qFormat/>
    <w:uiPriority w:val="0"/>
    <w:rPr>
      <w:rFonts w:eastAsia="楷体_GB2312"/>
    </w:rPr>
  </w:style>
  <w:style w:type="paragraph" w:customStyle="1" w:styleId="794">
    <w:name w:val="正文缩进2"/>
    <w:basedOn w:val="1"/>
    <w:semiHidden/>
    <w:qFormat/>
    <w:uiPriority w:val="0"/>
    <w:pPr>
      <w:spacing w:line="500" w:lineRule="exact"/>
      <w:ind w:firstLine="560" w:firstLineChars="200"/>
    </w:pPr>
    <w:rPr>
      <w:rFonts w:ascii="宋体" w:hAnsi="宋体"/>
      <w:sz w:val="28"/>
    </w:rPr>
  </w:style>
  <w:style w:type="paragraph" w:customStyle="1" w:styleId="795">
    <w:name w:val="表内容"/>
    <w:basedOn w:val="794"/>
    <w:next w:val="1"/>
    <w:qFormat/>
    <w:uiPriority w:val="0"/>
    <w:pPr>
      <w:spacing w:line="240" w:lineRule="auto"/>
      <w:ind w:firstLine="200"/>
    </w:pPr>
    <w:rPr>
      <w:sz w:val="21"/>
    </w:rPr>
  </w:style>
  <w:style w:type="paragraph" w:customStyle="1" w:styleId="796">
    <w:name w:val="正文改动"/>
    <w:basedOn w:val="1"/>
    <w:semiHidden/>
    <w:qFormat/>
    <w:uiPriority w:val="0"/>
    <w:rPr>
      <w:color w:val="0000FF"/>
    </w:rPr>
  </w:style>
  <w:style w:type="paragraph" w:customStyle="1" w:styleId="797">
    <w:name w:val="小4仿宋居中行1"/>
    <w:qFormat/>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798">
    <w:name w:val="小四居中行1"/>
    <w:basedOn w:val="1"/>
    <w:qFormat/>
    <w:uiPriority w:val="0"/>
    <w:pPr>
      <w:ind w:left="140"/>
      <w:jc w:val="center"/>
    </w:pPr>
    <w:rPr>
      <w:rFonts w:ascii="宋体" w:eastAsia="仿宋_GB2312"/>
      <w:sz w:val="24"/>
      <w:szCs w:val="20"/>
    </w:rPr>
  </w:style>
  <w:style w:type="paragraph" w:customStyle="1" w:styleId="799">
    <w:name w:val="正方"/>
    <w:basedOn w:val="1"/>
    <w:semiHidden/>
    <w:qFormat/>
    <w:uiPriority w:val="0"/>
    <w:pPr>
      <w:tabs>
        <w:tab w:val="left" w:pos="240"/>
      </w:tabs>
      <w:autoSpaceDE w:val="0"/>
      <w:autoSpaceDN w:val="0"/>
      <w:adjustRightInd w:val="0"/>
      <w:spacing w:line="360" w:lineRule="auto"/>
    </w:pPr>
    <w:rPr>
      <w:rFonts w:ascii="Bookman Old Style" w:hAnsi="Bookman Old Style" w:cs="Arial"/>
      <w:kern w:val="0"/>
      <w:sz w:val="24"/>
      <w:szCs w:val="20"/>
    </w:rPr>
  </w:style>
  <w:style w:type="paragraph" w:customStyle="1" w:styleId="800">
    <w:name w:val="样式 标题 1 + 两端对齐"/>
    <w:basedOn w:val="4"/>
    <w:semiHidden/>
    <w:qFormat/>
    <w:uiPriority w:val="0"/>
    <w:pPr>
      <w:spacing w:line="400" w:lineRule="exact"/>
    </w:pPr>
    <w:rPr>
      <w:b/>
      <w:bCs w:val="0"/>
      <w:sz w:val="28"/>
      <w:szCs w:val="20"/>
    </w:rPr>
  </w:style>
  <w:style w:type="paragraph" w:customStyle="1" w:styleId="801">
    <w:name w:val="Char4 Char Char Char Char Char Char Char Char Char Char Char Char Char Char Char Char Char1 Char Char Char Char Char Char1 Char Char Char Char Char Char Char Char Char Char Char Char Char Char Char Char Char Char Char"/>
    <w:basedOn w:val="1"/>
    <w:semiHidden/>
    <w:qFormat/>
    <w:uiPriority w:val="0"/>
    <w:pPr>
      <w:spacing w:line="240" w:lineRule="exact"/>
      <w:ind w:firstLine="200" w:firstLineChars="200"/>
    </w:pPr>
    <w:rPr>
      <w:sz w:val="28"/>
      <w:szCs w:val="28"/>
    </w:rPr>
  </w:style>
  <w:style w:type="paragraph" w:customStyle="1" w:styleId="802">
    <w:name w:val="Char1 Char Char Char Char Char Char Char Char"/>
    <w:basedOn w:val="1"/>
    <w:semiHidden/>
    <w:qFormat/>
    <w:uiPriority w:val="0"/>
    <w:rPr>
      <w:sz w:val="24"/>
    </w:rPr>
  </w:style>
  <w:style w:type="paragraph" w:customStyle="1" w:styleId="803">
    <w:name w:val="Char3 Char Char Char Char Char Char"/>
    <w:basedOn w:val="1"/>
    <w:semiHidden/>
    <w:qFormat/>
    <w:uiPriority w:val="0"/>
    <w:rPr>
      <w:szCs w:val="21"/>
    </w:rPr>
  </w:style>
  <w:style w:type="paragraph" w:customStyle="1" w:styleId="804">
    <w:name w:val="Char Char Char2 Char Char Char Char Char Char Char Char Char Char"/>
    <w:basedOn w:val="1"/>
    <w:semiHidden/>
    <w:qFormat/>
    <w:uiPriority w:val="0"/>
    <w:rPr>
      <w:szCs w:val="21"/>
    </w:rPr>
  </w:style>
  <w:style w:type="paragraph" w:customStyle="1" w:styleId="805">
    <w:name w:val="字元1"/>
    <w:basedOn w:val="1"/>
    <w:semiHidden/>
    <w:qFormat/>
    <w:uiPriority w:val="0"/>
    <w:rPr>
      <w:szCs w:val="21"/>
    </w:rPr>
  </w:style>
  <w:style w:type="character" w:customStyle="1" w:styleId="806">
    <w:name w:val="style41"/>
    <w:qFormat/>
    <w:uiPriority w:val="0"/>
    <w:rPr>
      <w:b/>
      <w:bCs/>
      <w:sz w:val="21"/>
      <w:szCs w:val="21"/>
    </w:rPr>
  </w:style>
  <w:style w:type="paragraph" w:customStyle="1" w:styleId="807">
    <w:name w:val="T表格"/>
    <w:basedOn w:val="165"/>
    <w:next w:val="165"/>
    <w:qFormat/>
    <w:uiPriority w:val="0"/>
    <w:rPr>
      <w:color w:val="auto"/>
      <w:sz w:val="20"/>
    </w:rPr>
  </w:style>
  <w:style w:type="character" w:customStyle="1" w:styleId="808">
    <w:name w:val="样式 标题 4 + 图案: 清除 (白色)1 Char"/>
    <w:qFormat/>
    <w:uiPriority w:val="0"/>
    <w:rPr>
      <w:rFonts w:ascii="Arial Narrow" w:hAnsi="Arial Narrow" w:eastAsia="仿宋_GB2312"/>
      <w:sz w:val="24"/>
      <w:shd w:val="clear" w:color="auto" w:fill="FFFFFF"/>
      <w:lang w:val="en-US" w:eastAsia="zh-CN" w:bidi="ar-SA"/>
    </w:rPr>
  </w:style>
  <w:style w:type="paragraph" w:customStyle="1" w:styleId="80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810">
    <w:name w:val="Char Char Char Char Char Char Char Char Char1 Char"/>
    <w:basedOn w:val="1"/>
    <w:qFormat/>
    <w:uiPriority w:val="0"/>
    <w:rPr>
      <w:sz w:val="24"/>
    </w:rPr>
  </w:style>
  <w:style w:type="character" w:customStyle="1" w:styleId="811">
    <w:name w:val="style81"/>
    <w:qFormat/>
    <w:uiPriority w:val="0"/>
    <w:rPr>
      <w:sz w:val="26"/>
      <w:szCs w:val="26"/>
    </w:rPr>
  </w:style>
  <w:style w:type="character" w:customStyle="1" w:styleId="812">
    <w:name w:val="Plain Text Char1 Char"/>
    <w:qFormat/>
    <w:uiPriority w:val="0"/>
    <w:rPr>
      <w:rFonts w:ascii="宋体" w:hAnsi="Courier New" w:eastAsia="宋体"/>
      <w:kern w:val="2"/>
      <w:sz w:val="21"/>
      <w:lang w:val="en-US" w:eastAsia="zh-CN" w:bidi="ar-SA"/>
    </w:rPr>
  </w:style>
  <w:style w:type="paragraph" w:customStyle="1" w:styleId="813">
    <w:name w:val="Char Char Char1 Char Char Char Char Char Char Char"/>
    <w:basedOn w:val="1"/>
    <w:semiHidden/>
    <w:qFormat/>
    <w:uiPriority w:val="0"/>
    <w:rPr>
      <w:rFonts w:ascii="Tahoma" w:hAnsi="Tahoma"/>
      <w:sz w:val="24"/>
      <w:szCs w:val="20"/>
    </w:rPr>
  </w:style>
  <w:style w:type="paragraph" w:customStyle="1" w:styleId="814">
    <w:name w:val="正文001"/>
    <w:basedOn w:val="1"/>
    <w:link w:val="2009"/>
    <w:qFormat/>
    <w:uiPriority w:val="0"/>
    <w:pPr>
      <w:spacing w:before="60" w:line="420" w:lineRule="exact"/>
      <w:ind w:firstLine="482"/>
    </w:pPr>
    <w:rPr>
      <w:sz w:val="24"/>
    </w:rPr>
  </w:style>
  <w:style w:type="paragraph" w:customStyle="1" w:styleId="815">
    <w:name w:val="WPS Plain"/>
    <w:qFormat/>
    <w:uiPriority w:val="0"/>
    <w:rPr>
      <w:rFonts w:ascii="Times New Roman" w:hAnsi="Times New Roman" w:eastAsia="宋体" w:cs="Times New Roman"/>
      <w:lang w:val="en-US" w:eastAsia="zh-CN" w:bidi="ar-SA"/>
    </w:rPr>
  </w:style>
  <w:style w:type="character" w:customStyle="1" w:styleId="816">
    <w:name w:val="无页眉 Char"/>
    <w:semiHidden/>
    <w:qFormat/>
    <w:uiPriority w:val="99"/>
    <w:rPr>
      <w:rFonts w:eastAsia="宋体"/>
      <w:kern w:val="2"/>
      <w:sz w:val="18"/>
      <w:szCs w:val="18"/>
      <w:lang w:val="en-US" w:eastAsia="zh-CN" w:bidi="ar-SA"/>
    </w:rPr>
  </w:style>
  <w:style w:type="paragraph" w:customStyle="1" w:styleId="817">
    <w:name w:val="样式 标题 3标题 3 Char CharH3h33rd level标题3 + 段前: 0.5 行"/>
    <w:basedOn w:val="6"/>
    <w:qFormat/>
    <w:uiPriority w:val="0"/>
    <w:pPr>
      <w:keepNext w:val="0"/>
      <w:keepLines w:val="0"/>
      <w:widowControl/>
      <w:spacing w:beforeLines="50"/>
      <w:ind w:firstLine="540"/>
      <w:outlineLvl w:val="9"/>
    </w:pPr>
    <w:rPr>
      <w:rFonts w:hAnsi="宋体"/>
      <w:sz w:val="24"/>
      <w:szCs w:val="24"/>
    </w:rPr>
  </w:style>
  <w:style w:type="paragraph" w:customStyle="1" w:styleId="818">
    <w:name w:val="目录3"/>
    <w:basedOn w:val="1"/>
    <w:next w:val="1"/>
    <w:qFormat/>
    <w:uiPriority w:val="0"/>
    <w:pPr>
      <w:tabs>
        <w:tab w:val="left" w:leader="dot" w:pos="8503"/>
      </w:tabs>
      <w:spacing w:line="317" w:lineRule="atLeast"/>
      <w:ind w:left="419" w:firstLine="419"/>
    </w:pPr>
    <w:rPr>
      <w:rFonts w:hint="eastAsia"/>
      <w:szCs w:val="20"/>
    </w:rPr>
  </w:style>
  <w:style w:type="character" w:customStyle="1" w:styleId="819">
    <w:name w:val="文本 Char1"/>
    <w:semiHidden/>
    <w:qFormat/>
    <w:uiPriority w:val="0"/>
    <w:rPr>
      <w:rFonts w:eastAsia="宋体"/>
      <w:kern w:val="2"/>
      <w:sz w:val="24"/>
      <w:szCs w:val="24"/>
      <w:lang w:val="en-US" w:eastAsia="zh-CN" w:bidi="ar-SA"/>
    </w:rPr>
  </w:style>
  <w:style w:type="paragraph" w:customStyle="1" w:styleId="820">
    <w:name w:val="样式 宋体 四号 悬挂缩进: 4.71 字符 段前: 7.8 磅 行距: 固定值 24 磅"/>
    <w:basedOn w:val="1"/>
    <w:semiHidden/>
    <w:qFormat/>
    <w:uiPriority w:val="0"/>
    <w:pPr>
      <w:spacing w:before="156" w:line="480" w:lineRule="exact"/>
      <w:ind w:left="1823" w:leftChars="240" w:hanging="1319" w:hangingChars="471"/>
    </w:pPr>
    <w:rPr>
      <w:rFonts w:ascii="宋体" w:cs="宋体"/>
      <w:sz w:val="24"/>
      <w:szCs w:val="20"/>
    </w:rPr>
  </w:style>
  <w:style w:type="character" w:customStyle="1" w:styleId="821">
    <w:name w:val="表格文字 Char"/>
    <w:link w:val="180"/>
    <w:qFormat/>
    <w:uiPriority w:val="0"/>
    <w:rPr>
      <w:rFonts w:ascii="宋体" w:hAnsi="Arial Black" w:eastAsia="宋体" w:cs="Times New Roman"/>
      <w:color w:val="000000"/>
      <w:kern w:val="44"/>
      <w:sz w:val="24"/>
      <w:szCs w:val="20"/>
    </w:rPr>
  </w:style>
  <w:style w:type="character" w:customStyle="1" w:styleId="822">
    <w:name w:val="文字 Char"/>
    <w:link w:val="498"/>
    <w:qFormat/>
    <w:uiPriority w:val="0"/>
    <w:rPr>
      <w:rFonts w:ascii="仿宋_GB2312" w:hAnsi="宋体" w:eastAsia="仿宋_GB2312" w:cs="Times New Roman"/>
      <w:sz w:val="24"/>
      <w:szCs w:val="20"/>
    </w:rPr>
  </w:style>
  <w:style w:type="paragraph" w:customStyle="1" w:styleId="823">
    <w:name w:val="正文2"/>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824">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kern w:val="0"/>
      <w:sz w:val="18"/>
      <w:szCs w:val="20"/>
    </w:rPr>
  </w:style>
  <w:style w:type="paragraph" w:customStyle="1" w:styleId="825">
    <w:name w:val="正文文本缩进 21"/>
    <w:basedOn w:val="1"/>
    <w:qFormat/>
    <w:uiPriority w:val="0"/>
    <w:pPr>
      <w:adjustRightInd w:val="0"/>
      <w:ind w:firstLine="525"/>
      <w:textAlignment w:val="baseline"/>
    </w:pPr>
    <w:rPr>
      <w:rFonts w:ascii="仿宋_GB2312" w:eastAsia="仿宋_GB2312"/>
      <w:snapToGrid w:val="0"/>
      <w:kern w:val="11"/>
      <w:sz w:val="28"/>
      <w:szCs w:val="20"/>
    </w:rPr>
  </w:style>
  <w:style w:type="paragraph" w:customStyle="1" w:styleId="826">
    <w:name w:val="5号表文"/>
    <w:qFormat/>
    <w:uiPriority w:val="0"/>
    <w:pPr>
      <w:widowControl w:val="0"/>
      <w:adjustRightInd w:val="0"/>
      <w:snapToGrid w:val="0"/>
      <w:spacing w:line="360" w:lineRule="auto"/>
      <w:jc w:val="both"/>
    </w:pPr>
    <w:rPr>
      <w:rFonts w:ascii="仿宋_GB2312" w:hAnsi="Times New Roman" w:eastAsia="仿宋_GB2312" w:cs="Times New Roman"/>
      <w:kern w:val="2"/>
      <w:sz w:val="28"/>
      <w:lang w:val="en-US" w:eastAsia="zh-CN" w:bidi="ar-SA"/>
    </w:rPr>
  </w:style>
  <w:style w:type="character" w:customStyle="1" w:styleId="827">
    <w:name w:val="yyy1"/>
    <w:semiHidden/>
    <w:qFormat/>
    <w:uiPriority w:val="0"/>
    <w:rPr>
      <w:rFonts w:hint="default"/>
      <w:color w:val="FFFFFF"/>
      <w:sz w:val="21"/>
      <w:szCs w:val="21"/>
    </w:rPr>
  </w:style>
  <w:style w:type="paragraph" w:customStyle="1" w:styleId="828">
    <w:name w:val="图框"/>
    <w:basedOn w:val="1"/>
    <w:qFormat/>
    <w:uiPriority w:val="0"/>
    <w:pPr>
      <w:jc w:val="center"/>
    </w:pPr>
    <w:rPr>
      <w:szCs w:val="21"/>
    </w:rPr>
  </w:style>
  <w:style w:type="character" w:customStyle="1" w:styleId="829">
    <w:name w:val="a121"/>
    <w:semiHidden/>
    <w:qFormat/>
    <w:uiPriority w:val="0"/>
    <w:rPr>
      <w:rFonts w:hint="default"/>
      <w:color w:val="000000"/>
      <w:sz w:val="20"/>
      <w:szCs w:val="20"/>
    </w:rPr>
  </w:style>
  <w:style w:type="character" w:customStyle="1" w:styleId="830">
    <w:name w:val="a141"/>
    <w:semiHidden/>
    <w:qFormat/>
    <w:uiPriority w:val="0"/>
    <w:rPr>
      <w:rFonts w:hint="default"/>
      <w:color w:val="000000"/>
      <w:spacing w:val="0"/>
      <w:sz w:val="23"/>
      <w:szCs w:val="23"/>
      <w:bdr w:val="dashed" w:color="auto" w:sz="24" w:space="0"/>
    </w:rPr>
  </w:style>
  <w:style w:type="paragraph" w:customStyle="1" w:styleId="831">
    <w:name w:val="主要条文"/>
    <w:basedOn w:val="1"/>
    <w:qFormat/>
    <w:uiPriority w:val="0"/>
    <w:pPr>
      <w:tabs>
        <w:tab w:val="left" w:pos="1260"/>
      </w:tabs>
      <w:ind w:left="1260" w:hanging="420"/>
    </w:pPr>
    <w:rPr>
      <w:sz w:val="24"/>
    </w:rPr>
  </w:style>
  <w:style w:type="paragraph" w:customStyle="1" w:styleId="832">
    <w:name w:val="样式 标题 2mystyle2style2 + 四号 非加粗 居中 行距: 多倍行距 1.73 字行"/>
    <w:basedOn w:val="5"/>
    <w:qFormat/>
    <w:uiPriority w:val="0"/>
    <w:pPr>
      <w:spacing w:line="415" w:lineRule="auto"/>
      <w:jc w:val="center"/>
    </w:pPr>
    <w:rPr>
      <w:rFonts w:ascii="Arial" w:hAnsi="Arial"/>
      <w:b/>
      <w:bCs w:val="0"/>
      <w:sz w:val="28"/>
      <w:szCs w:val="20"/>
    </w:rPr>
  </w:style>
  <w:style w:type="paragraph" w:customStyle="1" w:styleId="833">
    <w:name w:val="样式 正文文本 + 小四2"/>
    <w:basedOn w:val="2"/>
    <w:qFormat/>
    <w:uiPriority w:val="0"/>
    <w:pPr>
      <w:numPr>
        <w:ilvl w:val="0"/>
        <w:numId w:val="5"/>
      </w:numPr>
      <w:spacing w:line="240" w:lineRule="auto"/>
      <w:ind w:firstLine="0" w:firstLineChars="0"/>
    </w:pPr>
    <w:rPr>
      <w:snapToGrid/>
      <w:kern w:val="2"/>
    </w:rPr>
  </w:style>
  <w:style w:type="paragraph" w:customStyle="1" w:styleId="834">
    <w:name w:val="myformat_content Char"/>
    <w:basedOn w:val="1"/>
    <w:semiHidden/>
    <w:qFormat/>
    <w:uiPriority w:val="0"/>
    <w:pPr>
      <w:spacing w:beforeLines="50" w:afterLines="50" w:line="360" w:lineRule="exact"/>
      <w:ind w:firstLine="480" w:firstLineChars="200"/>
    </w:pPr>
    <w:rPr>
      <w:sz w:val="24"/>
      <w:szCs w:val="20"/>
    </w:rPr>
  </w:style>
  <w:style w:type="paragraph" w:customStyle="1" w:styleId="835">
    <w:name w:val="1表格"/>
    <w:basedOn w:val="1"/>
    <w:qFormat/>
    <w:uiPriority w:val="0"/>
    <w:pPr>
      <w:adjustRightInd w:val="0"/>
      <w:snapToGrid w:val="0"/>
      <w:jc w:val="center"/>
      <w:textAlignment w:val="baseline"/>
    </w:pPr>
    <w:rPr>
      <w:rFonts w:hint="eastAsia" w:ascii="宋体" w:hAnsi="宋体"/>
      <w:spacing w:val="4"/>
      <w:sz w:val="24"/>
      <w:szCs w:val="20"/>
    </w:rPr>
  </w:style>
  <w:style w:type="paragraph" w:customStyle="1" w:styleId="836">
    <w:name w:val="a3"/>
    <w:basedOn w:val="1"/>
    <w:qFormat/>
    <w:uiPriority w:val="0"/>
    <w:pPr>
      <w:widowControl/>
      <w:spacing w:before="100" w:beforeAutospacing="1" w:after="100" w:afterAutospacing="1" w:line="425" w:lineRule="atLeast"/>
      <w:jc w:val="left"/>
      <w:textAlignment w:val="baseline"/>
    </w:pPr>
    <w:rPr>
      <w:rFonts w:ascii="宋体" w:hAnsi="宋体"/>
      <w:color w:val="000000"/>
      <w:kern w:val="0"/>
      <w:sz w:val="24"/>
      <w:szCs w:val="20"/>
      <w:u w:color="000000"/>
    </w:rPr>
  </w:style>
  <w:style w:type="character" w:customStyle="1" w:styleId="837">
    <w:name w:val="text251"/>
    <w:semiHidden/>
    <w:qFormat/>
    <w:uiPriority w:val="0"/>
    <w:rPr>
      <w:sz w:val="20"/>
      <w:szCs w:val="20"/>
    </w:rPr>
  </w:style>
  <w:style w:type="character" w:customStyle="1" w:styleId="838">
    <w:name w:val="text25"/>
    <w:semiHidden/>
    <w:qFormat/>
    <w:uiPriority w:val="0"/>
  </w:style>
  <w:style w:type="paragraph" w:customStyle="1" w:styleId="839">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840">
    <w:name w:val="样式8"/>
    <w:basedOn w:val="707"/>
    <w:qFormat/>
    <w:uiPriority w:val="0"/>
    <w:pPr>
      <w:keepNext w:val="0"/>
      <w:keepLines w:val="0"/>
      <w:widowControl w:val="0"/>
      <w:pBdr>
        <w:top w:val="single" w:color="auto" w:sz="4" w:space="1"/>
      </w:pBdr>
      <w:tabs>
        <w:tab w:val="center" w:pos="4153"/>
        <w:tab w:val="right" w:pos="8306"/>
      </w:tabs>
      <w:spacing w:before="0" w:after="0" w:line="240" w:lineRule="auto"/>
      <w:outlineLvl w:val="9"/>
    </w:pPr>
    <w:rPr>
      <w:rFonts w:ascii="楷体_GB2312" w:eastAsia="楷体_GB2312"/>
      <w:b/>
      <w:bCs w:val="0"/>
      <w:sz w:val="18"/>
      <w:szCs w:val="20"/>
    </w:rPr>
  </w:style>
  <w:style w:type="paragraph" w:customStyle="1" w:styleId="841">
    <w:name w:val="样式9"/>
    <w:basedOn w:val="57"/>
    <w:qFormat/>
    <w:uiPriority w:val="0"/>
    <w:pPr>
      <w:widowControl/>
      <w:pBdr>
        <w:bottom w:val="thickThinLargeGap" w:color="auto" w:sz="2" w:space="1"/>
      </w:pBdr>
    </w:pPr>
    <w:rPr>
      <w:rFonts w:eastAsia="楷体_GB2312"/>
      <w:kern w:val="0"/>
    </w:rPr>
  </w:style>
  <w:style w:type="paragraph" w:customStyle="1" w:styleId="842">
    <w:name w:val="样式10"/>
    <w:basedOn w:val="841"/>
    <w:qFormat/>
    <w:uiPriority w:val="0"/>
    <w:pPr>
      <w:pBdr>
        <w:bottom w:val="thickThinLargeGap" w:color="auto" w:sz="8" w:space="1"/>
      </w:pBdr>
    </w:pPr>
  </w:style>
  <w:style w:type="paragraph" w:customStyle="1" w:styleId="843">
    <w:name w:val="13"/>
    <w:basedOn w:val="1"/>
    <w:next w:val="51"/>
    <w:qFormat/>
    <w:uiPriority w:val="0"/>
    <w:pPr>
      <w:ind w:left="145" w:firstLine="280"/>
    </w:pPr>
    <w:rPr>
      <w:sz w:val="28"/>
      <w:szCs w:val="20"/>
    </w:rPr>
  </w:style>
  <w:style w:type="paragraph" w:customStyle="1" w:styleId="844">
    <w:name w:val="12"/>
    <w:basedOn w:val="1"/>
    <w:next w:val="51"/>
    <w:qFormat/>
    <w:uiPriority w:val="0"/>
    <w:pPr>
      <w:spacing w:line="500" w:lineRule="exact"/>
      <w:ind w:firstLine="560" w:firstLineChars="200"/>
    </w:pPr>
    <w:rPr>
      <w:rFonts w:ascii="仿宋_GB2312" w:eastAsia="仿宋_GB2312"/>
      <w:color w:val="FF0000"/>
      <w:sz w:val="28"/>
    </w:rPr>
  </w:style>
  <w:style w:type="paragraph" w:customStyle="1" w:styleId="845">
    <w:name w:val="表名图名"/>
    <w:basedOn w:val="1"/>
    <w:semiHidden/>
    <w:qFormat/>
    <w:uiPriority w:val="0"/>
    <w:pPr>
      <w:spacing w:beforeLines="50" w:afterLines="20"/>
      <w:jc w:val="center"/>
    </w:pPr>
    <w:rPr>
      <w:b/>
      <w:bCs/>
      <w:sz w:val="24"/>
    </w:rPr>
  </w:style>
  <w:style w:type="paragraph" w:customStyle="1" w:styleId="846">
    <w:name w:val="11"/>
    <w:basedOn w:val="1"/>
    <w:qFormat/>
    <w:uiPriority w:val="0"/>
    <w:pPr>
      <w:widowControl/>
      <w:spacing w:before="100" w:beforeAutospacing="1" w:after="100" w:afterAutospacing="1"/>
      <w:jc w:val="left"/>
    </w:pPr>
    <w:rPr>
      <w:rFonts w:ascii="宋体" w:hAnsi="宋体" w:eastAsia="仿宋_GB2312"/>
      <w:snapToGrid w:val="0"/>
      <w:color w:val="000000"/>
      <w:kern w:val="0"/>
      <w:sz w:val="24"/>
    </w:rPr>
  </w:style>
  <w:style w:type="paragraph" w:customStyle="1" w:styleId="847">
    <w:name w:val="总题"/>
    <w:next w:val="84"/>
    <w:semiHidden/>
    <w:qFormat/>
    <w:uiPriority w:val="0"/>
    <w:pPr>
      <w:spacing w:before="100" w:beforeAutospacing="1" w:after="100" w:afterAutospacing="1" w:line="480" w:lineRule="auto"/>
      <w:jc w:val="center"/>
    </w:pPr>
    <w:rPr>
      <w:rFonts w:ascii="Times New Roman" w:hAnsi="Times New Roman" w:eastAsia="黑体" w:cs="Times New Roman"/>
      <w:b/>
      <w:spacing w:val="20"/>
      <w:sz w:val="44"/>
      <w:lang w:val="en-US" w:eastAsia="zh-CN" w:bidi="ar-SA"/>
    </w:rPr>
  </w:style>
  <w:style w:type="paragraph" w:customStyle="1" w:styleId="848">
    <w:name w:val="Char1 Char Char Char1"/>
    <w:basedOn w:val="1"/>
    <w:semiHidden/>
    <w:qFormat/>
    <w:uiPriority w:val="0"/>
    <w:rPr>
      <w:sz w:val="24"/>
    </w:rPr>
  </w:style>
  <w:style w:type="paragraph" w:customStyle="1" w:styleId="849">
    <w:name w:val="样式 文本123 + 段前: 0.2 行1"/>
    <w:basedOn w:val="850"/>
    <w:qFormat/>
    <w:uiPriority w:val="0"/>
    <w:pPr>
      <w:tabs>
        <w:tab w:val="left" w:pos="360"/>
        <w:tab w:val="left" w:pos="420"/>
        <w:tab w:val="left" w:pos="3360"/>
      </w:tabs>
      <w:ind w:left="420" w:firstLine="510"/>
    </w:pPr>
  </w:style>
  <w:style w:type="paragraph" w:customStyle="1" w:styleId="850">
    <w:name w:val="文本123"/>
    <w:basedOn w:val="22"/>
    <w:qFormat/>
    <w:uiPriority w:val="0"/>
    <w:pPr>
      <w:tabs>
        <w:tab w:val="left" w:pos="360"/>
        <w:tab w:val="left" w:pos="3360"/>
      </w:tabs>
      <w:snapToGrid w:val="0"/>
      <w:spacing w:before="20" w:line="480" w:lineRule="exact"/>
      <w:ind w:left="3360" w:hanging="420" w:firstLineChars="0"/>
    </w:pPr>
    <w:rPr>
      <w:sz w:val="24"/>
      <w:szCs w:val="20"/>
    </w:rPr>
  </w:style>
  <w:style w:type="paragraph" w:customStyle="1" w:styleId="851">
    <w:name w:val="样式 标题 4 + 四号 段前: 1 行"/>
    <w:basedOn w:val="7"/>
    <w:qFormat/>
    <w:uiPriority w:val="0"/>
    <w:pPr>
      <w:widowControl/>
      <w:tabs>
        <w:tab w:val="left" w:pos="2100"/>
      </w:tabs>
      <w:spacing w:before="312" w:line="420" w:lineRule="exact"/>
      <w:ind w:left="560"/>
    </w:pPr>
    <w:rPr>
      <w:b/>
      <w:bCs w:val="0"/>
      <w:szCs w:val="20"/>
    </w:rPr>
  </w:style>
  <w:style w:type="paragraph" w:customStyle="1" w:styleId="852">
    <w:name w:val="AAAAAAAAAAAA"/>
    <w:basedOn w:val="1"/>
    <w:semiHidden/>
    <w:qFormat/>
    <w:uiPriority w:val="0"/>
    <w:pPr>
      <w:jc w:val="center"/>
    </w:pPr>
    <w:rPr>
      <w:rFonts w:hAnsi="宋体"/>
      <w:szCs w:val="20"/>
    </w:rPr>
  </w:style>
  <w:style w:type="paragraph" w:customStyle="1" w:styleId="853">
    <w:name w:val="大标题"/>
    <w:basedOn w:val="4"/>
    <w:qFormat/>
    <w:uiPriority w:val="0"/>
    <w:pPr>
      <w:tabs>
        <w:tab w:val="left" w:pos="8640"/>
      </w:tabs>
      <w:spacing w:after="312" w:line="480" w:lineRule="auto"/>
      <w:ind w:firstLine="200" w:firstLineChars="200"/>
      <w:jc w:val="center"/>
    </w:pPr>
    <w:rPr>
      <w:bCs w:val="0"/>
      <w:color w:val="000000"/>
      <w:szCs w:val="20"/>
    </w:rPr>
  </w:style>
  <w:style w:type="paragraph" w:customStyle="1" w:styleId="854">
    <w:name w:val="样式 纯文本普通文字 + Times New Roman 小四 两端对齐 行距: 1.5 倍行距"/>
    <w:basedOn w:val="45"/>
    <w:qFormat/>
    <w:uiPriority w:val="0"/>
    <w:pPr>
      <w:widowControl/>
      <w:spacing w:line="360" w:lineRule="auto"/>
      <w:ind w:firstLine="480" w:firstLineChars="200"/>
    </w:pPr>
    <w:rPr>
      <w:rFonts w:ascii="Times New Roman" w:hAnsi="Times New Roman"/>
      <w:sz w:val="24"/>
      <w:szCs w:val="20"/>
    </w:rPr>
  </w:style>
  <w:style w:type="paragraph" w:customStyle="1" w:styleId="855">
    <w:name w:val="条文"/>
    <w:basedOn w:val="8"/>
    <w:next w:val="1"/>
    <w:qFormat/>
    <w:uiPriority w:val="0"/>
    <w:pPr>
      <w:keepNext w:val="0"/>
      <w:keepLines w:val="0"/>
      <w:numPr>
        <w:ilvl w:val="0"/>
        <w:numId w:val="0"/>
      </w:numPr>
      <w:tabs>
        <w:tab w:val="left" w:pos="0"/>
        <w:tab w:val="left" w:pos="840"/>
      </w:tabs>
      <w:adjustRightInd/>
      <w:spacing w:before="0" w:after="0" w:line="377" w:lineRule="auto"/>
      <w:ind w:left="840" w:hanging="420"/>
      <w:jc w:val="left"/>
      <w:textAlignment w:val="auto"/>
    </w:pPr>
    <w:rPr>
      <w:b w:val="0"/>
      <w:bCs w:val="0"/>
      <w:kern w:val="2"/>
      <w:sz w:val="24"/>
      <w:szCs w:val="20"/>
    </w:rPr>
  </w:style>
  <w:style w:type="paragraph" w:customStyle="1" w:styleId="856">
    <w:name w:val="样式 表标题 + 段前: 0.5 行1"/>
    <w:basedOn w:val="10"/>
    <w:qFormat/>
    <w:uiPriority w:val="0"/>
    <w:pPr>
      <w:keepNext w:val="0"/>
      <w:keepLines w:val="0"/>
      <w:numPr>
        <w:ilvl w:val="0"/>
        <w:numId w:val="0"/>
      </w:numPr>
      <w:tabs>
        <w:tab w:val="left" w:pos="1757"/>
        <w:tab w:val="left" w:pos="3780"/>
      </w:tabs>
      <w:snapToGrid w:val="0"/>
      <w:spacing w:before="206" w:after="0" w:line="480" w:lineRule="exact"/>
      <w:jc w:val="center"/>
      <w:textAlignment w:val="auto"/>
      <w:outlineLvl w:val="9"/>
    </w:pPr>
    <w:rPr>
      <w:rFonts w:eastAsia="黑体"/>
      <w:b w:val="0"/>
      <w:bCs w:val="0"/>
      <w:kern w:val="2"/>
      <w:sz w:val="28"/>
      <w:szCs w:val="20"/>
    </w:rPr>
  </w:style>
  <w:style w:type="paragraph" w:customStyle="1" w:styleId="857">
    <w:name w:val="样式 宋体 首行缩进:  2 字符 行距: 1.5 倍行距"/>
    <w:basedOn w:val="1"/>
    <w:qFormat/>
    <w:uiPriority w:val="0"/>
    <w:pPr>
      <w:spacing w:line="360" w:lineRule="auto"/>
      <w:ind w:firstLine="480" w:firstLineChars="200"/>
    </w:pPr>
    <w:rPr>
      <w:sz w:val="24"/>
      <w:szCs w:val="20"/>
    </w:rPr>
  </w:style>
  <w:style w:type="paragraph" w:customStyle="1" w:styleId="858">
    <w:name w:val="样式 正文缩进正文（首行缩进两字）文本条款 + 段前: 0.4 行"/>
    <w:basedOn w:val="22"/>
    <w:qFormat/>
    <w:uiPriority w:val="0"/>
    <w:pPr>
      <w:spacing w:before="123" w:line="288" w:lineRule="auto"/>
      <w:ind w:firstLine="0" w:firstLineChars="0"/>
    </w:pPr>
    <w:rPr>
      <w:rFonts w:eastAsia="黑体"/>
      <w:b/>
      <w:sz w:val="28"/>
      <w:szCs w:val="20"/>
    </w:rPr>
  </w:style>
  <w:style w:type="paragraph" w:customStyle="1" w:styleId="859">
    <w:name w:val="Char Char Char Char Char"/>
    <w:basedOn w:val="1"/>
    <w:qFormat/>
    <w:uiPriority w:val="0"/>
    <w:rPr>
      <w:sz w:val="24"/>
      <w:szCs w:val="20"/>
    </w:rPr>
  </w:style>
  <w:style w:type="paragraph" w:customStyle="1" w:styleId="860">
    <w:name w:val="样式 样式 正文缩进正文（首行缩进两字）文本条款 + 段前: 0.4 行 + 非加粗"/>
    <w:basedOn w:val="858"/>
    <w:qFormat/>
    <w:uiPriority w:val="0"/>
    <w:pPr>
      <w:tabs>
        <w:tab w:val="left" w:pos="3360"/>
      </w:tabs>
      <w:ind w:left="-7" w:firstLine="567"/>
    </w:pPr>
    <w:rPr>
      <w:rFonts w:eastAsia="宋体"/>
      <w:b w:val="0"/>
      <w:sz w:val="24"/>
    </w:rPr>
  </w:style>
  <w:style w:type="paragraph" w:customStyle="1" w:styleId="861">
    <w:name w:val="目录 7 Char Char"/>
    <w:basedOn w:val="1"/>
    <w:next w:val="1"/>
    <w:qFormat/>
    <w:uiPriority w:val="0"/>
    <w:pPr>
      <w:spacing w:line="351" w:lineRule="atLeast"/>
      <w:ind w:left="1258" w:firstLine="419"/>
      <w:jc w:val="left"/>
    </w:pPr>
    <w:rPr>
      <w:rFonts w:hint="eastAsia"/>
      <w:szCs w:val="20"/>
    </w:rPr>
  </w:style>
  <w:style w:type="paragraph" w:customStyle="1" w:styleId="862">
    <w:name w:val="样式 样式 首行缩进:  2 字符1 + 首行缩进:  2 字符 段前: 0.2 行"/>
    <w:basedOn w:val="1"/>
    <w:qFormat/>
    <w:uiPriority w:val="0"/>
    <w:pPr>
      <w:spacing w:line="440" w:lineRule="exact"/>
      <w:ind w:firstLine="200" w:firstLineChars="200"/>
    </w:pPr>
    <w:rPr>
      <w:sz w:val="24"/>
      <w:szCs w:val="20"/>
    </w:rPr>
  </w:style>
  <w:style w:type="paragraph" w:customStyle="1" w:styleId="863">
    <w:name w:val="表X"/>
    <w:basedOn w:val="45"/>
    <w:qFormat/>
    <w:uiPriority w:val="0"/>
    <w:pPr>
      <w:keepNext/>
      <w:tabs>
        <w:tab w:val="left" w:pos="1200"/>
        <w:tab w:val="left" w:pos="1680"/>
      </w:tabs>
      <w:adjustRightInd w:val="0"/>
      <w:spacing w:before="240" w:line="240" w:lineRule="auto"/>
      <w:ind w:left="1200" w:hanging="420"/>
      <w:jc w:val="left"/>
    </w:pPr>
    <w:rPr>
      <w:rFonts w:ascii="Courier New"/>
      <w:sz w:val="28"/>
      <w:szCs w:val="20"/>
    </w:rPr>
  </w:style>
  <w:style w:type="paragraph" w:customStyle="1" w:styleId="864">
    <w:name w:val="我的 标题 3条标题1.1.1标题 3 Char Char小标题头小节标题标题 3 Char Char Char标... Char"/>
    <w:basedOn w:val="6"/>
    <w:qFormat/>
    <w:uiPriority w:val="0"/>
    <w:pPr>
      <w:textAlignment w:val="baseline"/>
    </w:pPr>
    <w:rPr>
      <w:b/>
      <w:snapToGrid w:val="0"/>
      <w:sz w:val="28"/>
      <w:szCs w:val="20"/>
    </w:rPr>
  </w:style>
  <w:style w:type="paragraph" w:customStyle="1" w:styleId="865">
    <w:name w:val="Table Title Char1 Char"/>
    <w:basedOn w:val="1"/>
    <w:qFormat/>
    <w:uiPriority w:val="0"/>
    <w:pPr>
      <w:widowControl/>
      <w:snapToGrid w:val="0"/>
      <w:spacing w:before="120" w:after="120" w:line="400" w:lineRule="exact"/>
      <w:jc w:val="center"/>
    </w:pPr>
    <w:rPr>
      <w:sz w:val="24"/>
      <w:szCs w:val="20"/>
      <w:lang w:eastAsia="en-US"/>
    </w:rPr>
  </w:style>
  <w:style w:type="paragraph" w:customStyle="1" w:styleId="866">
    <w:name w:val="样式 样式 宋体 小四 行距: 1.5 倍行距 + 首行缩进:  2 字符 段前: 7.8 磅 段后: 7.8 磅"/>
    <w:basedOn w:val="1"/>
    <w:qFormat/>
    <w:uiPriority w:val="0"/>
    <w:pPr>
      <w:snapToGrid w:val="0"/>
      <w:spacing w:before="50" w:after="50" w:line="360" w:lineRule="auto"/>
      <w:ind w:firstLine="200" w:firstLineChars="200"/>
      <w:jc w:val="left"/>
    </w:pPr>
    <w:rPr>
      <w:rFonts w:ascii="宋体" w:hAnsi="宋体"/>
      <w:sz w:val="24"/>
      <w:szCs w:val="20"/>
    </w:rPr>
  </w:style>
  <w:style w:type="paragraph" w:customStyle="1" w:styleId="867">
    <w:name w:val="my1"/>
    <w:basedOn w:val="59"/>
    <w:qFormat/>
    <w:uiPriority w:val="0"/>
    <w:pPr>
      <w:tabs>
        <w:tab w:val="left" w:pos="720"/>
        <w:tab w:val="right" w:leader="dot" w:pos="8296"/>
        <w:tab w:val="right" w:leader="dot" w:pos="8453"/>
        <w:tab w:val="clear" w:pos="8302"/>
      </w:tabs>
      <w:spacing w:before="0" w:line="300" w:lineRule="auto"/>
      <w:ind w:left="720" w:hanging="720"/>
    </w:pPr>
    <w:rPr>
      <w:rFonts w:ascii="Times New Roman" w:hAnsi="Times New Roman"/>
      <w:b/>
      <w:bCs w:val="0"/>
      <w:caps w:val="0"/>
      <w:sz w:val="20"/>
      <w:szCs w:val="20"/>
    </w:rPr>
  </w:style>
  <w:style w:type="paragraph" w:customStyle="1" w:styleId="868">
    <w:name w:val="文本123-II"/>
    <w:basedOn w:val="7"/>
    <w:qFormat/>
    <w:uiPriority w:val="0"/>
    <w:pPr>
      <w:keepNext w:val="0"/>
      <w:keepLines w:val="0"/>
      <w:tabs>
        <w:tab w:val="left" w:pos="0"/>
      </w:tabs>
      <w:spacing w:before="50" w:line="240" w:lineRule="auto"/>
    </w:pPr>
    <w:rPr>
      <w:b/>
      <w:bCs w:val="0"/>
      <w:szCs w:val="20"/>
    </w:rPr>
  </w:style>
  <w:style w:type="paragraph" w:customStyle="1" w:styleId="869">
    <w:name w:val="项目符号1"/>
    <w:basedOn w:val="1"/>
    <w:qFormat/>
    <w:uiPriority w:val="0"/>
    <w:pPr>
      <w:tabs>
        <w:tab w:val="left" w:pos="840"/>
      </w:tabs>
      <w:overflowPunct w:val="0"/>
      <w:snapToGrid w:val="0"/>
      <w:spacing w:line="480" w:lineRule="exact"/>
      <w:ind w:left="435" w:hanging="285"/>
    </w:pPr>
    <w:rPr>
      <w:rFonts w:ascii="Arial" w:hAnsi="Arial" w:eastAsia="仿宋_GB2312"/>
      <w:sz w:val="28"/>
      <w:szCs w:val="20"/>
    </w:rPr>
  </w:style>
  <w:style w:type="paragraph" w:customStyle="1" w:styleId="870">
    <w:name w:val="bt2"/>
    <w:next w:val="499"/>
    <w:semiHidden/>
    <w:qFormat/>
    <w:uiPriority w:val="0"/>
    <w:pPr>
      <w:adjustRightInd w:val="0"/>
      <w:snapToGrid w:val="0"/>
      <w:spacing w:line="360" w:lineRule="auto"/>
    </w:pPr>
    <w:rPr>
      <w:rFonts w:ascii="Times New Roman" w:hAnsi="Times New Roman" w:eastAsia="宋体" w:cs="Times New Roman"/>
      <w:b/>
      <w:kern w:val="2"/>
      <w:sz w:val="32"/>
      <w:lang w:val="en-US" w:eastAsia="zh-CN" w:bidi="ar-SA"/>
    </w:rPr>
  </w:style>
  <w:style w:type="paragraph" w:customStyle="1" w:styleId="871">
    <w:name w:val="图注"/>
    <w:basedOn w:val="1"/>
    <w:next w:val="1"/>
    <w:qFormat/>
    <w:uiPriority w:val="0"/>
    <w:pPr>
      <w:tabs>
        <w:tab w:val="left" w:pos="2625"/>
        <w:tab w:val="left" w:pos="2835"/>
      </w:tabs>
      <w:spacing w:line="360" w:lineRule="auto"/>
      <w:jc w:val="center"/>
    </w:pPr>
    <w:rPr>
      <w:rFonts w:ascii="宋体" w:hAnsi="宋体"/>
      <w:color w:val="000000"/>
      <w:sz w:val="24"/>
      <w:szCs w:val="20"/>
    </w:rPr>
  </w:style>
  <w:style w:type="character" w:customStyle="1" w:styleId="872">
    <w:name w:val="我的 标题 3条标题1.1.1标题 3 Char Char小标题头小节标题标题 3 Char Char Char标... Char Char"/>
    <w:qFormat/>
    <w:uiPriority w:val="0"/>
    <w:rPr>
      <w:rFonts w:eastAsia="黑体"/>
      <w:snapToGrid w:val="0"/>
      <w:kern w:val="2"/>
      <w:sz w:val="28"/>
      <w:lang w:val="en-US" w:eastAsia="zh-CN"/>
    </w:rPr>
  </w:style>
  <w:style w:type="character" w:customStyle="1" w:styleId="873">
    <w:name w:val="style1"/>
    <w:qFormat/>
    <w:uiPriority w:val="0"/>
  </w:style>
  <w:style w:type="character" w:customStyle="1" w:styleId="874">
    <w:name w:val="articlecontent"/>
    <w:semiHidden/>
    <w:qFormat/>
    <w:uiPriority w:val="0"/>
  </w:style>
  <w:style w:type="character" w:customStyle="1" w:styleId="875">
    <w:name w:val="infodetail1"/>
    <w:semiHidden/>
    <w:qFormat/>
    <w:uiPriority w:val="0"/>
    <w:rPr>
      <w:rFonts w:hint="default" w:ascii="ˎ̥" w:hAnsi="ˎ̥"/>
      <w:color w:val="000000"/>
      <w:sz w:val="24"/>
      <w:u w:val="none"/>
    </w:rPr>
  </w:style>
  <w:style w:type="character" w:customStyle="1" w:styleId="876">
    <w:name w:val="已访问的超级链接"/>
    <w:semiHidden/>
    <w:qFormat/>
    <w:uiPriority w:val="0"/>
    <w:rPr>
      <w:rFonts w:ascii="Times New Roman" w:eastAsia="宋体"/>
      <w:color w:val="800080"/>
      <w:spacing w:val="0"/>
      <w:w w:val="100"/>
      <w:sz w:val="21"/>
      <w:u w:val="single" w:color="800080"/>
      <w:vertAlign w:val="baseline"/>
      <w:lang w:val="en-US" w:eastAsia="zh-CN"/>
    </w:rPr>
  </w:style>
  <w:style w:type="character" w:customStyle="1" w:styleId="877">
    <w:name w:val="默认段落字体 Char"/>
    <w:qFormat/>
    <w:uiPriority w:val="0"/>
    <w:rPr>
      <w:rFonts w:ascii="Times New Roman" w:eastAsia="宋体"/>
      <w:color w:val="000000"/>
      <w:spacing w:val="0"/>
      <w:w w:val="100"/>
      <w:sz w:val="21"/>
      <w:u w:val="none" w:color="000000"/>
      <w:vertAlign w:val="baseline"/>
      <w:lang w:val="en-US" w:eastAsia="zh-CN"/>
    </w:rPr>
  </w:style>
  <w:style w:type="character" w:customStyle="1" w:styleId="878">
    <w:name w:val="页码 Char"/>
    <w:qFormat/>
    <w:uiPriority w:val="0"/>
  </w:style>
  <w:style w:type="paragraph" w:customStyle="1" w:styleId="879">
    <w:name w:val="news_text"/>
    <w:basedOn w:val="1"/>
    <w:semiHidden/>
    <w:qFormat/>
    <w:uiPriority w:val="0"/>
    <w:pPr>
      <w:widowControl/>
      <w:spacing w:before="100" w:beforeAutospacing="1" w:after="100" w:afterAutospacing="1"/>
      <w:jc w:val="left"/>
    </w:pPr>
    <w:rPr>
      <w:rFonts w:ascii="宋体" w:hAnsi="宋体" w:cs="宋体"/>
      <w:color w:val="000000"/>
      <w:kern w:val="0"/>
      <w:sz w:val="22"/>
      <w:szCs w:val="22"/>
    </w:rPr>
  </w:style>
  <w:style w:type="character" w:customStyle="1" w:styleId="880">
    <w:name w:val="artcontent"/>
    <w:semiHidden/>
    <w:qFormat/>
    <w:uiPriority w:val="0"/>
  </w:style>
  <w:style w:type="paragraph" w:customStyle="1" w:styleId="881">
    <w:name w:val="newscontl"/>
    <w:basedOn w:val="1"/>
    <w:semiHidden/>
    <w:qFormat/>
    <w:uiPriority w:val="0"/>
    <w:pPr>
      <w:widowControl/>
      <w:spacing w:before="100" w:beforeAutospacing="1" w:after="100" w:afterAutospacing="1"/>
      <w:jc w:val="left"/>
    </w:pPr>
    <w:rPr>
      <w:rFonts w:ascii="宋体" w:hAnsi="宋体" w:cs="宋体"/>
      <w:color w:val="000000"/>
      <w:kern w:val="0"/>
      <w:sz w:val="24"/>
    </w:rPr>
  </w:style>
  <w:style w:type="character" w:customStyle="1" w:styleId="882">
    <w:name w:val="large1"/>
    <w:qFormat/>
    <w:uiPriority w:val="0"/>
    <w:rPr>
      <w:rFonts w:hint="eastAsia" w:ascii="宋体" w:hAnsi="宋体" w:eastAsia="宋体"/>
      <w:sz w:val="22"/>
      <w:szCs w:val="22"/>
    </w:rPr>
  </w:style>
  <w:style w:type="character" w:customStyle="1" w:styleId="883">
    <w:name w:val="hj1"/>
    <w:semiHidden/>
    <w:qFormat/>
    <w:uiPriority w:val="0"/>
  </w:style>
  <w:style w:type="paragraph" w:customStyle="1" w:styleId="884">
    <w:name w:val="Texto predeterminado"/>
    <w:basedOn w:val="1"/>
    <w:semiHidden/>
    <w:qFormat/>
    <w:uiPriority w:val="0"/>
    <w:pPr>
      <w:widowControl/>
      <w:spacing w:line="240" w:lineRule="atLeast"/>
      <w:jc w:val="left"/>
    </w:pPr>
    <w:rPr>
      <w:kern w:val="0"/>
      <w:sz w:val="24"/>
      <w:szCs w:val="20"/>
    </w:rPr>
  </w:style>
  <w:style w:type="character" w:customStyle="1" w:styleId="885">
    <w:name w:val="lv14b1"/>
    <w:semiHidden/>
    <w:qFormat/>
    <w:uiPriority w:val="0"/>
    <w:rPr>
      <w:b/>
      <w:bCs/>
      <w:color w:val="009900"/>
      <w:sz w:val="21"/>
      <w:szCs w:val="21"/>
      <w:u w:val="none"/>
    </w:rPr>
  </w:style>
  <w:style w:type="paragraph" w:customStyle="1" w:styleId="886">
    <w:name w:val="font3"/>
    <w:basedOn w:val="1"/>
    <w:semiHidden/>
    <w:qFormat/>
    <w:uiPriority w:val="0"/>
    <w:pPr>
      <w:widowControl/>
      <w:spacing w:before="100" w:beforeAutospacing="1" w:after="100" w:afterAutospacing="1"/>
      <w:jc w:val="left"/>
    </w:pPr>
    <w:rPr>
      <w:rFonts w:hint="eastAsia" w:ascii="黑体" w:hAnsi="宋体" w:eastAsia="黑体"/>
      <w:kern w:val="0"/>
      <w:sz w:val="22"/>
      <w:szCs w:val="22"/>
    </w:rPr>
  </w:style>
  <w:style w:type="character" w:customStyle="1" w:styleId="887">
    <w:name w:val="subtable altbg2 t_msg"/>
    <w:semiHidden/>
    <w:qFormat/>
    <w:uiPriority w:val="0"/>
  </w:style>
  <w:style w:type="paragraph" w:customStyle="1" w:styleId="888">
    <w:name w:val="图件头"/>
    <w:basedOn w:val="1"/>
    <w:semiHidden/>
    <w:qFormat/>
    <w:uiPriority w:val="0"/>
    <w:pPr>
      <w:spacing w:line="360" w:lineRule="auto"/>
    </w:pPr>
    <w:rPr>
      <w:b/>
      <w:bCs/>
      <w:sz w:val="24"/>
    </w:rPr>
  </w:style>
  <w:style w:type="character" w:customStyle="1" w:styleId="889">
    <w:name w:val="zi1"/>
    <w:semiHidden/>
    <w:qFormat/>
    <w:uiPriority w:val="0"/>
    <w:rPr>
      <w:sz w:val="21"/>
      <w:szCs w:val="21"/>
    </w:rPr>
  </w:style>
  <w:style w:type="character" w:customStyle="1" w:styleId="890">
    <w:name w:val="11p1"/>
    <w:semiHidden/>
    <w:qFormat/>
    <w:uiPriority w:val="0"/>
    <w:rPr>
      <w:sz w:val="30"/>
      <w:szCs w:val="30"/>
    </w:rPr>
  </w:style>
  <w:style w:type="paragraph" w:customStyle="1" w:styleId="891">
    <w:name w:val="Char Char Char Char Char Char Char Char Char Char Char Char Char6"/>
    <w:basedOn w:val="1"/>
    <w:semiHidden/>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92">
    <w:name w:val="unnamed31"/>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893">
    <w:name w:val="style24"/>
    <w:basedOn w:val="1"/>
    <w:semiHidden/>
    <w:qFormat/>
    <w:uiPriority w:val="0"/>
    <w:pPr>
      <w:widowControl/>
      <w:spacing w:before="100" w:beforeAutospacing="1" w:after="100" w:afterAutospacing="1"/>
      <w:jc w:val="left"/>
    </w:pPr>
    <w:rPr>
      <w:rFonts w:ascii="宋体" w:hAnsi="宋体" w:cs="宋体"/>
      <w:kern w:val="0"/>
      <w:sz w:val="28"/>
      <w:szCs w:val="28"/>
    </w:rPr>
  </w:style>
  <w:style w:type="paragraph" w:customStyle="1" w:styleId="894">
    <w:name w:val="Char Char1 Char"/>
    <w:basedOn w:val="1"/>
    <w:semiHidden/>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895">
    <w:name w:val="p141"/>
    <w:semiHidden/>
    <w:qFormat/>
    <w:uiPriority w:val="0"/>
    <w:rPr>
      <w:sz w:val="28"/>
      <w:szCs w:val="28"/>
    </w:rPr>
  </w:style>
  <w:style w:type="paragraph" w:customStyle="1" w:styleId="896">
    <w:name w:val="Title 5"/>
    <w:basedOn w:val="8"/>
    <w:next w:val="1"/>
    <w:semiHidden/>
    <w:qFormat/>
    <w:uiPriority w:val="0"/>
    <w:pPr>
      <w:keepNext w:val="0"/>
      <w:keepLines w:val="0"/>
      <w:numPr>
        <w:ilvl w:val="0"/>
        <w:numId w:val="0"/>
      </w:numPr>
      <w:adjustRightInd/>
      <w:snapToGrid w:val="0"/>
      <w:spacing w:before="0" w:after="0" w:line="500" w:lineRule="exact"/>
      <w:ind w:left="141" w:leftChars="67"/>
      <w:jc w:val="left"/>
      <w:textAlignment w:val="auto"/>
    </w:pPr>
    <w:rPr>
      <w:b w:val="0"/>
      <w:bCs w:val="0"/>
      <w:sz w:val="24"/>
      <w:szCs w:val="24"/>
    </w:rPr>
  </w:style>
  <w:style w:type="paragraph" w:customStyle="1" w:styleId="897">
    <w:name w:val="Title 2"/>
    <w:basedOn w:val="5"/>
    <w:next w:val="1"/>
    <w:semiHidden/>
    <w:qFormat/>
    <w:uiPriority w:val="0"/>
    <w:pPr>
      <w:keepNext w:val="0"/>
      <w:keepLines w:val="0"/>
      <w:spacing w:line="500" w:lineRule="exact"/>
    </w:pPr>
    <w:rPr>
      <w:bCs w:val="0"/>
      <w:kern w:val="0"/>
      <w:sz w:val="24"/>
      <w:szCs w:val="24"/>
    </w:rPr>
  </w:style>
  <w:style w:type="paragraph" w:customStyle="1" w:styleId="898">
    <w:name w:val="Title 3"/>
    <w:basedOn w:val="6"/>
    <w:next w:val="1"/>
    <w:semiHidden/>
    <w:qFormat/>
    <w:uiPriority w:val="0"/>
    <w:pPr>
      <w:keepNext w:val="0"/>
      <w:keepLines w:val="0"/>
      <w:spacing w:line="500" w:lineRule="exact"/>
      <w:ind w:firstLine="480" w:firstLineChars="200"/>
      <w:jc w:val="left"/>
    </w:pPr>
    <w:rPr>
      <w:color w:val="000000"/>
      <w:kern w:val="0"/>
      <w:sz w:val="24"/>
      <w:szCs w:val="26"/>
      <w:lang w:eastAsia="ko-KR"/>
    </w:rPr>
  </w:style>
  <w:style w:type="paragraph" w:customStyle="1" w:styleId="899">
    <w:name w:val="☆1.1.1"/>
    <w:basedOn w:val="6"/>
    <w:link w:val="900"/>
    <w:semiHidden/>
    <w:qFormat/>
    <w:uiPriority w:val="0"/>
    <w:rPr>
      <w:b/>
      <w:bCs w:val="0"/>
      <w:sz w:val="28"/>
      <w:szCs w:val="28"/>
    </w:rPr>
  </w:style>
  <w:style w:type="character" w:customStyle="1" w:styleId="900">
    <w:name w:val="☆1.1.1 Char"/>
    <w:link w:val="899"/>
    <w:semiHidden/>
    <w:qFormat/>
    <w:uiPriority w:val="0"/>
    <w:rPr>
      <w:rFonts w:ascii="Times New Roman" w:hAnsi="Times New Roman" w:eastAsia="黑体"/>
      <w:b/>
      <w:kern w:val="2"/>
      <w:sz w:val="28"/>
      <w:szCs w:val="28"/>
    </w:rPr>
  </w:style>
  <w:style w:type="character" w:customStyle="1" w:styleId="901">
    <w:name w:val="apple-style-span"/>
    <w:qFormat/>
    <w:uiPriority w:val="0"/>
  </w:style>
  <w:style w:type="character" w:customStyle="1" w:styleId="902">
    <w:name w:val="题注 Char1"/>
    <w:link w:val="23"/>
    <w:qFormat/>
    <w:uiPriority w:val="0"/>
    <w:rPr>
      <w:rFonts w:ascii="Arial" w:hAnsi="Arial" w:eastAsia="黑体" w:cs="Arial"/>
      <w:snapToGrid w:val="0"/>
      <w:kern w:val="0"/>
      <w:sz w:val="20"/>
      <w:szCs w:val="20"/>
    </w:rPr>
  </w:style>
  <w:style w:type="paragraph" w:customStyle="1" w:styleId="903">
    <w:name w:val="环保表内字（小五）"/>
    <w:basedOn w:val="1"/>
    <w:link w:val="904"/>
    <w:semiHidden/>
    <w:qFormat/>
    <w:uiPriority w:val="0"/>
    <w:pPr>
      <w:adjustRightInd w:val="0"/>
      <w:snapToGrid w:val="0"/>
      <w:spacing w:line="0" w:lineRule="atLeast"/>
    </w:pPr>
    <w:rPr>
      <w:snapToGrid w:val="0"/>
      <w:color w:val="000000"/>
      <w:kern w:val="0"/>
      <w:sz w:val="18"/>
      <w:szCs w:val="18"/>
    </w:rPr>
  </w:style>
  <w:style w:type="character" w:customStyle="1" w:styleId="904">
    <w:name w:val="环保表内字（小五） Char"/>
    <w:link w:val="903"/>
    <w:semiHidden/>
    <w:qFormat/>
    <w:uiPriority w:val="0"/>
    <w:rPr>
      <w:rFonts w:ascii="Times New Roman" w:hAnsi="Times New Roman" w:eastAsia="宋体" w:cs="Times New Roman"/>
      <w:snapToGrid w:val="0"/>
      <w:color w:val="000000"/>
      <w:kern w:val="0"/>
      <w:sz w:val="18"/>
      <w:szCs w:val="18"/>
    </w:rPr>
  </w:style>
  <w:style w:type="paragraph" w:customStyle="1" w:styleId="905">
    <w:name w:val="Char1 Char Char Char Char Char Char Char Char Char1 Char Char Char Char Char Char"/>
    <w:basedOn w:val="1"/>
    <w:semiHidden/>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character" w:customStyle="1" w:styleId="906">
    <w:name w:val="正文（首行缩进两字） Char Char Char Char Char Char Char Char Char Char"/>
    <w:semiHidden/>
    <w:qFormat/>
    <w:uiPriority w:val="0"/>
    <w:rPr>
      <w:rFonts w:ascii="仿宋_GB2312" w:eastAsia="仿宋_GB2312"/>
      <w:kern w:val="2"/>
      <w:sz w:val="28"/>
      <w:lang w:val="en-US" w:eastAsia="zh-CN"/>
    </w:rPr>
  </w:style>
  <w:style w:type="character" w:customStyle="1" w:styleId="907">
    <w:name w:val="tpc_content"/>
    <w:semiHidden/>
    <w:qFormat/>
    <w:uiPriority w:val="0"/>
  </w:style>
  <w:style w:type="character" w:customStyle="1" w:styleId="908">
    <w:name w:val="dectext1"/>
    <w:qFormat/>
    <w:uiPriority w:val="0"/>
    <w:rPr>
      <w:rFonts w:ascii="宋体" w:hAnsi="宋体" w:eastAsia="宋体"/>
      <w:color w:val="auto"/>
      <w:sz w:val="21"/>
      <w:u w:val="none"/>
    </w:rPr>
  </w:style>
  <w:style w:type="character" w:customStyle="1" w:styleId="909">
    <w:name w:val="x11"/>
    <w:semiHidden/>
    <w:qFormat/>
    <w:uiPriority w:val="0"/>
    <w:rPr>
      <w:rFonts w:hint="default"/>
      <w:color w:val="000000"/>
      <w:sz w:val="18"/>
      <w:u w:val="none"/>
    </w:rPr>
  </w:style>
  <w:style w:type="paragraph" w:customStyle="1" w:styleId="910">
    <w:name w:val="样式 (符号) 宋体 首行缩进:  2 字符"/>
    <w:basedOn w:val="1"/>
    <w:semiHidden/>
    <w:qFormat/>
    <w:uiPriority w:val="0"/>
    <w:pPr>
      <w:adjustRightInd w:val="0"/>
      <w:spacing w:line="520" w:lineRule="atLeast"/>
      <w:ind w:firstLine="200" w:firstLineChars="200"/>
    </w:pPr>
    <w:rPr>
      <w:rFonts w:hint="eastAsia" w:ascii="宋体" w:hAnsi="宋体" w:eastAsia="仿宋_GB2312"/>
      <w:kern w:val="0"/>
      <w:sz w:val="28"/>
      <w:szCs w:val="28"/>
    </w:rPr>
  </w:style>
  <w:style w:type="paragraph" w:customStyle="1" w:styleId="911">
    <w:name w:val="标题5"/>
    <w:basedOn w:val="1"/>
    <w:qFormat/>
    <w:uiPriority w:val="0"/>
    <w:pPr>
      <w:snapToGrid w:val="0"/>
      <w:spacing w:line="360" w:lineRule="auto"/>
    </w:pPr>
    <w:rPr>
      <w:rFonts w:hint="eastAsia" w:ascii="仿宋_GB2312" w:eastAsia="仿宋_GB2312"/>
      <w:sz w:val="28"/>
      <w:szCs w:val="20"/>
    </w:rPr>
  </w:style>
  <w:style w:type="character" w:customStyle="1" w:styleId="912">
    <w:name w:val="正文首行缩进 Char Char Char Char1"/>
    <w:semiHidden/>
    <w:qFormat/>
    <w:uiPriority w:val="0"/>
    <w:rPr>
      <w:rFonts w:eastAsia="宋体"/>
      <w:kern w:val="2"/>
      <w:sz w:val="21"/>
      <w:szCs w:val="24"/>
      <w:lang w:val="en-US" w:eastAsia="zh-CN" w:bidi="ar-SA"/>
    </w:rPr>
  </w:style>
  <w:style w:type="paragraph" w:customStyle="1" w:styleId="913">
    <w:name w:val="表格五号"/>
    <w:basedOn w:val="1"/>
    <w:link w:val="914"/>
    <w:semiHidden/>
    <w:qFormat/>
    <w:uiPriority w:val="0"/>
    <w:pPr>
      <w:adjustRightInd w:val="0"/>
      <w:snapToGrid w:val="0"/>
      <w:jc w:val="center"/>
    </w:pPr>
    <w:rPr>
      <w:rFonts w:ascii="宋体" w:hAnsi="宋体"/>
      <w:szCs w:val="21"/>
    </w:rPr>
  </w:style>
  <w:style w:type="character" w:customStyle="1" w:styleId="914">
    <w:name w:val="表格五号 Char"/>
    <w:link w:val="913"/>
    <w:semiHidden/>
    <w:qFormat/>
    <w:uiPriority w:val="0"/>
    <w:rPr>
      <w:rFonts w:ascii="宋体" w:hAnsi="宋体" w:eastAsia="宋体" w:cs="Times New Roman"/>
      <w:szCs w:val="21"/>
    </w:rPr>
  </w:style>
  <w:style w:type="paragraph" w:customStyle="1" w:styleId="915">
    <w:name w:val="样式12"/>
    <w:basedOn w:val="1"/>
    <w:link w:val="916"/>
    <w:qFormat/>
    <w:uiPriority w:val="0"/>
    <w:pPr>
      <w:autoSpaceDE w:val="0"/>
      <w:autoSpaceDN w:val="0"/>
      <w:adjustRightInd w:val="0"/>
      <w:spacing w:line="500" w:lineRule="exact"/>
      <w:ind w:firstLine="560" w:firstLineChars="200"/>
    </w:pPr>
    <w:rPr>
      <w:rFonts w:ascii="宋体" w:hAnsi="宋体" w:cs="Arial"/>
      <w:kern w:val="0"/>
      <w:sz w:val="28"/>
      <w:szCs w:val="28"/>
    </w:rPr>
  </w:style>
  <w:style w:type="character" w:customStyle="1" w:styleId="916">
    <w:name w:val="样式12 Char"/>
    <w:link w:val="915"/>
    <w:qFormat/>
    <w:uiPriority w:val="0"/>
    <w:rPr>
      <w:rFonts w:ascii="宋体" w:hAnsi="宋体" w:eastAsia="宋体" w:cs="Arial"/>
      <w:kern w:val="0"/>
      <w:sz w:val="28"/>
      <w:szCs w:val="28"/>
    </w:rPr>
  </w:style>
  <w:style w:type="paragraph" w:customStyle="1" w:styleId="917">
    <w:name w:val="小3黑顶"/>
    <w:basedOn w:val="5"/>
    <w:semiHidden/>
    <w:qFormat/>
    <w:uiPriority w:val="0"/>
    <w:pPr>
      <w:spacing w:before="440" w:after="240" w:line="500" w:lineRule="exact"/>
    </w:pPr>
    <w:rPr>
      <w:rFonts w:ascii="黑体"/>
      <w:b/>
      <w:sz w:val="30"/>
      <w:szCs w:val="30"/>
    </w:rPr>
  </w:style>
  <w:style w:type="paragraph" w:customStyle="1" w:styleId="918">
    <w:name w:val="正文（3仿）"/>
    <w:semiHidden/>
    <w:qFormat/>
    <w:uiPriority w:val="0"/>
    <w:pPr>
      <w:spacing w:line="500" w:lineRule="exact"/>
      <w:ind w:firstLine="510"/>
      <w:jc w:val="both"/>
    </w:pPr>
    <w:rPr>
      <w:rFonts w:ascii="Times New Roman" w:hAnsi="Times New Roman" w:eastAsia="仿宋_GB2312" w:cs="Times New Roman"/>
      <w:sz w:val="32"/>
      <w:lang w:val="en-US" w:eastAsia="zh-CN" w:bidi="ar-SA"/>
    </w:rPr>
  </w:style>
  <w:style w:type="character" w:customStyle="1" w:styleId="919">
    <w:name w:val="zw1"/>
    <w:semiHidden/>
    <w:qFormat/>
    <w:uiPriority w:val="0"/>
    <w:rPr>
      <w:rFonts w:hint="eastAsia" w:ascii="宋体" w:hAnsi="宋体" w:eastAsia="宋体"/>
      <w:sz w:val="22"/>
      <w:szCs w:val="22"/>
    </w:rPr>
  </w:style>
  <w:style w:type="paragraph" w:customStyle="1" w:styleId="920">
    <w:name w:val="样式 正文文字 + 首行缩进:  0.99 厘米"/>
    <w:basedOn w:val="2"/>
    <w:semiHidden/>
    <w:qFormat/>
    <w:uiPriority w:val="0"/>
    <w:pPr>
      <w:spacing w:after="0" w:line="400" w:lineRule="exact"/>
      <w:ind w:firstLine="0" w:firstLineChars="0"/>
    </w:pPr>
    <w:rPr>
      <w:rFonts w:eastAsia="楷体_GB2312"/>
      <w:snapToGrid/>
      <w:sz w:val="21"/>
      <w:szCs w:val="28"/>
    </w:rPr>
  </w:style>
  <w:style w:type="paragraph" w:customStyle="1" w:styleId="921">
    <w:name w:val="样式 正文文字 + 楷体_GB2312 四号 首行缩进:  0.93 厘米"/>
    <w:basedOn w:val="2"/>
    <w:semiHidden/>
    <w:qFormat/>
    <w:uiPriority w:val="0"/>
    <w:pPr>
      <w:widowControl/>
      <w:spacing w:after="0" w:line="440" w:lineRule="exact"/>
      <w:ind w:firstLine="720" w:firstLineChars="257"/>
    </w:pPr>
    <w:rPr>
      <w:rFonts w:eastAsia="楷体_GB2312"/>
      <w:snapToGrid/>
      <w:kern w:val="2"/>
      <w:sz w:val="28"/>
    </w:rPr>
  </w:style>
  <w:style w:type="paragraph" w:customStyle="1" w:styleId="922">
    <w:name w:val="样式 标题 2 + 首行缩进:  2 字符"/>
    <w:basedOn w:val="4"/>
    <w:qFormat/>
    <w:uiPriority w:val="0"/>
    <w:pPr>
      <w:keepLines w:val="0"/>
      <w:spacing w:beforeLines="300" w:afterLines="150" w:line="520" w:lineRule="exact"/>
      <w:jc w:val="center"/>
    </w:pPr>
    <w:rPr>
      <w:rFonts w:ascii="黑体" w:eastAsia="华文隶书"/>
      <w:b/>
      <w:bCs w:val="0"/>
      <w:spacing w:val="-22"/>
      <w:kern w:val="2"/>
      <w:sz w:val="48"/>
      <w:szCs w:val="48"/>
    </w:rPr>
  </w:style>
  <w:style w:type="character" w:customStyle="1" w:styleId="923">
    <w:name w:val="f41"/>
    <w:semiHidden/>
    <w:qFormat/>
    <w:uiPriority w:val="0"/>
    <w:rPr>
      <w:color w:val="333333"/>
      <w:sz w:val="21"/>
      <w:szCs w:val="21"/>
    </w:rPr>
  </w:style>
  <w:style w:type="character" w:customStyle="1" w:styleId="924">
    <w:name w:val="jj1"/>
    <w:semiHidden/>
    <w:qFormat/>
    <w:uiPriority w:val="0"/>
    <w:rPr>
      <w:u w:val="none"/>
    </w:rPr>
  </w:style>
  <w:style w:type="character" w:customStyle="1" w:styleId="925">
    <w:name w:val="样式 (中文) 楷体_GB2312 四号"/>
    <w:semiHidden/>
    <w:qFormat/>
    <w:uiPriority w:val="0"/>
    <w:rPr>
      <w:rFonts w:ascii="Times New Roman" w:hAnsi="Times New Roman" w:eastAsia="楷体_GB2312"/>
      <w:sz w:val="28"/>
      <w:szCs w:val="28"/>
    </w:rPr>
  </w:style>
  <w:style w:type="character" w:customStyle="1" w:styleId="926">
    <w:name w:val="样式 楷体_GB2312 四号"/>
    <w:semiHidden/>
    <w:qFormat/>
    <w:uiPriority w:val="0"/>
    <w:rPr>
      <w:rFonts w:ascii="Times New Roman" w:hAnsi="Times New Roman" w:eastAsia="楷体_GB2312"/>
      <w:sz w:val="28"/>
      <w:szCs w:val="28"/>
    </w:rPr>
  </w:style>
  <w:style w:type="paragraph" w:customStyle="1" w:styleId="927">
    <w:name w:val="样式 标题 2 + 首行缩进:  2 字符1"/>
    <w:basedOn w:val="5"/>
    <w:semiHidden/>
    <w:qFormat/>
    <w:uiPriority w:val="0"/>
    <w:pPr>
      <w:keepLines w:val="0"/>
      <w:spacing w:beforeLines="100" w:line="440" w:lineRule="exact"/>
      <w:ind w:firstLine="560" w:firstLineChars="200"/>
    </w:pPr>
    <w:rPr>
      <w:rFonts w:eastAsia="汉鼎简特宋"/>
      <w:b/>
      <w:bCs w:val="0"/>
      <w:sz w:val="28"/>
      <w:szCs w:val="20"/>
    </w:rPr>
  </w:style>
  <w:style w:type="paragraph" w:customStyle="1" w:styleId="928">
    <w:name w:val="样式 标题 3 + 左侧:  2 字符 段前: 0.5 行1"/>
    <w:basedOn w:val="6"/>
    <w:semiHidden/>
    <w:qFormat/>
    <w:uiPriority w:val="0"/>
    <w:pPr>
      <w:keepNext w:val="0"/>
      <w:widowControl/>
      <w:spacing w:beforeLines="50" w:line="440" w:lineRule="exact"/>
      <w:ind w:firstLine="200" w:firstLineChars="200"/>
      <w:jc w:val="left"/>
    </w:pPr>
    <w:rPr>
      <w:rFonts w:eastAsia="华文细黑"/>
      <w:sz w:val="28"/>
      <w:szCs w:val="20"/>
    </w:rPr>
  </w:style>
  <w:style w:type="character" w:customStyle="1" w:styleId="929">
    <w:name w:val="样式 正文文字 + 楷体_GB2312 四号 首行缩进:  0.93 厘米 Char"/>
    <w:semiHidden/>
    <w:qFormat/>
    <w:uiPriority w:val="0"/>
    <w:rPr>
      <w:rFonts w:eastAsia="楷体_GB2312"/>
      <w:spacing w:val="-4"/>
      <w:kern w:val="2"/>
      <w:sz w:val="28"/>
      <w:szCs w:val="28"/>
      <w:lang w:val="en-US" w:eastAsia="zh-CN" w:bidi="ar-SA"/>
    </w:rPr>
  </w:style>
  <w:style w:type="paragraph" w:customStyle="1" w:styleId="930">
    <w:name w:val="样式 标题 3 + 左侧:  2 字符 段前: 0.5 行"/>
    <w:basedOn w:val="6"/>
    <w:semiHidden/>
    <w:qFormat/>
    <w:uiPriority w:val="0"/>
    <w:pPr>
      <w:spacing w:beforeLines="50" w:line="440" w:lineRule="exact"/>
      <w:ind w:firstLine="200" w:firstLineChars="200"/>
      <w:jc w:val="left"/>
    </w:pPr>
    <w:rPr>
      <w:rFonts w:eastAsia="华文细黑"/>
      <w:sz w:val="28"/>
      <w:szCs w:val="20"/>
    </w:rPr>
  </w:style>
  <w:style w:type="character" w:customStyle="1" w:styleId="931">
    <w:name w:val="ttitle1"/>
    <w:semiHidden/>
    <w:qFormat/>
    <w:uiPriority w:val="0"/>
    <w:rPr>
      <w:spacing w:val="120"/>
      <w:sz w:val="21"/>
      <w:szCs w:val="21"/>
    </w:rPr>
  </w:style>
  <w:style w:type="character" w:customStyle="1" w:styleId="932">
    <w:name w:val="bt21"/>
    <w:semiHidden/>
    <w:qFormat/>
    <w:uiPriority w:val="0"/>
    <w:rPr>
      <w:rFonts w:hint="eastAsia" w:ascii="黑体" w:eastAsia="黑体"/>
      <w:sz w:val="24"/>
      <w:szCs w:val="24"/>
    </w:rPr>
  </w:style>
  <w:style w:type="character" w:customStyle="1" w:styleId="933">
    <w:name w:val="3zw1"/>
    <w:qFormat/>
    <w:uiPriority w:val="0"/>
    <w:rPr>
      <w:color w:val="000000"/>
      <w:sz w:val="21"/>
      <w:szCs w:val="21"/>
    </w:rPr>
  </w:style>
  <w:style w:type="paragraph" w:customStyle="1" w:styleId="934">
    <w:name w:val="样式 正文首行缩进 + 首行缩进:  2 字符"/>
    <w:basedOn w:val="86"/>
    <w:semiHidden/>
    <w:qFormat/>
    <w:uiPriority w:val="0"/>
    <w:pPr>
      <w:adjustRightInd w:val="0"/>
      <w:snapToGrid w:val="0"/>
      <w:spacing w:after="0" w:line="520" w:lineRule="atLeast"/>
      <w:ind w:firstLine="549"/>
    </w:pPr>
    <w:rPr>
      <w:rFonts w:cs="宋体"/>
      <w:bCs/>
      <w:snapToGrid/>
      <w:sz w:val="28"/>
      <w:szCs w:val="20"/>
    </w:rPr>
  </w:style>
  <w:style w:type="paragraph" w:customStyle="1" w:styleId="935">
    <w:name w:val="Char Char Char Char Char Char Char Char Char Char Char"/>
    <w:basedOn w:val="1"/>
    <w:qFormat/>
    <w:uiPriority w:val="0"/>
    <w:rPr>
      <w:sz w:val="24"/>
    </w:rPr>
  </w:style>
  <w:style w:type="paragraph" w:customStyle="1" w:styleId="936">
    <w:name w:val="样式 标题 3标题 3 Char Char条标题1.1.1Section + 段前: 0.25 行 段后: 0.25 行"/>
    <w:basedOn w:val="6"/>
    <w:next w:val="86"/>
    <w:qFormat/>
    <w:uiPriority w:val="0"/>
    <w:pPr>
      <w:keepNext w:val="0"/>
      <w:keepLines w:val="0"/>
      <w:tabs>
        <w:tab w:val="left" w:pos="1260"/>
      </w:tabs>
      <w:spacing w:before="95" w:after="95" w:line="540" w:lineRule="atLeast"/>
      <w:ind w:left="1260" w:hanging="420"/>
    </w:pPr>
    <w:rPr>
      <w:rFonts w:cs="宋体"/>
      <w:b/>
      <w:bCs w:val="0"/>
      <w:sz w:val="28"/>
      <w:szCs w:val="20"/>
    </w:rPr>
  </w:style>
  <w:style w:type="paragraph" w:customStyle="1" w:styleId="937">
    <w:name w:val="样式 正文缩进文本条款表格标题正文（首行缩进两字） Char Char Char Char Char Char Char...2"/>
    <w:basedOn w:val="22"/>
    <w:semiHidden/>
    <w:qFormat/>
    <w:uiPriority w:val="0"/>
    <w:pPr>
      <w:tabs>
        <w:tab w:val="left" w:pos="283"/>
      </w:tabs>
      <w:adjustRightInd w:val="0"/>
      <w:snapToGrid w:val="0"/>
      <w:spacing w:line="500" w:lineRule="atLeast"/>
      <w:ind w:firstLine="200"/>
    </w:pPr>
    <w:rPr>
      <w:rFonts w:cs="宋体"/>
      <w:sz w:val="28"/>
    </w:rPr>
  </w:style>
  <w:style w:type="paragraph" w:customStyle="1" w:styleId="938">
    <w:name w:val="样式 列表 + 段前: 0.5 行"/>
    <w:basedOn w:val="66"/>
    <w:semiHidden/>
    <w:qFormat/>
    <w:uiPriority w:val="0"/>
    <w:pPr>
      <w:tabs>
        <w:tab w:val="left" w:pos="283"/>
      </w:tabs>
      <w:adjustRightInd w:val="0"/>
      <w:snapToGrid w:val="0"/>
      <w:spacing w:beforeLines="50" w:line="500" w:lineRule="atLeast"/>
      <w:jc w:val="left"/>
    </w:pPr>
    <w:rPr>
      <w:rFonts w:cs="宋体"/>
      <w:b/>
      <w:bCs/>
      <w:sz w:val="28"/>
    </w:rPr>
  </w:style>
  <w:style w:type="paragraph" w:customStyle="1" w:styleId="939">
    <w:name w:val="前言、引言标题"/>
    <w:next w:val="1"/>
    <w:qFormat/>
    <w:uiPriority w:val="0"/>
    <w:pPr>
      <w:shd w:val="clear" w:color="FFFFFF" w:fill="FFFFFF"/>
      <w:tabs>
        <w:tab w:val="left" w:pos="840"/>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940">
    <w:name w:val="五级条标题"/>
    <w:basedOn w:val="736"/>
    <w:next w:val="1"/>
    <w:qFormat/>
    <w:uiPriority w:val="0"/>
    <w:pPr>
      <w:tabs>
        <w:tab w:val="left" w:pos="720"/>
        <w:tab w:val="left" w:pos="903"/>
        <w:tab w:val="left" w:pos="1260"/>
        <w:tab w:val="left" w:pos="1680"/>
        <w:tab w:val="left" w:pos="2100"/>
        <w:tab w:val="clear" w:pos="0"/>
        <w:tab w:val="clear" w:pos="1276"/>
      </w:tabs>
      <w:outlineLvl w:val="6"/>
    </w:pPr>
  </w:style>
  <w:style w:type="paragraph" w:customStyle="1" w:styleId="941">
    <w:name w:val="Plain Text2"/>
    <w:basedOn w:val="1"/>
    <w:qFormat/>
    <w:uiPriority w:val="0"/>
    <w:pPr>
      <w:autoSpaceDE w:val="0"/>
      <w:autoSpaceDN w:val="0"/>
      <w:adjustRightInd w:val="0"/>
      <w:textAlignment w:val="baseline"/>
    </w:pPr>
    <w:rPr>
      <w:rFonts w:ascii="宋体" w:hAnsi="Tms Rmn"/>
      <w:kern w:val="0"/>
      <w:szCs w:val="20"/>
    </w:rPr>
  </w:style>
  <w:style w:type="paragraph" w:customStyle="1" w:styleId="942">
    <w:name w:val="样式 样式 正文缩进文本条款表格标题正文（首行缩进两字） Char Char Char Char Char Char Char....2"/>
    <w:basedOn w:val="1"/>
    <w:semiHidden/>
    <w:qFormat/>
    <w:uiPriority w:val="0"/>
    <w:pPr>
      <w:tabs>
        <w:tab w:val="left" w:pos="283"/>
        <w:tab w:val="left" w:pos="840"/>
      </w:tabs>
      <w:adjustRightInd w:val="0"/>
      <w:snapToGrid w:val="0"/>
      <w:spacing w:line="500" w:lineRule="atLeast"/>
      <w:ind w:firstLine="200" w:firstLineChars="200"/>
    </w:pPr>
    <w:rPr>
      <w:rFonts w:cs="宋体"/>
      <w:sz w:val="28"/>
    </w:rPr>
  </w:style>
  <w:style w:type="paragraph" w:customStyle="1" w:styleId="943">
    <w:name w:val="样式 正文文本 + 居中 段前: 0.15 行 段后: 0.15 行 行距: 最小值 14 磅"/>
    <w:basedOn w:val="2"/>
    <w:semiHidden/>
    <w:qFormat/>
    <w:uiPriority w:val="0"/>
    <w:pPr>
      <w:tabs>
        <w:tab w:val="left" w:pos="283"/>
      </w:tabs>
      <w:adjustRightInd w:val="0"/>
      <w:snapToGrid w:val="0"/>
      <w:spacing w:after="0" w:line="280" w:lineRule="atLeast"/>
      <w:ind w:firstLine="0" w:firstLineChars="0"/>
      <w:jc w:val="center"/>
    </w:pPr>
    <w:rPr>
      <w:rFonts w:cs="宋体"/>
      <w:snapToGrid/>
      <w:kern w:val="2"/>
      <w:szCs w:val="20"/>
    </w:rPr>
  </w:style>
  <w:style w:type="paragraph" w:customStyle="1" w:styleId="944">
    <w:name w:val="框图"/>
    <w:basedOn w:val="1"/>
    <w:qFormat/>
    <w:uiPriority w:val="0"/>
    <w:pPr>
      <w:adjustRightInd w:val="0"/>
      <w:snapToGrid w:val="0"/>
      <w:ind w:left="2" w:leftChars="-38" w:right="-106" w:rightChars="-38" w:hanging="108" w:hangingChars="54"/>
      <w:jc w:val="center"/>
    </w:pPr>
    <w:rPr>
      <w:rFonts w:ascii="仿宋_GB2312" w:eastAsia="仿宋_GB2312"/>
      <w:sz w:val="20"/>
      <w:szCs w:val="20"/>
    </w:rPr>
  </w:style>
  <w:style w:type="paragraph" w:customStyle="1" w:styleId="945">
    <w:name w:val="样式 标题 3 + 黑色 段前: 0行 段后: 0 行"/>
    <w:basedOn w:val="6"/>
    <w:qFormat/>
    <w:uiPriority w:val="0"/>
    <w:pPr>
      <w:tabs>
        <w:tab w:val="left" w:pos="1560"/>
      </w:tabs>
      <w:spacing w:beforeLines="25" w:afterLines="25" w:line="312" w:lineRule="auto"/>
      <w:ind w:left="1560"/>
    </w:pPr>
    <w:rPr>
      <w:rFonts w:ascii="仿宋_GB2312" w:eastAsia="仿宋_GB2312" w:cs="宋体"/>
      <w:sz w:val="28"/>
      <w:szCs w:val="20"/>
    </w:rPr>
  </w:style>
  <w:style w:type="paragraph" w:customStyle="1" w:styleId="946">
    <w:name w:val="表字1"/>
    <w:basedOn w:val="1"/>
    <w:semiHidden/>
    <w:qFormat/>
    <w:uiPriority w:val="0"/>
    <w:pPr>
      <w:adjustRightInd w:val="0"/>
      <w:spacing w:line="360" w:lineRule="auto"/>
      <w:jc w:val="center"/>
      <w:textAlignment w:val="baseline"/>
    </w:pPr>
    <w:rPr>
      <w:rFonts w:ascii="宋体"/>
      <w:kern w:val="0"/>
      <w:szCs w:val="20"/>
    </w:rPr>
  </w:style>
  <w:style w:type="paragraph" w:customStyle="1" w:styleId="947">
    <w:name w:val="正文(黑体)"/>
    <w:basedOn w:val="1"/>
    <w:semiHidden/>
    <w:qFormat/>
    <w:uiPriority w:val="0"/>
    <w:pPr>
      <w:autoSpaceDE w:val="0"/>
      <w:autoSpaceDN w:val="0"/>
      <w:adjustRightInd w:val="0"/>
      <w:spacing w:line="288" w:lineRule="auto"/>
      <w:ind w:firstLine="482"/>
      <w:textAlignment w:val="baseline"/>
    </w:pPr>
    <w:rPr>
      <w:rFonts w:ascii="黑体"/>
      <w:kern w:val="0"/>
      <w:sz w:val="24"/>
      <w:szCs w:val="20"/>
    </w:rPr>
  </w:style>
  <w:style w:type="paragraph" w:customStyle="1" w:styleId="948">
    <w:name w:val="yz"/>
    <w:basedOn w:val="2"/>
    <w:qFormat/>
    <w:uiPriority w:val="0"/>
    <w:pPr>
      <w:tabs>
        <w:tab w:val="left" w:pos="900"/>
      </w:tabs>
      <w:adjustRightInd w:val="0"/>
      <w:spacing w:after="0" w:line="240" w:lineRule="auto"/>
    </w:pPr>
    <w:rPr>
      <w:rFonts w:ascii="宋体" w:hAnsi="宋体"/>
      <w:snapToGrid/>
      <w:kern w:val="2"/>
      <w:szCs w:val="20"/>
    </w:rPr>
  </w:style>
  <w:style w:type="paragraph" w:customStyle="1" w:styleId="949">
    <w:name w:val="y表格"/>
    <w:basedOn w:val="2"/>
    <w:qFormat/>
    <w:uiPriority w:val="0"/>
    <w:pPr>
      <w:widowControl/>
      <w:adjustRightInd w:val="0"/>
      <w:snapToGrid w:val="0"/>
      <w:spacing w:after="0" w:line="240" w:lineRule="auto"/>
      <w:ind w:firstLine="0" w:firstLineChars="0"/>
      <w:jc w:val="center"/>
    </w:pPr>
    <w:rPr>
      <w:rFonts w:ascii="宋体" w:hAnsi="宋体"/>
      <w:snapToGrid/>
      <w:szCs w:val="20"/>
    </w:rPr>
  </w:style>
  <w:style w:type="paragraph" w:customStyle="1" w:styleId="950">
    <w:name w:val="y表头"/>
    <w:basedOn w:val="2"/>
    <w:qFormat/>
    <w:uiPriority w:val="0"/>
    <w:pPr>
      <w:tabs>
        <w:tab w:val="left" w:pos="900"/>
      </w:tabs>
      <w:adjustRightInd w:val="0"/>
      <w:spacing w:after="0" w:line="240" w:lineRule="auto"/>
      <w:ind w:firstLine="0" w:firstLineChars="0"/>
      <w:jc w:val="center"/>
    </w:pPr>
    <w:rPr>
      <w:rFonts w:ascii="宋体" w:hAnsi="宋体" w:eastAsia="楷体_GB2312"/>
      <w:b/>
      <w:snapToGrid/>
      <w:kern w:val="2"/>
      <w:szCs w:val="20"/>
    </w:rPr>
  </w:style>
  <w:style w:type="paragraph" w:customStyle="1" w:styleId="951">
    <w:name w:val="新正文样式"/>
    <w:basedOn w:val="1"/>
    <w:qFormat/>
    <w:uiPriority w:val="0"/>
    <w:pPr>
      <w:tabs>
        <w:tab w:val="left" w:pos="567"/>
      </w:tabs>
      <w:spacing w:line="360" w:lineRule="auto"/>
      <w:ind w:firstLine="567"/>
    </w:pPr>
    <w:rPr>
      <w:spacing w:val="20"/>
      <w:sz w:val="24"/>
      <w:szCs w:val="20"/>
    </w:rPr>
  </w:style>
  <w:style w:type="paragraph" w:customStyle="1" w:styleId="952">
    <w:name w:val="正文B"/>
    <w:basedOn w:val="1"/>
    <w:qFormat/>
    <w:uiPriority w:val="0"/>
    <w:pPr>
      <w:adjustRightInd w:val="0"/>
      <w:spacing w:line="390" w:lineRule="exact"/>
      <w:ind w:firstLine="601"/>
      <w:textAlignment w:val="baseline"/>
    </w:pPr>
    <w:rPr>
      <w:rFonts w:eastAsia="楷体_GB2312"/>
      <w:spacing w:val="8"/>
      <w:kern w:val="0"/>
      <w:sz w:val="28"/>
      <w:szCs w:val="20"/>
    </w:rPr>
  </w:style>
  <w:style w:type="paragraph" w:customStyle="1" w:styleId="95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954">
    <w:name w:val="heading"/>
    <w:basedOn w:val="1"/>
    <w:next w:val="1"/>
    <w:semiHidden/>
    <w:qFormat/>
    <w:uiPriority w:val="0"/>
    <w:pPr>
      <w:keepNext/>
      <w:keepLines/>
      <w:tabs>
        <w:tab w:val="left" w:pos="360"/>
      </w:tabs>
      <w:spacing w:line="360" w:lineRule="auto"/>
      <w:outlineLvl w:val="1"/>
    </w:pPr>
    <w:rPr>
      <w:rFonts w:ascii="宋体" w:hAnsi="Arial Black" w:cs="宋体"/>
      <w:sz w:val="24"/>
    </w:rPr>
  </w:style>
  <w:style w:type="paragraph" w:customStyle="1" w:styleId="955">
    <w:name w:val="Char2 Char Char Char Char Char Char"/>
    <w:basedOn w:val="1"/>
    <w:semiHidden/>
    <w:qFormat/>
    <w:uiPriority w:val="0"/>
    <w:rPr>
      <w:sz w:val="24"/>
    </w:rPr>
  </w:style>
  <w:style w:type="paragraph" w:customStyle="1" w:styleId="956">
    <w:name w:val="zhang正文"/>
    <w:basedOn w:val="35"/>
    <w:qFormat/>
    <w:uiPriority w:val="0"/>
    <w:pPr>
      <w:autoSpaceDE w:val="0"/>
      <w:autoSpaceDN w:val="0"/>
      <w:adjustRightInd w:val="0"/>
      <w:snapToGrid w:val="0"/>
      <w:spacing w:line="360" w:lineRule="auto"/>
      <w:ind w:firstLine="539"/>
    </w:pPr>
    <w:rPr>
      <w:rFonts w:eastAsia="楷体_GB2312"/>
      <w:kern w:val="0"/>
      <w:sz w:val="28"/>
    </w:rPr>
  </w:style>
  <w:style w:type="paragraph" w:customStyle="1" w:styleId="957">
    <w:name w:val="pic3"/>
    <w:basedOn w:val="1"/>
    <w:semiHidden/>
    <w:qFormat/>
    <w:uiPriority w:val="0"/>
    <w:pPr>
      <w:widowControl/>
      <w:pBdr>
        <w:top w:val="double" w:color="999999" w:sz="6" w:space="0"/>
        <w:left w:val="double" w:color="999999" w:sz="6" w:space="0"/>
        <w:bottom w:val="double" w:color="999999" w:sz="6" w:space="0"/>
        <w:right w:val="double" w:color="999999" w:sz="6" w:space="0"/>
      </w:pBdr>
      <w:spacing w:before="100" w:beforeAutospacing="1" w:after="100" w:afterAutospacing="1"/>
      <w:jc w:val="left"/>
    </w:pPr>
    <w:rPr>
      <w:rFonts w:ascii="Arial Unicode MS" w:hAnsi="Arial Unicode MS" w:eastAsia="Arial Unicode MS" w:cs="楷体_GB2312"/>
      <w:kern w:val="0"/>
      <w:sz w:val="24"/>
    </w:rPr>
  </w:style>
  <w:style w:type="paragraph" w:customStyle="1" w:styleId="958">
    <w:name w:val="Char Char Char Char Char Char Char Char Char Char Char Char"/>
    <w:basedOn w:val="1"/>
    <w:qFormat/>
    <w:uiPriority w:val="0"/>
    <w:rPr>
      <w:sz w:val="24"/>
    </w:rPr>
  </w:style>
  <w:style w:type="paragraph" w:customStyle="1" w:styleId="959">
    <w:name w:val="Char Char Char Char Char Char Char Char Char Char Char Char3"/>
    <w:basedOn w:val="1"/>
    <w:semiHidden/>
    <w:qFormat/>
    <w:uiPriority w:val="0"/>
    <w:rPr>
      <w:sz w:val="24"/>
    </w:rPr>
  </w:style>
  <w:style w:type="paragraph" w:customStyle="1" w:styleId="960">
    <w:name w:val="Char4"/>
    <w:basedOn w:val="1"/>
    <w:semiHidden/>
    <w:qFormat/>
    <w:uiPriority w:val="0"/>
    <w:rPr>
      <w:rFonts w:ascii="宋体" w:hAnsi="宋体" w:cs="宋体"/>
      <w:color w:val="000000"/>
      <w:kern w:val="0"/>
      <w:sz w:val="24"/>
    </w:rPr>
  </w:style>
  <w:style w:type="character" w:customStyle="1" w:styleId="961">
    <w:name w:val="mainarttxt1"/>
    <w:semiHidden/>
    <w:qFormat/>
    <w:uiPriority w:val="0"/>
    <w:rPr>
      <w:rFonts w:hint="default" w:ascii="Arial" w:hAnsi="Arial" w:cs="Arial"/>
      <w:color w:val="000000"/>
      <w:sz w:val="20"/>
      <w:szCs w:val="20"/>
    </w:rPr>
  </w:style>
  <w:style w:type="paragraph" w:customStyle="1" w:styleId="962">
    <w:name w:val="Table Head"/>
    <w:basedOn w:val="1"/>
    <w:semiHidden/>
    <w:qFormat/>
    <w:uiPriority w:val="0"/>
    <w:pPr>
      <w:widowControl/>
      <w:spacing w:before="80" w:after="80"/>
      <w:jc w:val="center"/>
    </w:pPr>
    <w:rPr>
      <w:rFonts w:eastAsia="Times New Roman"/>
      <w:b/>
      <w:kern w:val="0"/>
      <w:sz w:val="22"/>
      <w:szCs w:val="20"/>
      <w:lang w:eastAsia="en-US"/>
    </w:rPr>
  </w:style>
  <w:style w:type="paragraph" w:customStyle="1" w:styleId="963">
    <w:name w:val="Table text"/>
    <w:basedOn w:val="1"/>
    <w:semiHidden/>
    <w:qFormat/>
    <w:uiPriority w:val="0"/>
    <w:pPr>
      <w:widowControl/>
      <w:spacing w:before="80" w:after="80"/>
      <w:jc w:val="left"/>
    </w:pPr>
    <w:rPr>
      <w:rFonts w:eastAsia="Times New Roman"/>
      <w:kern w:val="0"/>
      <w:sz w:val="22"/>
      <w:szCs w:val="20"/>
      <w:lang w:eastAsia="en-US"/>
    </w:rPr>
  </w:style>
  <w:style w:type="paragraph" w:customStyle="1" w:styleId="964">
    <w:name w:val="文本块1"/>
    <w:basedOn w:val="1"/>
    <w:semiHidden/>
    <w:qFormat/>
    <w:uiPriority w:val="0"/>
    <w:pPr>
      <w:widowControl/>
      <w:spacing w:before="100" w:after="100"/>
      <w:jc w:val="left"/>
    </w:pPr>
    <w:rPr>
      <w:rFonts w:eastAsia="Times New Roman"/>
      <w:kern w:val="0"/>
      <w:sz w:val="22"/>
      <w:szCs w:val="20"/>
      <w:lang w:eastAsia="en-US"/>
    </w:rPr>
  </w:style>
  <w:style w:type="paragraph" w:customStyle="1" w:styleId="965">
    <w:name w:val="Block label"/>
    <w:basedOn w:val="1"/>
    <w:semiHidden/>
    <w:qFormat/>
    <w:uiPriority w:val="99"/>
    <w:pPr>
      <w:widowControl/>
      <w:spacing w:before="100"/>
      <w:jc w:val="left"/>
    </w:pPr>
    <w:rPr>
      <w:rFonts w:eastAsia="Times New Roman"/>
      <w:b/>
      <w:kern w:val="0"/>
      <w:sz w:val="22"/>
      <w:szCs w:val="20"/>
      <w:lang w:eastAsia="en-US"/>
    </w:rPr>
  </w:style>
  <w:style w:type="paragraph" w:customStyle="1" w:styleId="966">
    <w:name w:val="普通(网站)1"/>
    <w:basedOn w:val="1"/>
    <w:semiHidden/>
    <w:qFormat/>
    <w:uiPriority w:val="0"/>
    <w:pPr>
      <w:adjustRightInd w:val="0"/>
      <w:textAlignment w:val="baseline"/>
    </w:pPr>
    <w:rPr>
      <w:sz w:val="24"/>
      <w:szCs w:val="20"/>
    </w:rPr>
  </w:style>
  <w:style w:type="paragraph" w:customStyle="1" w:styleId="967">
    <w:name w:val="封面标准文稿类别"/>
    <w:semiHidden/>
    <w:qFormat/>
    <w:uiPriority w:val="0"/>
    <w:pPr>
      <w:spacing w:before="440" w:line="400" w:lineRule="exact"/>
      <w:jc w:val="center"/>
    </w:pPr>
    <w:rPr>
      <w:rFonts w:ascii="宋体" w:hAnsi="Times New Roman" w:eastAsia="宋体" w:cs="Times New Roman"/>
      <w:sz w:val="24"/>
      <w:lang w:val="en-US" w:eastAsia="zh-CN" w:bidi="ar-SA"/>
    </w:rPr>
  </w:style>
  <w:style w:type="character" w:customStyle="1" w:styleId="968">
    <w:name w:val="duanluo2"/>
    <w:qFormat/>
    <w:uiPriority w:val="0"/>
    <w:rPr>
      <w:rFonts w:ascii="??" w:hAnsi="??"/>
      <w:color w:val="000000"/>
      <w:sz w:val="21"/>
    </w:rPr>
  </w:style>
  <w:style w:type="character" w:customStyle="1" w:styleId="969">
    <w:name w:val="超链接1"/>
    <w:qFormat/>
    <w:uiPriority w:val="0"/>
    <w:rPr>
      <w:color w:val="0000FF"/>
      <w:u w:val="single"/>
    </w:rPr>
  </w:style>
  <w:style w:type="paragraph" w:customStyle="1" w:styleId="970">
    <w:name w:val="居中正文"/>
    <w:basedOn w:val="86"/>
    <w:qFormat/>
    <w:uiPriority w:val="0"/>
    <w:pPr>
      <w:adjustRightInd w:val="0"/>
      <w:spacing w:before="240" w:after="0" w:line="240" w:lineRule="atLeast"/>
      <w:ind w:firstLine="0" w:firstLineChars="0"/>
      <w:jc w:val="center"/>
      <w:textAlignment w:val="baseline"/>
    </w:pPr>
    <w:rPr>
      <w:rFonts w:hint="eastAsia" w:ascii="宋体" w:hAnsi="宋体"/>
      <w:snapToGrid/>
      <w:spacing w:val="6"/>
      <w:kern w:val="28"/>
      <w:szCs w:val="20"/>
    </w:rPr>
  </w:style>
  <w:style w:type="paragraph" w:customStyle="1" w:styleId="971">
    <w:name w:val="_Style 1"/>
    <w:basedOn w:val="1"/>
    <w:next w:val="22"/>
    <w:qFormat/>
    <w:uiPriority w:val="0"/>
    <w:pPr>
      <w:adjustRightInd w:val="0"/>
      <w:spacing w:line="288" w:lineRule="auto"/>
      <w:ind w:firstLine="480"/>
      <w:textAlignment w:val="baseline"/>
    </w:pPr>
    <w:rPr>
      <w:rFonts w:hint="eastAsia" w:ascii="宋体" w:hAnsi="宋体"/>
      <w:sz w:val="24"/>
      <w:szCs w:val="20"/>
    </w:rPr>
  </w:style>
  <w:style w:type="paragraph" w:customStyle="1" w:styleId="972">
    <w:name w:val="1标题4级"/>
    <w:basedOn w:val="973"/>
    <w:qFormat/>
    <w:uiPriority w:val="0"/>
  </w:style>
  <w:style w:type="paragraph" w:customStyle="1" w:styleId="973">
    <w:name w:val="1标题3级"/>
    <w:basedOn w:val="1"/>
    <w:qFormat/>
    <w:uiPriority w:val="0"/>
    <w:pPr>
      <w:keepNext/>
      <w:adjustRightInd w:val="0"/>
      <w:snapToGrid w:val="0"/>
      <w:spacing w:line="420" w:lineRule="auto"/>
      <w:textAlignment w:val="baseline"/>
    </w:pPr>
    <w:rPr>
      <w:rFonts w:hint="eastAsia" w:ascii="宋体" w:hAnsi="宋体" w:eastAsia="黑体"/>
      <w:b/>
      <w:sz w:val="28"/>
      <w:szCs w:val="20"/>
    </w:rPr>
  </w:style>
  <w:style w:type="paragraph" w:customStyle="1" w:styleId="974">
    <w:name w:val="zg1"/>
    <w:basedOn w:val="1"/>
    <w:qFormat/>
    <w:uiPriority w:val="0"/>
    <w:pPr>
      <w:adjustRightInd w:val="0"/>
      <w:spacing w:line="500" w:lineRule="exact"/>
      <w:ind w:firstLine="200"/>
      <w:textAlignment w:val="baseline"/>
    </w:pPr>
    <w:rPr>
      <w:rFonts w:hint="eastAsia" w:ascii="宋体" w:hAnsi="宋体"/>
      <w:sz w:val="24"/>
      <w:szCs w:val="20"/>
    </w:rPr>
  </w:style>
  <w:style w:type="paragraph" w:customStyle="1" w:styleId="975">
    <w:name w:val="正文22"/>
    <w:basedOn w:val="1"/>
    <w:next w:val="22"/>
    <w:semiHidden/>
    <w:qFormat/>
    <w:uiPriority w:val="0"/>
    <w:pPr>
      <w:adjustRightInd w:val="0"/>
      <w:snapToGrid w:val="0"/>
      <w:spacing w:line="360" w:lineRule="atLeast"/>
      <w:textAlignment w:val="baseline"/>
    </w:pPr>
    <w:rPr>
      <w:rFonts w:hint="eastAsia" w:ascii="宋体" w:hAnsi="宋体" w:eastAsia="黑体"/>
      <w:spacing w:val="5"/>
      <w:kern w:val="0"/>
      <w:sz w:val="32"/>
      <w:szCs w:val="20"/>
    </w:rPr>
  </w:style>
  <w:style w:type="paragraph" w:customStyle="1" w:styleId="976">
    <w:name w:val="宏文本1"/>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977">
    <w:name w:val="h"/>
    <w:basedOn w:val="1"/>
    <w:qFormat/>
    <w:uiPriority w:val="0"/>
    <w:pPr>
      <w:adjustRightInd w:val="0"/>
      <w:spacing w:before="60"/>
      <w:ind w:firstLine="482"/>
      <w:textAlignment w:val="baseline"/>
    </w:pPr>
    <w:rPr>
      <w:rFonts w:ascii="Arial" w:hAnsi="Arial" w:eastAsia="仿宋_GB2312"/>
      <w:sz w:val="24"/>
      <w:szCs w:val="20"/>
    </w:rPr>
  </w:style>
  <w:style w:type="paragraph" w:customStyle="1" w:styleId="978">
    <w:name w:val="正文中对齐"/>
    <w:basedOn w:val="1"/>
    <w:qFormat/>
    <w:uiPriority w:val="0"/>
    <w:pPr>
      <w:adjustRightInd w:val="0"/>
      <w:snapToGrid w:val="0"/>
      <w:spacing w:before="60" w:after="60" w:line="60" w:lineRule="atLeast"/>
      <w:jc w:val="center"/>
      <w:textAlignment w:val="baseline"/>
    </w:pPr>
    <w:rPr>
      <w:rFonts w:hint="eastAsia" w:ascii="宋体" w:hAnsi="宋体"/>
      <w:sz w:val="24"/>
      <w:szCs w:val="20"/>
    </w:rPr>
  </w:style>
  <w:style w:type="paragraph" w:customStyle="1" w:styleId="979">
    <w:name w:val="nw"/>
    <w:basedOn w:val="1"/>
    <w:qFormat/>
    <w:uiPriority w:val="0"/>
    <w:pPr>
      <w:widowControl/>
      <w:adjustRightInd w:val="0"/>
      <w:spacing w:before="100" w:after="100"/>
      <w:jc w:val="left"/>
      <w:textAlignment w:val="baseline"/>
    </w:pPr>
    <w:rPr>
      <w:rFonts w:ascii="宋体" w:hAnsi="宋体"/>
      <w:color w:val="000000"/>
      <w:kern w:val="0"/>
      <w:szCs w:val="20"/>
    </w:rPr>
  </w:style>
  <w:style w:type="paragraph" w:customStyle="1" w:styleId="980">
    <w:name w:val="_Style 2"/>
    <w:basedOn w:val="1"/>
    <w:next w:val="70"/>
    <w:qFormat/>
    <w:uiPriority w:val="0"/>
    <w:pPr>
      <w:adjustRightInd w:val="0"/>
      <w:ind w:firstLine="576"/>
      <w:textAlignment w:val="baseline"/>
    </w:pPr>
    <w:rPr>
      <w:rFonts w:hint="eastAsia" w:ascii="宋体" w:hAnsi="宋体"/>
      <w:sz w:val="24"/>
      <w:szCs w:val="20"/>
    </w:rPr>
  </w:style>
  <w:style w:type="paragraph" w:customStyle="1" w:styleId="981">
    <w:name w:val="标题 31"/>
    <w:basedOn w:val="1"/>
    <w:next w:val="1"/>
    <w:qFormat/>
    <w:uiPriority w:val="0"/>
    <w:pPr>
      <w:keepNext/>
      <w:keepLines/>
      <w:adjustRightInd w:val="0"/>
      <w:spacing w:before="120" w:after="120" w:line="500" w:lineRule="exact"/>
      <w:textAlignment w:val="baseline"/>
    </w:pPr>
    <w:rPr>
      <w:rFonts w:hint="eastAsia" w:ascii="宋体" w:hAnsi="宋体" w:eastAsia="黑体"/>
      <w:sz w:val="30"/>
      <w:szCs w:val="20"/>
    </w:rPr>
  </w:style>
  <w:style w:type="paragraph" w:customStyle="1" w:styleId="982">
    <w:name w:val="biao2"/>
    <w:basedOn w:val="1"/>
    <w:qFormat/>
    <w:uiPriority w:val="0"/>
    <w:pPr>
      <w:widowControl/>
      <w:adjustRightInd w:val="0"/>
      <w:spacing w:before="100" w:after="100"/>
      <w:jc w:val="center"/>
      <w:textAlignment w:val="center"/>
    </w:pPr>
    <w:rPr>
      <w:rFonts w:ascii="??" w:hAnsi="??"/>
      <w:color w:val="000000"/>
      <w:kern w:val="0"/>
      <w:sz w:val="27"/>
      <w:szCs w:val="20"/>
    </w:rPr>
  </w:style>
  <w:style w:type="paragraph" w:customStyle="1" w:styleId="983">
    <w:name w:val="1标题2级"/>
    <w:basedOn w:val="1"/>
    <w:qFormat/>
    <w:uiPriority w:val="0"/>
    <w:pPr>
      <w:keepNext/>
      <w:snapToGrid w:val="0"/>
      <w:spacing w:line="420" w:lineRule="auto"/>
    </w:pPr>
    <w:rPr>
      <w:rFonts w:eastAsia="黑体"/>
      <w:b/>
      <w:sz w:val="30"/>
      <w:szCs w:val="20"/>
    </w:rPr>
  </w:style>
  <w:style w:type="paragraph" w:customStyle="1" w:styleId="984">
    <w:name w:val="文字段落10"/>
    <w:basedOn w:val="1"/>
    <w:qFormat/>
    <w:uiPriority w:val="0"/>
    <w:pPr>
      <w:overflowPunct w:val="0"/>
      <w:autoSpaceDE w:val="0"/>
      <w:autoSpaceDN w:val="0"/>
      <w:adjustRightInd w:val="0"/>
      <w:snapToGrid w:val="0"/>
      <w:spacing w:beforeLines="50" w:afterLines="50" w:line="360" w:lineRule="auto"/>
      <w:ind w:firstLine="200" w:firstLineChars="200"/>
      <w:textAlignment w:val="baseline"/>
    </w:pPr>
    <w:rPr>
      <w:rFonts w:cs="宋体"/>
      <w:sz w:val="28"/>
      <w:szCs w:val="20"/>
    </w:rPr>
  </w:style>
  <w:style w:type="paragraph" w:customStyle="1" w:styleId="985">
    <w:name w:val="正文文字缩进1"/>
    <w:basedOn w:val="1"/>
    <w:next w:val="35"/>
    <w:qFormat/>
    <w:uiPriority w:val="0"/>
    <w:pPr>
      <w:autoSpaceDE w:val="0"/>
      <w:autoSpaceDN w:val="0"/>
      <w:adjustRightInd w:val="0"/>
      <w:spacing w:line="360" w:lineRule="atLeast"/>
      <w:ind w:firstLine="425"/>
      <w:textAlignment w:val="baseline"/>
    </w:pPr>
    <w:rPr>
      <w:rFonts w:ascii="宋体" w:hAnsi="Tms Rmn" w:cs="宋体"/>
      <w:kern w:val="0"/>
      <w:sz w:val="28"/>
      <w:szCs w:val="28"/>
    </w:rPr>
  </w:style>
  <w:style w:type="character" w:customStyle="1" w:styleId="986">
    <w:name w:val="title-blue1"/>
    <w:semiHidden/>
    <w:qFormat/>
    <w:uiPriority w:val="0"/>
    <w:rPr>
      <w:rFonts w:hint="eastAsia" w:ascii="幼圆" w:eastAsia="幼圆"/>
      <w:b/>
      <w:bCs/>
      <w:color w:val="009FFF"/>
      <w:spacing w:val="75"/>
      <w:sz w:val="24"/>
      <w:szCs w:val="24"/>
    </w:rPr>
  </w:style>
  <w:style w:type="paragraph" w:customStyle="1" w:styleId="987">
    <w:name w:val="正文（首行缩进两字） Char Char Char Char Char Char"/>
    <w:basedOn w:val="1"/>
    <w:next w:val="22"/>
    <w:semiHidden/>
    <w:qFormat/>
    <w:uiPriority w:val="0"/>
    <w:pPr>
      <w:ind w:firstLine="420" w:firstLineChars="200"/>
    </w:pPr>
    <w:rPr>
      <w:szCs w:val="20"/>
    </w:rPr>
  </w:style>
  <w:style w:type="paragraph" w:customStyle="1" w:styleId="988">
    <w:name w:val="注解"/>
    <w:qFormat/>
    <w:uiPriority w:val="0"/>
    <w:pPr>
      <w:widowControl w:val="0"/>
      <w:autoSpaceDE w:val="0"/>
      <w:autoSpaceDN w:val="0"/>
      <w:adjustRightInd w:val="0"/>
      <w:jc w:val="center"/>
    </w:pPr>
    <w:rPr>
      <w:rFonts w:ascii="宋体" w:hAnsi="Arial Black" w:eastAsia="宋体" w:cs="Times New Roman"/>
      <w:kern w:val="2"/>
      <w:sz w:val="21"/>
      <w:lang w:val="en-US" w:eastAsia="zh-CN" w:bidi="ar-SA"/>
    </w:rPr>
  </w:style>
  <w:style w:type="paragraph" w:customStyle="1" w:styleId="989">
    <w:name w:val="Char Char Char1 Char Char Char Char Char Char Char Char Char Char Char Char Char"/>
    <w:basedOn w:val="1"/>
    <w:semiHidden/>
    <w:qFormat/>
    <w:uiPriority w:val="0"/>
    <w:rPr>
      <w:sz w:val="24"/>
    </w:rPr>
  </w:style>
  <w:style w:type="paragraph" w:customStyle="1" w:styleId="990">
    <w:name w:val="Char4 Char Char Char Char Char Char Char Char Char"/>
    <w:basedOn w:val="1"/>
    <w:semiHidden/>
    <w:qFormat/>
    <w:uiPriority w:val="0"/>
    <w:rPr>
      <w:sz w:val="24"/>
    </w:rPr>
  </w:style>
  <w:style w:type="paragraph" w:customStyle="1" w:styleId="991">
    <w:name w:val="Char Char Char Char Char Char Char Char Char1 Char Char Char Char Char Char Char"/>
    <w:basedOn w:val="1"/>
    <w:semiHidden/>
    <w:qFormat/>
    <w:uiPriority w:val="0"/>
    <w:pPr>
      <w:snapToGrid w:val="0"/>
      <w:spacing w:line="360" w:lineRule="auto"/>
      <w:ind w:firstLine="200" w:firstLineChars="200"/>
    </w:pPr>
    <w:rPr>
      <w:rFonts w:eastAsia="仿宋_GB2312"/>
      <w:sz w:val="24"/>
    </w:rPr>
  </w:style>
  <w:style w:type="paragraph" w:customStyle="1" w:styleId="992">
    <w:name w:val="WW-表格1"/>
    <w:basedOn w:val="1"/>
    <w:semiHidden/>
    <w:qFormat/>
    <w:uiPriority w:val="0"/>
    <w:pPr>
      <w:suppressAutoHyphens/>
      <w:snapToGrid w:val="0"/>
      <w:spacing w:before="20" w:after="20"/>
      <w:jc w:val="center"/>
    </w:pPr>
    <w:rPr>
      <w:kern w:val="1"/>
      <w:szCs w:val="20"/>
      <w:lang w:eastAsia="ar-SA"/>
    </w:rPr>
  </w:style>
  <w:style w:type="paragraph" w:customStyle="1" w:styleId="993">
    <w:name w:val="文"/>
    <w:basedOn w:val="1"/>
    <w:semiHidden/>
    <w:qFormat/>
    <w:uiPriority w:val="0"/>
    <w:pPr>
      <w:adjustRightInd w:val="0"/>
      <w:snapToGrid w:val="0"/>
      <w:spacing w:line="312" w:lineRule="auto"/>
      <w:ind w:firstLine="567"/>
    </w:pPr>
    <w:rPr>
      <w:rFonts w:ascii="宋体"/>
      <w:spacing w:val="6"/>
      <w:sz w:val="28"/>
      <w:szCs w:val="20"/>
    </w:rPr>
  </w:style>
  <w:style w:type="paragraph" w:customStyle="1" w:styleId="994">
    <w:name w:val="默认段落字体 Para Char Char Char Char Char Char Char"/>
    <w:basedOn w:val="1"/>
    <w:qFormat/>
    <w:uiPriority w:val="0"/>
  </w:style>
  <w:style w:type="character" w:customStyle="1" w:styleId="995">
    <w:name w:val="style181"/>
    <w:qFormat/>
    <w:uiPriority w:val="0"/>
    <w:rPr>
      <w:color w:val="666666"/>
      <w:sz w:val="18"/>
      <w:szCs w:val="18"/>
    </w:rPr>
  </w:style>
  <w:style w:type="paragraph" w:customStyle="1" w:styleId="996">
    <w:name w:val="Char Char Char1 Char Char"/>
    <w:basedOn w:val="1"/>
    <w:qFormat/>
    <w:uiPriority w:val="0"/>
    <w:rPr>
      <w:rFonts w:ascii="宋体" w:hAnsi="宋体" w:cs="宋体"/>
      <w:color w:val="000000"/>
      <w:kern w:val="0"/>
      <w:sz w:val="24"/>
    </w:rPr>
  </w:style>
  <w:style w:type="paragraph" w:customStyle="1" w:styleId="997">
    <w:name w:val="附录"/>
    <w:next w:val="1"/>
    <w:semiHidden/>
    <w:qFormat/>
    <w:uiPriority w:val="0"/>
    <w:pPr>
      <w:spacing w:line="360" w:lineRule="auto"/>
      <w:outlineLvl w:val="0"/>
    </w:pPr>
    <w:rPr>
      <w:rFonts w:ascii="Times New Roman" w:hAnsi="Times New Roman" w:eastAsia="黑体" w:cs="Times New Roman"/>
      <w:b/>
      <w:kern w:val="2"/>
      <w:sz w:val="36"/>
      <w:szCs w:val="36"/>
      <w:lang w:val="en-US" w:eastAsia="zh-CN" w:bidi="ar-SA"/>
    </w:rPr>
  </w:style>
  <w:style w:type="paragraph" w:customStyle="1" w:styleId="998">
    <w:name w:val="目录台头"/>
    <w:semiHidden/>
    <w:qFormat/>
    <w:uiPriority w:val="0"/>
    <w:pPr>
      <w:spacing w:beforeLines="150" w:afterLines="100"/>
      <w:jc w:val="center"/>
    </w:pPr>
    <w:rPr>
      <w:rFonts w:ascii="黑体" w:hAnsi="Times New Roman" w:eastAsia="方正姚体" w:cs="宋体"/>
      <w:b/>
      <w:bCs/>
      <w:kern w:val="2"/>
      <w:sz w:val="44"/>
      <w:lang w:val="en-US" w:eastAsia="zh-CN" w:bidi="ar-SA"/>
    </w:rPr>
  </w:style>
  <w:style w:type="paragraph" w:customStyle="1" w:styleId="999">
    <w:name w:val="样式 目录台头 + 段前: 1.5 行 段后: 1 行"/>
    <w:basedOn w:val="998"/>
    <w:semiHidden/>
    <w:qFormat/>
    <w:uiPriority w:val="0"/>
    <w:pPr>
      <w:spacing w:beforeLines="250" w:line="360" w:lineRule="auto"/>
    </w:pPr>
  </w:style>
  <w:style w:type="paragraph" w:customStyle="1" w:styleId="1000">
    <w:name w:val="报告正文朱"/>
    <w:basedOn w:val="1"/>
    <w:qFormat/>
    <w:uiPriority w:val="0"/>
    <w:pPr>
      <w:widowControl/>
      <w:adjustRightInd w:val="0"/>
      <w:snapToGrid w:val="0"/>
      <w:spacing w:line="360" w:lineRule="auto"/>
      <w:ind w:firstLine="200" w:firstLineChars="200"/>
      <w:jc w:val="left"/>
    </w:pPr>
    <w:rPr>
      <w:bCs/>
      <w:kern w:val="44"/>
      <w:sz w:val="24"/>
      <w:szCs w:val="44"/>
    </w:rPr>
  </w:style>
  <w:style w:type="paragraph" w:customStyle="1" w:styleId="1001">
    <w:name w:val="(文字) (文字)"/>
    <w:basedOn w:val="1"/>
    <w:qFormat/>
    <w:uiPriority w:val="0"/>
    <w:rPr>
      <w:sz w:val="24"/>
    </w:rPr>
  </w:style>
  <w:style w:type="paragraph" w:customStyle="1" w:styleId="1002">
    <w:name w:val="小表格"/>
    <w:basedOn w:val="1"/>
    <w:qFormat/>
    <w:uiPriority w:val="0"/>
    <w:pPr>
      <w:autoSpaceDE w:val="0"/>
      <w:autoSpaceDN w:val="0"/>
      <w:adjustRightInd w:val="0"/>
      <w:snapToGrid w:val="0"/>
      <w:spacing w:line="360" w:lineRule="auto"/>
      <w:jc w:val="center"/>
    </w:pPr>
    <w:rPr>
      <w:rFonts w:ascii="仿宋_GB2312"/>
      <w:kern w:val="0"/>
      <w:szCs w:val="20"/>
    </w:rPr>
  </w:style>
  <w:style w:type="table" w:customStyle="1" w:styleId="1003">
    <w:name w:val="网格型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04">
    <w:name w:val="Char Char Char Char Char Char Char4"/>
    <w:basedOn w:val="1"/>
    <w:qFormat/>
    <w:uiPriority w:val="0"/>
  </w:style>
  <w:style w:type="paragraph" w:customStyle="1" w:styleId="1005">
    <w:name w:val="样式 标题 4款标题1.1.1.1h4H4Fab-4T5PIM 4Ref Heading 1rh1Headin..."/>
    <w:basedOn w:val="7"/>
    <w:semiHidden/>
    <w:qFormat/>
    <w:uiPriority w:val="0"/>
    <w:pPr>
      <w:keepNext w:val="0"/>
      <w:keepLines w:val="0"/>
      <w:widowControl/>
    </w:pPr>
    <w:rPr>
      <w:szCs w:val="21"/>
    </w:rPr>
  </w:style>
  <w:style w:type="paragraph" w:customStyle="1" w:styleId="1006">
    <w:name w:val="text"/>
    <w:basedOn w:val="1"/>
    <w:qFormat/>
    <w:uiPriority w:val="0"/>
    <w:pPr>
      <w:widowControl/>
      <w:spacing w:before="100" w:beforeAutospacing="1" w:after="100" w:afterAutospacing="1" w:line="268" w:lineRule="atLeast"/>
      <w:jc w:val="left"/>
    </w:pPr>
    <w:rPr>
      <w:rFonts w:ascii="ˎ̥" w:hAnsi="ˎ̥" w:cs="宋体"/>
      <w:color w:val="666666"/>
      <w:kern w:val="0"/>
      <w:sz w:val="20"/>
      <w:szCs w:val="20"/>
    </w:rPr>
  </w:style>
  <w:style w:type="paragraph" w:customStyle="1" w:styleId="1007">
    <w:name w:val="参加人员"/>
    <w:basedOn w:val="1"/>
    <w:qFormat/>
    <w:uiPriority w:val="0"/>
    <w:pPr>
      <w:spacing w:line="500" w:lineRule="atLeast"/>
    </w:pPr>
    <w:rPr>
      <w:sz w:val="24"/>
    </w:rPr>
  </w:style>
  <w:style w:type="character" w:customStyle="1" w:styleId="1008">
    <w:name w:val="l151"/>
    <w:semiHidden/>
    <w:qFormat/>
    <w:uiPriority w:val="0"/>
  </w:style>
  <w:style w:type="paragraph" w:customStyle="1" w:styleId="1009">
    <w:name w:val="五号表格"/>
    <w:next w:val="1"/>
    <w:semiHidden/>
    <w:qFormat/>
    <w:uiPriority w:val="0"/>
    <w:rPr>
      <w:rFonts w:ascii="宋体" w:hAnsi="Times New Roman" w:eastAsia="宋体" w:cs="Times New Roman"/>
      <w:sz w:val="21"/>
      <w:lang w:val="en-US" w:eastAsia="zh-CN" w:bidi="ar-SA"/>
    </w:rPr>
  </w:style>
  <w:style w:type="paragraph" w:customStyle="1" w:styleId="1010">
    <w:name w:val="c新标题3"/>
    <w:basedOn w:val="6"/>
    <w:semiHidden/>
    <w:qFormat/>
    <w:uiPriority w:val="0"/>
    <w:pPr>
      <w:widowControl/>
      <w:spacing w:line="240" w:lineRule="exact"/>
      <w:jc w:val="left"/>
    </w:pPr>
    <w:rPr>
      <w:bCs w:val="0"/>
      <w:kern w:val="0"/>
      <w:sz w:val="24"/>
    </w:rPr>
  </w:style>
  <w:style w:type="paragraph" w:customStyle="1" w:styleId="1011">
    <w:name w:val="b新标题2"/>
    <w:basedOn w:val="5"/>
    <w:semiHidden/>
    <w:qFormat/>
    <w:uiPriority w:val="0"/>
    <w:pPr>
      <w:widowControl/>
      <w:spacing w:line="240" w:lineRule="exact"/>
    </w:pPr>
    <w:rPr>
      <w:rFonts w:ascii="Arial" w:hAnsi="Arial"/>
      <w:b/>
      <w:kern w:val="0"/>
      <w:sz w:val="24"/>
    </w:rPr>
  </w:style>
  <w:style w:type="paragraph" w:customStyle="1" w:styleId="1012">
    <w:name w:val="a新标题1"/>
    <w:basedOn w:val="4"/>
    <w:next w:val="5"/>
    <w:semiHidden/>
    <w:qFormat/>
    <w:uiPriority w:val="0"/>
    <w:pPr>
      <w:widowControl/>
      <w:spacing w:line="240" w:lineRule="exact"/>
    </w:pPr>
    <w:rPr>
      <w:b/>
      <w:sz w:val="28"/>
    </w:rPr>
  </w:style>
  <w:style w:type="paragraph" w:customStyle="1" w:styleId="1013">
    <w:name w:val="d新正文"/>
    <w:basedOn w:val="1"/>
    <w:semiHidden/>
    <w:qFormat/>
    <w:uiPriority w:val="0"/>
    <w:pPr>
      <w:widowControl/>
      <w:spacing w:line="360" w:lineRule="auto"/>
      <w:ind w:firstLine="476"/>
      <w:jc w:val="left"/>
    </w:pPr>
    <w:rPr>
      <w:kern w:val="0"/>
      <w:sz w:val="24"/>
      <w:szCs w:val="20"/>
    </w:rPr>
  </w:style>
  <w:style w:type="paragraph" w:customStyle="1" w:styleId="1014">
    <w:name w:val="正文-使用"/>
    <w:basedOn w:val="1"/>
    <w:semiHidden/>
    <w:qFormat/>
    <w:uiPriority w:val="0"/>
    <w:pPr>
      <w:spacing w:line="360" w:lineRule="auto"/>
      <w:ind w:firstLine="482"/>
    </w:pPr>
    <w:rPr>
      <w:sz w:val="24"/>
      <w:szCs w:val="20"/>
    </w:rPr>
  </w:style>
  <w:style w:type="paragraph" w:customStyle="1" w:styleId="1015">
    <w:name w:val="正文新"/>
    <w:basedOn w:val="45"/>
    <w:semiHidden/>
    <w:qFormat/>
    <w:uiPriority w:val="0"/>
    <w:pPr>
      <w:spacing w:line="300" w:lineRule="auto"/>
      <w:ind w:firstLine="510"/>
    </w:pPr>
    <w:rPr>
      <w:rFonts w:hAnsi="Arial"/>
      <w:snapToGrid w:val="0"/>
      <w:kern w:val="0"/>
      <w:sz w:val="24"/>
      <w:szCs w:val="20"/>
    </w:rPr>
  </w:style>
  <w:style w:type="paragraph" w:customStyle="1" w:styleId="1016">
    <w:name w:val="基准页眉样式"/>
    <w:basedOn w:val="2"/>
    <w:semiHidden/>
    <w:qFormat/>
    <w:uiPriority w:val="0"/>
    <w:pPr>
      <w:spacing w:after="0" w:line="240" w:lineRule="exact"/>
      <w:ind w:firstLine="0" w:firstLineChars="0"/>
      <w:jc w:val="center"/>
    </w:pPr>
    <w:rPr>
      <w:rFonts w:ascii="宋体" w:hAnsi="宋体"/>
      <w:snapToGrid/>
      <w:kern w:val="2"/>
    </w:rPr>
  </w:style>
  <w:style w:type="paragraph" w:customStyle="1" w:styleId="1017">
    <w:name w:val="基准页脚样式"/>
    <w:basedOn w:val="2"/>
    <w:semiHidden/>
    <w:qFormat/>
    <w:uiPriority w:val="0"/>
    <w:pPr>
      <w:spacing w:after="0" w:line="240" w:lineRule="exact"/>
      <w:ind w:firstLine="0" w:firstLineChars="0"/>
      <w:jc w:val="center"/>
    </w:pPr>
    <w:rPr>
      <w:rFonts w:ascii="宋体" w:hAnsi="宋体"/>
      <w:snapToGrid/>
      <w:color w:val="FF0000"/>
      <w:kern w:val="2"/>
      <w:sz w:val="21"/>
    </w:rPr>
  </w:style>
  <w:style w:type="paragraph" w:customStyle="1" w:styleId="1018">
    <w:name w:val="样式 标题 3 + 行距: 最小值 25 磅"/>
    <w:basedOn w:val="6"/>
    <w:semiHidden/>
    <w:qFormat/>
    <w:uiPriority w:val="0"/>
    <w:pPr>
      <w:keepLines w:val="0"/>
      <w:spacing w:line="490" w:lineRule="atLeast"/>
      <w:jc w:val="left"/>
    </w:pPr>
    <w:rPr>
      <w:sz w:val="28"/>
      <w:szCs w:val="28"/>
    </w:rPr>
  </w:style>
  <w:style w:type="character" w:customStyle="1" w:styleId="1019">
    <w:name w:val="test1"/>
    <w:semiHidden/>
    <w:qFormat/>
    <w:uiPriority w:val="0"/>
    <w:rPr>
      <w:color w:val="000000"/>
      <w:sz w:val="19"/>
      <w:szCs w:val="19"/>
      <w:u w:val="none"/>
    </w:rPr>
  </w:style>
  <w:style w:type="paragraph" w:customStyle="1" w:styleId="1020">
    <w:name w:val="样式 标题 3 + 左侧:  0 毫米 悬挂缩进: 7.09 字符 行距: 最小值 25 磅"/>
    <w:basedOn w:val="6"/>
    <w:semiHidden/>
    <w:qFormat/>
    <w:uiPriority w:val="0"/>
    <w:pPr>
      <w:keepLines w:val="0"/>
      <w:spacing w:line="500" w:lineRule="atLeast"/>
      <w:ind w:left="709" w:hanging="709"/>
      <w:jc w:val="left"/>
    </w:pPr>
    <w:rPr>
      <w:rFonts w:cs="宋体"/>
      <w:sz w:val="28"/>
      <w:szCs w:val="28"/>
    </w:rPr>
  </w:style>
  <w:style w:type="paragraph" w:customStyle="1" w:styleId="1021">
    <w:name w:val="Char23"/>
    <w:basedOn w:val="1"/>
    <w:qFormat/>
    <w:uiPriority w:val="0"/>
    <w:rPr>
      <w:sz w:val="24"/>
    </w:rPr>
  </w:style>
  <w:style w:type="paragraph" w:customStyle="1" w:styleId="1022">
    <w:name w:val="Char2 Char Char Char"/>
    <w:basedOn w:val="1"/>
    <w:semiHidden/>
    <w:qFormat/>
    <w:uiPriority w:val="0"/>
    <w:rPr>
      <w:sz w:val="24"/>
    </w:rPr>
  </w:style>
  <w:style w:type="paragraph" w:customStyle="1" w:styleId="1023">
    <w:name w:val="参加人员名单"/>
    <w:basedOn w:val="1"/>
    <w:next w:val="1"/>
    <w:semiHidden/>
    <w:qFormat/>
    <w:uiPriority w:val="0"/>
    <w:pPr>
      <w:spacing w:line="500" w:lineRule="atLeast"/>
      <w:jc w:val="center"/>
      <w:outlineLvl w:val="0"/>
    </w:pPr>
    <w:rPr>
      <w:sz w:val="32"/>
      <w:szCs w:val="32"/>
    </w:rPr>
  </w:style>
  <w:style w:type="character" w:customStyle="1" w:styleId="1024">
    <w:name w:val="正文文字 2 Char"/>
    <w:semiHidden/>
    <w:qFormat/>
    <w:uiPriority w:val="0"/>
    <w:rPr>
      <w:rFonts w:eastAsia="宋体"/>
      <w:kern w:val="2"/>
      <w:sz w:val="21"/>
      <w:szCs w:val="24"/>
      <w:lang w:val="en-US" w:eastAsia="zh-CN" w:bidi="ar-SA"/>
    </w:rPr>
  </w:style>
  <w:style w:type="character" w:customStyle="1" w:styleId="1025">
    <w:name w:val="14fz1"/>
    <w:semiHidden/>
    <w:qFormat/>
    <w:uiPriority w:val="0"/>
    <w:rPr>
      <w:rFonts w:hint="default"/>
      <w:color w:val="000000"/>
      <w:sz w:val="32"/>
      <w:szCs w:val="32"/>
    </w:rPr>
  </w:style>
  <w:style w:type="paragraph" w:customStyle="1" w:styleId="1026">
    <w:name w:val="正文首行缩进2"/>
    <w:basedOn w:val="1"/>
    <w:semiHidden/>
    <w:qFormat/>
    <w:uiPriority w:val="0"/>
    <w:pPr>
      <w:spacing w:line="500" w:lineRule="atLeast"/>
      <w:ind w:firstLine="560"/>
    </w:pPr>
    <w:rPr>
      <w:sz w:val="28"/>
      <w:szCs w:val="20"/>
    </w:rPr>
  </w:style>
  <w:style w:type="paragraph" w:customStyle="1" w:styleId="1027">
    <w:name w:val="Char2 Char Char1 Char Char Char Char Char Char Char Char Char Char"/>
    <w:basedOn w:val="1"/>
    <w:semiHidden/>
    <w:qFormat/>
    <w:uiPriority w:val="0"/>
    <w:rPr>
      <w:sz w:val="24"/>
    </w:rPr>
  </w:style>
  <w:style w:type="paragraph" w:customStyle="1" w:styleId="1028">
    <w:name w:val="Char2 Char Char"/>
    <w:basedOn w:val="1"/>
    <w:semiHidden/>
    <w:qFormat/>
    <w:uiPriority w:val="0"/>
    <w:rPr>
      <w:sz w:val="24"/>
    </w:rPr>
  </w:style>
  <w:style w:type="paragraph" w:customStyle="1" w:styleId="1029">
    <w:name w:val="Char2 Char Char1 Char Char Char"/>
    <w:basedOn w:val="1"/>
    <w:semiHidden/>
    <w:qFormat/>
    <w:uiPriority w:val="0"/>
    <w:rPr>
      <w:sz w:val="24"/>
    </w:rPr>
  </w:style>
  <w:style w:type="paragraph" w:customStyle="1" w:styleId="1030">
    <w:name w:val="Char4 Char Char Char Char Char"/>
    <w:basedOn w:val="1"/>
    <w:semiHidden/>
    <w:qFormat/>
    <w:uiPriority w:val="0"/>
    <w:rPr>
      <w:sz w:val="24"/>
    </w:rPr>
  </w:style>
  <w:style w:type="paragraph" w:customStyle="1" w:styleId="1031">
    <w:name w:val="Char2 Char Char1 Char Char Char Char"/>
    <w:basedOn w:val="1"/>
    <w:semiHidden/>
    <w:qFormat/>
    <w:uiPriority w:val="0"/>
    <w:rPr>
      <w:sz w:val="24"/>
    </w:rPr>
  </w:style>
  <w:style w:type="character" w:customStyle="1" w:styleId="1032">
    <w:name w:val="keyword"/>
    <w:semiHidden/>
    <w:qFormat/>
    <w:uiPriority w:val="0"/>
  </w:style>
  <w:style w:type="character" w:customStyle="1" w:styleId="1033">
    <w:name w:val="正文文字缩进 2 Char"/>
    <w:semiHidden/>
    <w:qFormat/>
    <w:uiPriority w:val="0"/>
    <w:rPr>
      <w:rFonts w:eastAsia="宋体"/>
      <w:kern w:val="2"/>
      <w:sz w:val="21"/>
      <w:szCs w:val="24"/>
      <w:lang w:val="en-US" w:eastAsia="zh-CN" w:bidi="ar-SA"/>
    </w:rPr>
  </w:style>
  <w:style w:type="character" w:customStyle="1" w:styleId="1034">
    <w:name w:val="宏文本 Char"/>
    <w:link w:val="3"/>
    <w:qFormat/>
    <w:uiPriority w:val="0"/>
    <w:rPr>
      <w:rFonts w:ascii="Courier New" w:hAnsi="Courier New" w:eastAsia="宋体" w:cs="Times New Roman"/>
      <w:sz w:val="24"/>
      <w:szCs w:val="20"/>
    </w:rPr>
  </w:style>
  <w:style w:type="paragraph" w:customStyle="1" w:styleId="1035">
    <w:name w:val="样式 样式 正文首行缩进正文首行缩进 Char + 首行缩进:  2 字符 + 首行缩进:  2 字符"/>
    <w:basedOn w:val="1"/>
    <w:qFormat/>
    <w:uiPriority w:val="0"/>
    <w:pPr>
      <w:adjustRightInd w:val="0"/>
      <w:snapToGrid w:val="0"/>
      <w:spacing w:line="360" w:lineRule="auto"/>
      <w:ind w:firstLine="420" w:firstLineChars="200"/>
      <w:textAlignment w:val="baseline"/>
    </w:pPr>
    <w:rPr>
      <w:kern w:val="0"/>
      <w:szCs w:val="21"/>
      <w:lang w:val="zh-CN"/>
    </w:rPr>
  </w:style>
  <w:style w:type="paragraph" w:customStyle="1" w:styleId="1036">
    <w:name w:val="三级目录"/>
    <w:basedOn w:val="6"/>
    <w:next w:val="1"/>
    <w:semiHidden/>
    <w:qFormat/>
    <w:uiPriority w:val="0"/>
    <w:pPr>
      <w:spacing w:before="240" w:after="120" w:line="240" w:lineRule="auto"/>
    </w:pPr>
    <w:rPr>
      <w:rFonts w:ascii="黑体" w:hAnsi="黑体"/>
      <w:sz w:val="28"/>
      <w:szCs w:val="20"/>
    </w:rPr>
  </w:style>
  <w:style w:type="paragraph" w:customStyle="1" w:styleId="1037">
    <w:name w:val="正文小四"/>
    <w:basedOn w:val="1"/>
    <w:qFormat/>
    <w:uiPriority w:val="0"/>
    <w:pPr>
      <w:spacing w:line="360" w:lineRule="auto"/>
    </w:pPr>
    <w:rPr>
      <w:sz w:val="24"/>
      <w:szCs w:val="20"/>
    </w:rPr>
  </w:style>
  <w:style w:type="paragraph" w:customStyle="1" w:styleId="1038">
    <w:name w:val="样式 报告书表格 + 小四 黑色"/>
    <w:basedOn w:val="451"/>
    <w:semiHidden/>
    <w:qFormat/>
    <w:uiPriority w:val="0"/>
    <w:pPr>
      <w:widowControl/>
      <w:tabs>
        <w:tab w:val="center" w:pos="4540"/>
        <w:tab w:val="right" w:pos="8505"/>
      </w:tabs>
      <w:snapToGrid w:val="0"/>
      <w:spacing w:before="0" w:after="0" w:line="240" w:lineRule="auto"/>
    </w:pPr>
    <w:rPr>
      <w:color w:val="000000"/>
      <w:kern w:val="2"/>
      <w:szCs w:val="21"/>
    </w:rPr>
  </w:style>
  <w:style w:type="paragraph" w:customStyle="1" w:styleId="1039">
    <w:name w:val="Text"/>
    <w:link w:val="4062"/>
    <w:qFormat/>
    <w:uiPriority w:val="0"/>
    <w:pPr>
      <w:spacing w:before="120"/>
      <w:ind w:left="851" w:right="567"/>
      <w:jc w:val="both"/>
    </w:pPr>
    <w:rPr>
      <w:rFonts w:ascii="Times New Roman" w:hAnsi="Times New Roman" w:eastAsia="宋体" w:cs="Times New Roman"/>
      <w:lang w:val="en-US" w:eastAsia="en-US" w:bidi="ar-SA"/>
    </w:rPr>
  </w:style>
  <w:style w:type="paragraph" w:customStyle="1" w:styleId="1040">
    <w:name w:val="样式 报告书表格 +"/>
    <w:basedOn w:val="451"/>
    <w:link w:val="1041"/>
    <w:qFormat/>
    <w:uiPriority w:val="0"/>
    <w:pPr>
      <w:widowControl/>
      <w:tabs>
        <w:tab w:val="center" w:pos="4540"/>
        <w:tab w:val="right" w:pos="8505"/>
      </w:tabs>
      <w:snapToGrid w:val="0"/>
      <w:spacing w:before="0" w:after="0" w:line="240" w:lineRule="auto"/>
    </w:pPr>
  </w:style>
  <w:style w:type="character" w:customStyle="1" w:styleId="1041">
    <w:name w:val="样式 报告书表格 + Char"/>
    <w:link w:val="1040"/>
    <w:qFormat/>
    <w:uiPriority w:val="0"/>
  </w:style>
  <w:style w:type="paragraph" w:customStyle="1" w:styleId="1042">
    <w:name w:val="样式 报告书表格 + 五号"/>
    <w:basedOn w:val="451"/>
    <w:link w:val="1043"/>
    <w:semiHidden/>
    <w:qFormat/>
    <w:uiPriority w:val="0"/>
    <w:pPr>
      <w:widowControl/>
      <w:tabs>
        <w:tab w:val="center" w:pos="4540"/>
        <w:tab w:val="right" w:pos="8505"/>
      </w:tabs>
      <w:snapToGrid w:val="0"/>
      <w:spacing w:before="0" w:after="0" w:line="240" w:lineRule="auto"/>
      <w:jc w:val="both"/>
    </w:pPr>
    <w:rPr>
      <w:kern w:val="2"/>
      <w:szCs w:val="21"/>
    </w:rPr>
  </w:style>
  <w:style w:type="character" w:customStyle="1" w:styleId="1043">
    <w:name w:val="样式 报告书表格 + 五号 Char"/>
    <w:link w:val="1042"/>
    <w:semiHidden/>
    <w:qFormat/>
    <w:uiPriority w:val="0"/>
    <w:rPr>
      <w:rFonts w:ascii="Times New Roman" w:hAnsi="Times New Roman" w:eastAsia="宋体" w:cs="Times New Roman"/>
      <w:szCs w:val="21"/>
    </w:rPr>
  </w:style>
  <w:style w:type="paragraph" w:customStyle="1" w:styleId="1044">
    <w:name w:val="样式 报告书表格 + (符号) 宋体"/>
    <w:basedOn w:val="451"/>
    <w:semiHidden/>
    <w:qFormat/>
    <w:uiPriority w:val="0"/>
    <w:pPr>
      <w:widowControl/>
      <w:tabs>
        <w:tab w:val="center" w:pos="4540"/>
        <w:tab w:val="right" w:pos="8505"/>
      </w:tabs>
      <w:snapToGrid w:val="0"/>
      <w:spacing w:before="0" w:after="0" w:line="240" w:lineRule="auto"/>
      <w:ind w:firstLine="420" w:firstLineChars="200"/>
    </w:pPr>
    <w:rPr>
      <w:rFonts w:hAnsi="宋体" w:cs="宋体"/>
      <w:kern w:val="2"/>
    </w:rPr>
  </w:style>
  <w:style w:type="paragraph" w:customStyle="1" w:styleId="1045">
    <w:name w:val="样式 样式 报告书表格 + 五号 + 宋体"/>
    <w:basedOn w:val="1042"/>
    <w:semiHidden/>
    <w:qFormat/>
    <w:uiPriority w:val="0"/>
    <w:rPr>
      <w:rFonts w:ascii="宋体" w:hAnsi="宋体" w:eastAsia="Times New Roman"/>
    </w:rPr>
  </w:style>
  <w:style w:type="paragraph" w:customStyle="1" w:styleId="1046">
    <w:name w:val="Char Char Char Char Char Char1"/>
    <w:basedOn w:val="1"/>
    <w:semiHidden/>
    <w:qFormat/>
    <w:uiPriority w:val="0"/>
    <w:rPr>
      <w:sz w:val="24"/>
    </w:rPr>
  </w:style>
  <w:style w:type="paragraph" w:customStyle="1" w:styleId="1047">
    <w:name w:val="注释"/>
    <w:basedOn w:val="1"/>
    <w:qFormat/>
    <w:uiPriority w:val="0"/>
    <w:pPr>
      <w:spacing w:before="60" w:line="360" w:lineRule="exact"/>
      <w:ind w:firstLine="200" w:firstLineChars="200"/>
    </w:pPr>
    <w:rPr>
      <w:kern w:val="0"/>
      <w:szCs w:val="21"/>
    </w:rPr>
  </w:style>
  <w:style w:type="paragraph" w:customStyle="1" w:styleId="1048">
    <w:name w:val="环保表头"/>
    <w:link w:val="1049"/>
    <w:semiHidden/>
    <w:qFormat/>
    <w:uiPriority w:val="0"/>
    <w:pPr>
      <w:snapToGrid w:val="0"/>
      <w:spacing w:before="60"/>
      <w:jc w:val="center"/>
    </w:pPr>
    <w:rPr>
      <w:rFonts w:ascii="黑体" w:hAnsi="Times New Roman" w:eastAsia="黑体" w:cs="Times New Roman"/>
      <w:sz w:val="24"/>
      <w:szCs w:val="24"/>
      <w:lang w:val="en-US" w:eastAsia="zh-CN" w:bidi="ar-SA"/>
    </w:rPr>
  </w:style>
  <w:style w:type="character" w:customStyle="1" w:styleId="1049">
    <w:name w:val="环保表头 Char"/>
    <w:link w:val="1048"/>
    <w:semiHidden/>
    <w:qFormat/>
    <w:uiPriority w:val="0"/>
    <w:rPr>
      <w:rFonts w:ascii="黑体" w:hAnsi="Times New Roman" w:eastAsia="黑体" w:cs="Times New Roman"/>
      <w:kern w:val="0"/>
      <w:sz w:val="24"/>
      <w:szCs w:val="24"/>
    </w:rPr>
  </w:style>
  <w:style w:type="paragraph" w:customStyle="1" w:styleId="1050">
    <w:name w:val="Char Char Char Char Char Char Char Char Char Char Char Char Char Char Char Char"/>
    <w:basedOn w:val="27"/>
    <w:qFormat/>
    <w:uiPriority w:val="0"/>
    <w:pPr>
      <w:adjustRightInd w:val="0"/>
      <w:spacing w:line="436" w:lineRule="exact"/>
      <w:ind w:left="357"/>
      <w:jc w:val="left"/>
      <w:outlineLvl w:val="3"/>
    </w:pPr>
    <w:rPr>
      <w:rFonts w:ascii="Tahoma" w:hAnsi="Tahoma"/>
      <w:b/>
      <w:sz w:val="24"/>
    </w:rPr>
  </w:style>
  <w:style w:type="character" w:customStyle="1" w:styleId="1051">
    <w:name w:val="un14b1"/>
    <w:semiHidden/>
    <w:qFormat/>
    <w:uiPriority w:val="0"/>
    <w:rPr>
      <w:color w:val="000000"/>
      <w:sz w:val="21"/>
      <w:szCs w:val="21"/>
      <w:u w:val="none"/>
    </w:rPr>
  </w:style>
  <w:style w:type="paragraph" w:customStyle="1" w:styleId="1052">
    <w:name w:val="hhcwt正文"/>
    <w:basedOn w:val="1"/>
    <w:link w:val="1104"/>
    <w:qFormat/>
    <w:uiPriority w:val="0"/>
    <w:pPr>
      <w:spacing w:line="360" w:lineRule="auto"/>
      <w:ind w:firstLine="480" w:firstLineChars="200"/>
    </w:pPr>
    <w:rPr>
      <w:sz w:val="24"/>
      <w:szCs w:val="20"/>
    </w:rPr>
  </w:style>
  <w:style w:type="character" w:customStyle="1" w:styleId="1053">
    <w:name w:val="纯文本 Char Char Char Char"/>
    <w:semiHidden/>
    <w:qFormat/>
    <w:uiPriority w:val="0"/>
    <w:rPr>
      <w:rFonts w:ascii="Arial Unicode MS" w:hAnsi="Arial Unicode MS" w:eastAsia="Arial Unicode MS" w:cs="Arial Unicode MS"/>
      <w:sz w:val="24"/>
      <w:szCs w:val="24"/>
      <w:lang w:val="en-US" w:eastAsia="zh-CN" w:bidi="ar-SA"/>
    </w:rPr>
  </w:style>
  <w:style w:type="character" w:customStyle="1" w:styleId="1054">
    <w:name w:val="标题1.1.1.1.1 Char1"/>
    <w:qFormat/>
    <w:uiPriority w:val="0"/>
    <w:rPr>
      <w:rFonts w:eastAsia="宋体"/>
      <w:b/>
      <w:bCs/>
      <w:sz w:val="28"/>
      <w:szCs w:val="28"/>
      <w:lang w:val="en-US" w:eastAsia="zh-CN" w:bidi="ar-SA"/>
    </w:rPr>
  </w:style>
  <w:style w:type="character" w:customStyle="1" w:styleId="1055">
    <w:name w:val="标题1.1.1.1.1.1 Char1"/>
    <w:qFormat/>
    <w:uiPriority w:val="0"/>
    <w:rPr>
      <w:rFonts w:ascii="Arial" w:hAnsi="Arial" w:eastAsia="黑体"/>
      <w:b/>
      <w:bCs/>
      <w:szCs w:val="24"/>
      <w:lang w:val="en-US" w:eastAsia="zh-CN" w:bidi="ar-SA"/>
    </w:rPr>
  </w:style>
  <w:style w:type="character" w:customStyle="1" w:styleId="1056">
    <w:name w:val="项标题(1) Char1"/>
    <w:semiHidden/>
    <w:qFormat/>
    <w:uiPriority w:val="0"/>
    <w:rPr>
      <w:rFonts w:eastAsia="宋体"/>
      <w:b/>
      <w:bCs/>
      <w:szCs w:val="24"/>
      <w:lang w:val="en-US" w:eastAsia="zh-CN" w:bidi="ar-SA"/>
    </w:rPr>
  </w:style>
  <w:style w:type="character" w:customStyle="1" w:styleId="1057">
    <w:name w:val="目标题 1) Char1"/>
    <w:qFormat/>
    <w:uiPriority w:val="0"/>
    <w:rPr>
      <w:rFonts w:ascii="Arial" w:hAnsi="Arial" w:eastAsia="黑体"/>
      <w:szCs w:val="24"/>
      <w:lang w:val="en-US" w:eastAsia="zh-CN" w:bidi="ar-SA"/>
    </w:rPr>
  </w:style>
  <w:style w:type="character" w:customStyle="1" w:styleId="1058">
    <w:name w:val="干标题(a) Char1"/>
    <w:qFormat/>
    <w:uiPriority w:val="0"/>
    <w:rPr>
      <w:rFonts w:ascii="Arial" w:hAnsi="Arial" w:eastAsia="黑体"/>
      <w:sz w:val="21"/>
      <w:szCs w:val="21"/>
      <w:lang w:val="en-US" w:eastAsia="zh-CN" w:bidi="ar-SA"/>
    </w:rPr>
  </w:style>
  <w:style w:type="character" w:customStyle="1" w:styleId="1059">
    <w:name w:val="正文文字 3 Char Char"/>
    <w:semiHidden/>
    <w:qFormat/>
    <w:uiPriority w:val="0"/>
    <w:rPr>
      <w:rFonts w:ascii="宋体" w:eastAsia="宋体"/>
      <w:sz w:val="24"/>
      <w:lang w:val="en-US" w:eastAsia="zh-CN" w:bidi="ar-SA"/>
    </w:rPr>
  </w:style>
  <w:style w:type="character" w:customStyle="1" w:styleId="1060">
    <w:name w:val="正文文字缩进 3 Char"/>
    <w:qFormat/>
    <w:uiPriority w:val="0"/>
    <w:rPr>
      <w:rFonts w:eastAsia="宋体"/>
      <w:kern w:val="2"/>
      <w:sz w:val="16"/>
      <w:szCs w:val="16"/>
      <w:lang w:val="en-US" w:eastAsia="zh-CN" w:bidi="ar-SA"/>
    </w:rPr>
  </w:style>
  <w:style w:type="paragraph" w:customStyle="1" w:styleId="1061">
    <w:name w:val="报告正文文字"/>
    <w:basedOn w:val="1"/>
    <w:semiHidden/>
    <w:qFormat/>
    <w:uiPriority w:val="0"/>
    <w:pPr>
      <w:adjustRightInd w:val="0"/>
      <w:spacing w:line="360" w:lineRule="auto"/>
      <w:ind w:firstLine="560" w:firstLineChars="200"/>
    </w:pPr>
    <w:rPr>
      <w:rFonts w:ascii="仿宋_GB2312" w:eastAsia="仿宋_GB2312"/>
      <w:sz w:val="28"/>
      <w:szCs w:val="20"/>
    </w:rPr>
  </w:style>
  <w:style w:type="paragraph" w:customStyle="1" w:styleId="1062">
    <w:name w:val="表头小四"/>
    <w:basedOn w:val="1"/>
    <w:link w:val="1063"/>
    <w:semiHidden/>
    <w:qFormat/>
    <w:uiPriority w:val="0"/>
    <w:pPr>
      <w:tabs>
        <w:tab w:val="left" w:pos="8360"/>
      </w:tabs>
      <w:adjustRightInd w:val="0"/>
      <w:snapToGrid w:val="0"/>
      <w:spacing w:before="120" w:after="72" w:line="360" w:lineRule="auto"/>
      <w:jc w:val="center"/>
    </w:pPr>
    <w:rPr>
      <w:rFonts w:ascii="宋体" w:hAnsi="宋体"/>
      <w:sz w:val="24"/>
    </w:rPr>
  </w:style>
  <w:style w:type="character" w:customStyle="1" w:styleId="1063">
    <w:name w:val="表头小四 Char"/>
    <w:link w:val="1062"/>
    <w:semiHidden/>
    <w:qFormat/>
    <w:uiPriority w:val="0"/>
    <w:rPr>
      <w:rFonts w:ascii="宋体" w:hAnsi="宋体" w:eastAsia="宋体" w:cs="Times New Roman"/>
      <w:sz w:val="24"/>
      <w:szCs w:val="24"/>
    </w:rPr>
  </w:style>
  <w:style w:type="character" w:customStyle="1" w:styleId="1064">
    <w:name w:val="样式 正文缩进 + 首行缩进:  2 字符 Char"/>
    <w:link w:val="519"/>
    <w:semiHidden/>
    <w:qFormat/>
    <w:uiPriority w:val="0"/>
    <w:rPr>
      <w:rFonts w:ascii="宋体" w:hAnsi="宋体" w:eastAsia="宋体" w:cs="Times New Roman"/>
      <w:kern w:val="0"/>
      <w:sz w:val="24"/>
      <w:szCs w:val="24"/>
    </w:rPr>
  </w:style>
  <w:style w:type="paragraph" w:customStyle="1" w:styleId="1065">
    <w:name w:val="样式 chen + 首行缩进:  2 字符"/>
    <w:basedOn w:val="1"/>
    <w:qFormat/>
    <w:uiPriority w:val="0"/>
    <w:pPr>
      <w:spacing w:line="500" w:lineRule="exact"/>
      <w:ind w:firstLine="560" w:firstLineChars="200"/>
    </w:pPr>
    <w:rPr>
      <w:rFonts w:cs="宋体"/>
      <w:color w:val="000000"/>
      <w:sz w:val="28"/>
      <w:szCs w:val="20"/>
    </w:rPr>
  </w:style>
  <w:style w:type="paragraph" w:customStyle="1" w:styleId="1066">
    <w:name w:val="Char Char Char Char1 Char Char Char Char Char Char Char"/>
    <w:basedOn w:val="1"/>
    <w:semiHidden/>
    <w:qFormat/>
    <w:uiPriority w:val="0"/>
    <w:pPr>
      <w:tabs>
        <w:tab w:val="left" w:pos="360"/>
      </w:tabs>
      <w:snapToGrid w:val="0"/>
      <w:spacing w:line="360" w:lineRule="auto"/>
    </w:pPr>
    <w:rPr>
      <w:rFonts w:eastAsia="仿宋_GB2312" w:cs="宋体"/>
      <w:sz w:val="24"/>
    </w:rPr>
  </w:style>
  <w:style w:type="paragraph" w:customStyle="1" w:styleId="1067">
    <w:name w:val="BT1"/>
    <w:basedOn w:val="4"/>
    <w:semiHidden/>
    <w:qFormat/>
    <w:uiPriority w:val="0"/>
    <w:pPr>
      <w:jc w:val="center"/>
    </w:pPr>
  </w:style>
  <w:style w:type="paragraph" w:customStyle="1" w:styleId="1068">
    <w:name w:val="BT3"/>
    <w:basedOn w:val="6"/>
    <w:semiHidden/>
    <w:qFormat/>
    <w:uiPriority w:val="0"/>
    <w:pPr>
      <w:spacing w:line="415" w:lineRule="auto"/>
    </w:pPr>
    <w:rPr>
      <w:b/>
      <w:bCs w:val="0"/>
      <w:sz w:val="28"/>
    </w:rPr>
  </w:style>
  <w:style w:type="character" w:customStyle="1" w:styleId="1069">
    <w:name w:val="表（正文）"/>
    <w:semiHidden/>
    <w:qFormat/>
    <w:uiPriority w:val="0"/>
    <w:rPr>
      <w:rFonts w:eastAsia="宋体"/>
      <w:sz w:val="24"/>
      <w:szCs w:val="24"/>
    </w:rPr>
  </w:style>
  <w:style w:type="character" w:customStyle="1" w:styleId="1070">
    <w:name w:val="hang1"/>
    <w:qFormat/>
    <w:uiPriority w:val="0"/>
    <w:rPr>
      <w:rFonts w:hint="eastAsia" w:ascii="宋体" w:hAnsi="宋体" w:eastAsia="宋体"/>
      <w:color w:val="000000"/>
      <w:sz w:val="19"/>
      <w:szCs w:val="19"/>
      <w:u w:val="none"/>
    </w:rPr>
  </w:style>
  <w:style w:type="paragraph" w:customStyle="1" w:styleId="1071">
    <w:name w:val="hang"/>
    <w:basedOn w:val="1"/>
    <w:semiHidden/>
    <w:qFormat/>
    <w:uiPriority w:val="0"/>
    <w:pPr>
      <w:widowControl/>
      <w:spacing w:before="100" w:beforeAutospacing="1" w:after="100" w:afterAutospacing="1" w:line="480" w:lineRule="atLeast"/>
      <w:jc w:val="left"/>
    </w:pPr>
    <w:rPr>
      <w:rFonts w:ascii="宋体" w:hAnsi="宋体" w:cs="宋体"/>
      <w:color w:val="000000"/>
      <w:kern w:val="0"/>
      <w:sz w:val="19"/>
      <w:szCs w:val="19"/>
    </w:rPr>
  </w:style>
  <w:style w:type="paragraph" w:customStyle="1" w:styleId="1072">
    <w:name w:val="册除格式 Char"/>
    <w:semiHidden/>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1073">
    <w:name w:val="默认段落字体 Para Char Char Char1 Char Char Char Char Char Char Char Char Char Char"/>
    <w:basedOn w:val="1"/>
    <w:semiHidden/>
    <w:qFormat/>
    <w:uiPriority w:val="0"/>
    <w:rPr>
      <w:sz w:val="24"/>
    </w:rPr>
  </w:style>
  <w:style w:type="paragraph" w:customStyle="1" w:styleId="1074">
    <w:name w:val="表格内文字 Char"/>
    <w:basedOn w:val="1"/>
    <w:semiHidden/>
    <w:qFormat/>
    <w:uiPriority w:val="0"/>
    <w:pPr>
      <w:kinsoku w:val="0"/>
      <w:wordWrap w:val="0"/>
      <w:overflowPunct w:val="0"/>
      <w:spacing w:line="360" w:lineRule="exact"/>
      <w:jc w:val="center"/>
    </w:pPr>
    <w:rPr>
      <w:rFonts w:ascii="宋体" w:hAnsi="宋体"/>
      <w:snapToGrid w:val="0"/>
      <w:kern w:val="0"/>
      <w:szCs w:val="20"/>
    </w:rPr>
  </w:style>
  <w:style w:type="paragraph" w:customStyle="1" w:styleId="1075">
    <w:name w:val="样式 居中1"/>
    <w:basedOn w:val="1"/>
    <w:semiHidden/>
    <w:qFormat/>
    <w:uiPriority w:val="0"/>
    <w:pPr>
      <w:jc w:val="center"/>
    </w:pPr>
    <w:rPr>
      <w:sz w:val="18"/>
      <w:szCs w:val="18"/>
    </w:rPr>
  </w:style>
  <w:style w:type="paragraph" w:customStyle="1" w:styleId="1076">
    <w:name w:val="样式 表内文字 + 段前: 0.2 行 段后: 0.2 行"/>
    <w:basedOn w:val="45"/>
    <w:semiHidden/>
    <w:qFormat/>
    <w:uiPriority w:val="0"/>
    <w:pPr>
      <w:adjustRightInd w:val="0"/>
      <w:spacing w:beforeLines="20" w:afterLines="20" w:line="240" w:lineRule="auto"/>
      <w:jc w:val="center"/>
    </w:pPr>
    <w:rPr>
      <w:rFonts w:hint="eastAsia" w:hAnsi="宋体" w:eastAsia="楷体_GB2312"/>
      <w:kern w:val="0"/>
      <w:szCs w:val="20"/>
    </w:rPr>
  </w:style>
  <w:style w:type="character" w:customStyle="1" w:styleId="1077">
    <w:name w:val="zhong1"/>
    <w:semiHidden/>
    <w:qFormat/>
    <w:uiPriority w:val="0"/>
    <w:rPr>
      <w:color w:val="000000"/>
      <w:sz w:val="18"/>
      <w:szCs w:val="18"/>
    </w:rPr>
  </w:style>
  <w:style w:type="character" w:customStyle="1" w:styleId="1078">
    <w:name w:val="infodetail"/>
    <w:semiHidden/>
    <w:qFormat/>
    <w:uiPriority w:val="0"/>
  </w:style>
  <w:style w:type="paragraph" w:customStyle="1" w:styleId="1079">
    <w:name w:val="Char Char Char1 Char Char Char Char Char Char"/>
    <w:basedOn w:val="1"/>
    <w:semiHidden/>
    <w:qFormat/>
    <w:uiPriority w:val="0"/>
    <w:rPr>
      <w:sz w:val="24"/>
    </w:rPr>
  </w:style>
  <w:style w:type="paragraph" w:customStyle="1" w:styleId="1080">
    <w:name w:val="样式 正文文本 + 首行缩进:  2 字符"/>
    <w:basedOn w:val="2"/>
    <w:link w:val="1081"/>
    <w:semiHidden/>
    <w:qFormat/>
    <w:uiPriority w:val="0"/>
    <w:pPr>
      <w:adjustRightInd w:val="0"/>
      <w:snapToGrid w:val="0"/>
      <w:spacing w:after="0" w:line="560" w:lineRule="atLeast"/>
    </w:pPr>
    <w:rPr>
      <w:rFonts w:ascii="宋体" w:cs="宋体"/>
      <w:snapToGrid/>
      <w:spacing w:val="20"/>
      <w:kern w:val="2"/>
    </w:rPr>
  </w:style>
  <w:style w:type="character" w:customStyle="1" w:styleId="1081">
    <w:name w:val="样式 正文文本 + 首行缩进:  2 字符 Char"/>
    <w:link w:val="1080"/>
    <w:semiHidden/>
    <w:qFormat/>
    <w:uiPriority w:val="0"/>
    <w:rPr>
      <w:rFonts w:ascii="宋体" w:hAnsi="Times New Roman" w:eastAsia="宋体" w:cs="宋体"/>
      <w:spacing w:val="20"/>
      <w:sz w:val="24"/>
      <w:szCs w:val="24"/>
    </w:rPr>
  </w:style>
  <w:style w:type="paragraph" w:customStyle="1" w:styleId="1082">
    <w:name w:val="Char Char Char Char1 Char Char Char"/>
    <w:basedOn w:val="1"/>
    <w:semiHidden/>
    <w:qFormat/>
    <w:uiPriority w:val="0"/>
    <w:rPr>
      <w:sz w:val="24"/>
    </w:rPr>
  </w:style>
  <w:style w:type="paragraph" w:customStyle="1" w:styleId="1083">
    <w:name w:val="表格标题1"/>
    <w:basedOn w:val="66"/>
    <w:qFormat/>
    <w:uiPriority w:val="0"/>
    <w:pPr>
      <w:spacing w:beforeLines="50" w:line="400" w:lineRule="exact"/>
      <w:jc w:val="center"/>
    </w:pPr>
    <w:rPr>
      <w:rFonts w:ascii="黑体" w:eastAsia="黑体"/>
      <w:szCs w:val="24"/>
    </w:rPr>
  </w:style>
  <w:style w:type="character" w:customStyle="1" w:styleId="1084">
    <w:name w:val="indetail1"/>
    <w:semiHidden/>
    <w:qFormat/>
    <w:uiPriority w:val="0"/>
    <w:rPr>
      <w:sz w:val="18"/>
      <w:szCs w:val="18"/>
      <w:bdr w:val="single" w:color="E2E2E2" w:sz="6" w:space="0"/>
    </w:rPr>
  </w:style>
  <w:style w:type="paragraph" w:customStyle="1" w:styleId="1085">
    <w:name w:val="报告书正文"/>
    <w:basedOn w:val="1"/>
    <w:link w:val="1382"/>
    <w:qFormat/>
    <w:uiPriority w:val="0"/>
    <w:pPr>
      <w:adjustRightInd w:val="0"/>
      <w:snapToGrid w:val="0"/>
      <w:spacing w:line="400" w:lineRule="atLeast"/>
      <w:ind w:firstLine="567"/>
    </w:pPr>
    <w:rPr>
      <w:sz w:val="24"/>
      <w:szCs w:val="20"/>
    </w:rPr>
  </w:style>
  <w:style w:type="paragraph" w:customStyle="1" w:styleId="1086">
    <w:name w:val="Char Char Char1 Char Char Char Char Char Char Char Char"/>
    <w:basedOn w:val="1"/>
    <w:semiHidden/>
    <w:qFormat/>
    <w:uiPriority w:val="0"/>
  </w:style>
  <w:style w:type="paragraph" w:customStyle="1" w:styleId="1087">
    <w:name w:val="样式 标题 2节 + 黑色"/>
    <w:basedOn w:val="5"/>
    <w:semiHidden/>
    <w:qFormat/>
    <w:uiPriority w:val="0"/>
    <w:pPr>
      <w:keepNext w:val="0"/>
      <w:keepLines w:val="0"/>
      <w:numPr>
        <w:numId w:val="0"/>
      </w:numPr>
      <w:tabs>
        <w:tab w:val="left" w:pos="576"/>
      </w:tabs>
      <w:wordWrap w:val="0"/>
      <w:overflowPunct w:val="0"/>
      <w:spacing w:line="600" w:lineRule="exact"/>
      <w:ind w:left="576" w:hanging="576"/>
    </w:pPr>
    <w:rPr>
      <w:color w:val="000000"/>
      <w:sz w:val="28"/>
      <w:szCs w:val="28"/>
    </w:rPr>
  </w:style>
  <w:style w:type="paragraph" w:customStyle="1" w:styleId="1088">
    <w:name w:val="样式 正文文本缩进 2 + Times New Roman 首行缩进:  1.06 厘米 行距: 固定值 30 磅"/>
    <w:basedOn w:val="51"/>
    <w:semiHidden/>
    <w:qFormat/>
    <w:uiPriority w:val="0"/>
    <w:pPr>
      <w:spacing w:after="0" w:line="540" w:lineRule="exact"/>
      <w:ind w:left="0" w:leftChars="0" w:firstLine="601"/>
    </w:pPr>
    <w:rPr>
      <w:sz w:val="28"/>
      <w:szCs w:val="28"/>
    </w:rPr>
  </w:style>
  <w:style w:type="character" w:customStyle="1" w:styleId="1089">
    <w:name w:val="title1"/>
    <w:semiHidden/>
    <w:qFormat/>
    <w:uiPriority w:val="0"/>
  </w:style>
  <w:style w:type="character" w:customStyle="1" w:styleId="1090">
    <w:name w:val="header11"/>
    <w:semiHidden/>
    <w:qFormat/>
    <w:uiPriority w:val="0"/>
    <w:rPr>
      <w:rFonts w:ascii="Verdana" w:hAnsi="Verdana"/>
      <w:b/>
      <w:bCs/>
      <w:color w:val="000000"/>
      <w:sz w:val="24"/>
      <w:szCs w:val="24"/>
    </w:rPr>
  </w:style>
  <w:style w:type="paragraph" w:customStyle="1" w:styleId="1091">
    <w:name w:val="表格式"/>
    <w:basedOn w:val="66"/>
    <w:qFormat/>
    <w:uiPriority w:val="0"/>
    <w:pPr>
      <w:tabs>
        <w:tab w:val="left" w:pos="0"/>
      </w:tabs>
      <w:spacing w:beforeLines="50" w:afterLines="50" w:line="200" w:lineRule="exact"/>
      <w:jc w:val="center"/>
    </w:pPr>
    <w:rPr>
      <w:sz w:val="21"/>
    </w:rPr>
  </w:style>
  <w:style w:type="paragraph" w:customStyle="1" w:styleId="1092">
    <w:name w:val="表、图名"/>
    <w:basedOn w:val="1"/>
    <w:link w:val="1233"/>
    <w:qFormat/>
    <w:uiPriority w:val="0"/>
    <w:pPr>
      <w:tabs>
        <w:tab w:val="left" w:pos="0"/>
      </w:tabs>
      <w:adjustRightInd w:val="0"/>
      <w:snapToGrid w:val="0"/>
      <w:spacing w:line="340" w:lineRule="exact"/>
      <w:ind w:left="8216" w:leftChars="-3" w:hanging="8222" w:hangingChars="3900"/>
      <w:jc w:val="left"/>
      <w:textAlignment w:val="baseline"/>
    </w:pPr>
    <w:rPr>
      <w:rFonts w:ascii="黑体" w:hAnsi="宋体" w:eastAsia="黑体" w:cs="黑体"/>
      <w:b/>
      <w:bCs/>
      <w:szCs w:val="21"/>
    </w:rPr>
  </w:style>
  <w:style w:type="character" w:customStyle="1" w:styleId="1093">
    <w:name w:val="font16"/>
    <w:semiHidden/>
    <w:qFormat/>
    <w:uiPriority w:val="0"/>
  </w:style>
  <w:style w:type="paragraph" w:customStyle="1" w:styleId="1094">
    <w:name w:val="Char Char Char1 Char Char Char"/>
    <w:basedOn w:val="1"/>
    <w:semiHidden/>
    <w:qFormat/>
    <w:uiPriority w:val="0"/>
    <w:pPr>
      <w:tabs>
        <w:tab w:val="left" w:pos="0"/>
      </w:tabs>
      <w:jc w:val="left"/>
    </w:pPr>
    <w:rPr>
      <w:sz w:val="24"/>
    </w:rPr>
  </w:style>
  <w:style w:type="character" w:customStyle="1" w:styleId="1095">
    <w:name w:val="称呼 Char"/>
    <w:link w:val="31"/>
    <w:qFormat/>
    <w:uiPriority w:val="0"/>
    <w:rPr>
      <w:rFonts w:ascii="Times New Roman" w:hAnsi="Times New Roman" w:eastAsia="宋体" w:cs="Times New Roman"/>
      <w:sz w:val="24"/>
      <w:szCs w:val="20"/>
    </w:rPr>
  </w:style>
  <w:style w:type="paragraph" w:customStyle="1" w:styleId="1096">
    <w:name w:val="Char Char Char Char1 Char Char Char Char Char Char Char Char Char Char Char Char"/>
    <w:basedOn w:val="1"/>
    <w:semiHidden/>
    <w:qFormat/>
    <w:uiPriority w:val="0"/>
    <w:pPr>
      <w:tabs>
        <w:tab w:val="left" w:pos="0"/>
      </w:tabs>
      <w:jc w:val="left"/>
    </w:pPr>
    <w:rPr>
      <w:sz w:val="24"/>
    </w:rPr>
  </w:style>
  <w:style w:type="paragraph" w:customStyle="1" w:styleId="1097">
    <w:name w:val="dandan6-13正文 Char Char Char"/>
    <w:basedOn w:val="1"/>
    <w:next w:val="1"/>
    <w:semiHidden/>
    <w:qFormat/>
    <w:uiPriority w:val="0"/>
    <w:pPr>
      <w:keepNext/>
      <w:keepLines/>
      <w:widowControl/>
      <w:tabs>
        <w:tab w:val="left" w:pos="0"/>
      </w:tabs>
      <w:adjustRightInd w:val="0"/>
      <w:spacing w:before="40" w:after="40" w:line="340" w:lineRule="exact"/>
      <w:ind w:firstLine="200" w:firstLineChars="200"/>
      <w:jc w:val="left"/>
      <w:textAlignment w:val="baseline"/>
    </w:pPr>
    <w:rPr>
      <w:rFonts w:cs="宋体"/>
      <w:kern w:val="0"/>
      <w:sz w:val="24"/>
      <w:szCs w:val="28"/>
    </w:rPr>
  </w:style>
  <w:style w:type="paragraph" w:customStyle="1" w:styleId="1098">
    <w:name w:val="样式 样式 小四 行距: 固定值 20 磅 + (符号) 宋体"/>
    <w:basedOn w:val="1"/>
    <w:semiHidden/>
    <w:qFormat/>
    <w:uiPriority w:val="0"/>
    <w:pPr>
      <w:spacing w:line="400" w:lineRule="exact"/>
      <w:jc w:val="left"/>
    </w:pPr>
    <w:rPr>
      <w:rFonts w:cs="宋体"/>
      <w:sz w:val="24"/>
    </w:rPr>
  </w:style>
  <w:style w:type="paragraph" w:customStyle="1" w:styleId="1099">
    <w:name w:val="样式 三级标题 + Times New Roman 自动设置"/>
    <w:basedOn w:val="1"/>
    <w:link w:val="1100"/>
    <w:semiHidden/>
    <w:qFormat/>
    <w:uiPriority w:val="0"/>
    <w:pPr>
      <w:tabs>
        <w:tab w:val="left" w:pos="720"/>
        <w:tab w:val="left" w:pos="1969"/>
      </w:tabs>
      <w:spacing w:beforeLines="4" w:line="360" w:lineRule="auto"/>
      <w:ind w:left="1969" w:hanging="709"/>
      <w:jc w:val="left"/>
      <w:outlineLvl w:val="2"/>
    </w:pPr>
    <w:rPr>
      <w:rFonts w:eastAsia="仿宋_GB2312"/>
      <w:b/>
      <w:bCs/>
      <w:spacing w:val="1"/>
      <w:sz w:val="28"/>
      <w:szCs w:val="20"/>
    </w:rPr>
  </w:style>
  <w:style w:type="character" w:customStyle="1" w:styleId="1100">
    <w:name w:val="样式 三级标题 + Times New Roman 自动设置 Char"/>
    <w:link w:val="1099"/>
    <w:semiHidden/>
    <w:qFormat/>
    <w:uiPriority w:val="0"/>
    <w:rPr>
      <w:rFonts w:ascii="Times New Roman" w:hAnsi="Times New Roman" w:eastAsia="仿宋_GB2312" w:cs="Times New Roman"/>
      <w:b/>
      <w:bCs/>
      <w:spacing w:val="1"/>
      <w:sz w:val="28"/>
      <w:szCs w:val="20"/>
    </w:rPr>
  </w:style>
  <w:style w:type="character" w:customStyle="1" w:styleId="1101">
    <w:name w:val="hhcwt表格内文字 Char"/>
    <w:link w:val="699"/>
    <w:qFormat/>
    <w:uiPriority w:val="0"/>
    <w:rPr>
      <w:rFonts w:ascii="Times New Roman" w:hAnsi="Times New Roman" w:eastAsia="仿宋_GB2312" w:cs="Times New Roman"/>
      <w:szCs w:val="20"/>
    </w:rPr>
  </w:style>
  <w:style w:type="paragraph" w:customStyle="1" w:styleId="1102">
    <w:name w:val="aaa"/>
    <w:basedOn w:val="1"/>
    <w:link w:val="1365"/>
    <w:qFormat/>
    <w:uiPriority w:val="0"/>
    <w:pPr>
      <w:spacing w:line="360" w:lineRule="auto"/>
      <w:ind w:firstLine="200" w:firstLineChars="200"/>
    </w:pPr>
    <w:rPr>
      <w:rFonts w:hAnsi="宋体"/>
      <w:sz w:val="24"/>
    </w:rPr>
  </w:style>
  <w:style w:type="paragraph" w:customStyle="1" w:styleId="1103">
    <w:name w:val="谏壁表头（chen）"/>
    <w:basedOn w:val="1"/>
    <w:semiHidden/>
    <w:qFormat/>
    <w:uiPriority w:val="0"/>
    <w:pPr>
      <w:spacing w:line="360" w:lineRule="auto"/>
      <w:ind w:firstLine="200" w:firstLineChars="200"/>
      <w:jc w:val="center"/>
    </w:pPr>
    <w:rPr>
      <w:b/>
      <w:bCs/>
      <w:sz w:val="24"/>
    </w:rPr>
  </w:style>
  <w:style w:type="character" w:customStyle="1" w:styleId="1104">
    <w:name w:val="hhcwt正文 Char"/>
    <w:link w:val="1052"/>
    <w:qFormat/>
    <w:uiPriority w:val="0"/>
    <w:rPr>
      <w:rFonts w:ascii="Times New Roman" w:hAnsi="Times New Roman" w:eastAsia="宋体" w:cs="Times New Roman"/>
      <w:sz w:val="24"/>
      <w:szCs w:val="20"/>
    </w:rPr>
  </w:style>
  <w:style w:type="paragraph" w:customStyle="1" w:styleId="1105">
    <w:name w:val="谏壁chen表格内文字"/>
    <w:basedOn w:val="1"/>
    <w:link w:val="1235"/>
    <w:semiHidden/>
    <w:qFormat/>
    <w:uiPriority w:val="0"/>
    <w:pPr>
      <w:spacing w:line="0" w:lineRule="atLeast"/>
      <w:jc w:val="center"/>
    </w:pPr>
    <w:rPr>
      <w:szCs w:val="21"/>
    </w:rPr>
  </w:style>
  <w:style w:type="paragraph" w:customStyle="1" w:styleId="1106">
    <w:name w:val="谏壁正文chen"/>
    <w:basedOn w:val="1"/>
    <w:link w:val="1107"/>
    <w:semiHidden/>
    <w:qFormat/>
    <w:uiPriority w:val="0"/>
    <w:pPr>
      <w:spacing w:line="360" w:lineRule="auto"/>
      <w:ind w:firstLine="200" w:firstLineChars="200"/>
    </w:pPr>
    <w:rPr>
      <w:sz w:val="24"/>
    </w:rPr>
  </w:style>
  <w:style w:type="character" w:customStyle="1" w:styleId="1107">
    <w:name w:val="谏壁正文chen Char"/>
    <w:link w:val="1106"/>
    <w:semiHidden/>
    <w:qFormat/>
    <w:uiPriority w:val="0"/>
    <w:rPr>
      <w:rFonts w:ascii="Times New Roman" w:hAnsi="Times New Roman" w:eastAsia="宋体" w:cs="Times New Roman"/>
      <w:sz w:val="24"/>
      <w:szCs w:val="24"/>
    </w:rPr>
  </w:style>
  <w:style w:type="paragraph" w:customStyle="1" w:styleId="1108">
    <w:name w:val="hhcwt表头"/>
    <w:basedOn w:val="1"/>
    <w:link w:val="1109"/>
    <w:semiHidden/>
    <w:qFormat/>
    <w:uiPriority w:val="0"/>
    <w:pPr>
      <w:spacing w:after="120" w:line="500" w:lineRule="exact"/>
      <w:jc w:val="center"/>
    </w:pPr>
    <w:rPr>
      <w:rFonts w:ascii="楷体_GB2312" w:eastAsia="楷体_GB2312" w:cs="宋体"/>
      <w:b/>
      <w:bCs/>
      <w:kern w:val="0"/>
      <w:sz w:val="24"/>
      <w:szCs w:val="20"/>
    </w:rPr>
  </w:style>
  <w:style w:type="character" w:customStyle="1" w:styleId="1109">
    <w:name w:val="hhcwt表头 Char Char"/>
    <w:link w:val="1108"/>
    <w:semiHidden/>
    <w:qFormat/>
    <w:uiPriority w:val="0"/>
    <w:rPr>
      <w:rFonts w:ascii="楷体_GB2312" w:hAnsi="Times New Roman" w:eastAsia="楷体_GB2312" w:cs="宋体"/>
      <w:b/>
      <w:bCs/>
      <w:kern w:val="0"/>
      <w:sz w:val="24"/>
      <w:szCs w:val="20"/>
    </w:rPr>
  </w:style>
  <w:style w:type="paragraph" w:customStyle="1" w:styleId="1110">
    <w:name w:val="黄桥正文"/>
    <w:basedOn w:val="1"/>
    <w:semiHidden/>
    <w:qFormat/>
    <w:uiPriority w:val="0"/>
    <w:pPr>
      <w:widowControl/>
      <w:spacing w:line="360" w:lineRule="auto"/>
      <w:ind w:firstLine="200" w:firstLineChars="200"/>
    </w:pPr>
    <w:rPr>
      <w:rFonts w:cs="宋体"/>
      <w:kern w:val="0"/>
      <w:sz w:val="24"/>
    </w:rPr>
  </w:style>
  <w:style w:type="paragraph" w:customStyle="1" w:styleId="1111">
    <w:name w:val="谏壁标题2(chen）"/>
    <w:basedOn w:val="1"/>
    <w:semiHidden/>
    <w:qFormat/>
    <w:uiPriority w:val="0"/>
    <w:pPr>
      <w:keepNext/>
      <w:keepLines/>
      <w:spacing w:after="120" w:line="360" w:lineRule="auto"/>
      <w:outlineLvl w:val="1"/>
    </w:pPr>
    <w:rPr>
      <w:rFonts w:eastAsia="黑体"/>
      <w:sz w:val="32"/>
      <w:szCs w:val="32"/>
    </w:rPr>
  </w:style>
  <w:style w:type="paragraph" w:customStyle="1" w:styleId="1112">
    <w:name w:val="hhcwt标题2"/>
    <w:basedOn w:val="1"/>
    <w:semiHidden/>
    <w:qFormat/>
    <w:uiPriority w:val="0"/>
    <w:pPr>
      <w:keepNext/>
      <w:keepLines/>
      <w:spacing w:before="120" w:after="120" w:line="336" w:lineRule="auto"/>
      <w:outlineLvl w:val="1"/>
    </w:pPr>
    <w:rPr>
      <w:rFonts w:eastAsia="黑体" w:cs="宋体"/>
      <w:sz w:val="32"/>
      <w:szCs w:val="20"/>
    </w:rPr>
  </w:style>
  <w:style w:type="paragraph" w:customStyle="1" w:styleId="1113">
    <w:name w:val="Main Para no Chapter #"/>
    <w:basedOn w:val="1"/>
    <w:semiHidden/>
    <w:qFormat/>
    <w:uiPriority w:val="0"/>
    <w:pPr>
      <w:widowControl/>
      <w:spacing w:after="240"/>
      <w:jc w:val="left"/>
      <w:outlineLvl w:val="1"/>
    </w:pPr>
    <w:rPr>
      <w:rFonts w:eastAsia="Times New Roman"/>
      <w:kern w:val="0"/>
      <w:sz w:val="24"/>
      <w:szCs w:val="20"/>
    </w:rPr>
  </w:style>
  <w:style w:type="character" w:customStyle="1" w:styleId="1114">
    <w:name w:val="节标题 Char"/>
    <w:semiHidden/>
    <w:qFormat/>
    <w:uiPriority w:val="0"/>
    <w:rPr>
      <w:rFonts w:eastAsia="黑体"/>
      <w:kern w:val="2"/>
      <w:sz w:val="32"/>
      <w:szCs w:val="32"/>
      <w:lang w:val="en-US" w:eastAsia="zh-CN" w:bidi="ar-SA"/>
    </w:rPr>
  </w:style>
  <w:style w:type="paragraph" w:customStyle="1" w:styleId="1115">
    <w:name w:val="Char3 Char Char Char"/>
    <w:basedOn w:val="1"/>
    <w:semiHidden/>
    <w:qFormat/>
    <w:uiPriority w:val="0"/>
    <w:rPr>
      <w:sz w:val="24"/>
    </w:rPr>
  </w:style>
  <w:style w:type="character" w:customStyle="1" w:styleId="1116">
    <w:name w:val="ttk"/>
    <w:qFormat/>
    <w:uiPriority w:val="0"/>
  </w:style>
  <w:style w:type="paragraph" w:customStyle="1" w:styleId="1117">
    <w:name w:val="正文3"/>
    <w:basedOn w:val="1"/>
    <w:qFormat/>
    <w:uiPriority w:val="0"/>
    <w:pPr>
      <w:tabs>
        <w:tab w:val="left" w:pos="1320"/>
        <w:tab w:val="left" w:pos="1800"/>
      </w:tabs>
      <w:spacing w:before="40" w:after="40"/>
      <w:ind w:left="1320" w:right="24" w:hanging="720"/>
    </w:pPr>
    <w:rPr>
      <w:rFonts w:ascii="PMingLiU" w:hAnsi="PMingLiU" w:eastAsia="PMingLiU"/>
      <w:sz w:val="24"/>
      <w:szCs w:val="20"/>
      <w:lang w:eastAsia="zh-TW"/>
    </w:rPr>
  </w:style>
  <w:style w:type="paragraph" w:customStyle="1" w:styleId="1118">
    <w:name w:val="样式 样式 样式 样式 样式 样式 样式 正文文字缩进 2 + 行距: 固定值 24 磅 + 首行缩进:  2 字符 + 首行缩..."/>
    <w:basedOn w:val="1"/>
    <w:semiHidden/>
    <w:qFormat/>
    <w:uiPriority w:val="0"/>
    <w:pPr>
      <w:spacing w:line="360" w:lineRule="auto"/>
      <w:ind w:firstLine="720" w:firstLineChars="200"/>
    </w:pPr>
    <w:rPr>
      <w:sz w:val="44"/>
      <w:szCs w:val="20"/>
    </w:rPr>
  </w:style>
  <w:style w:type="paragraph" w:customStyle="1" w:styleId="1119">
    <w:name w:val="样式 样式 样式 样式 正文文字缩进 2 + 行距: 固定值 24 磅 + 首行缩进:  2 字符 + 首行缩进:  2 字符 ... Char"/>
    <w:basedOn w:val="1"/>
    <w:semiHidden/>
    <w:qFormat/>
    <w:uiPriority w:val="0"/>
    <w:pPr>
      <w:spacing w:line="480" w:lineRule="auto"/>
      <w:ind w:firstLine="560" w:firstLineChars="200"/>
    </w:pPr>
    <w:rPr>
      <w:sz w:val="30"/>
      <w:szCs w:val="28"/>
    </w:rPr>
  </w:style>
  <w:style w:type="paragraph" w:customStyle="1" w:styleId="1120">
    <w:name w:val="表格文字（对中）"/>
    <w:basedOn w:val="22"/>
    <w:semiHidden/>
    <w:qFormat/>
    <w:uiPriority w:val="0"/>
    <w:pPr>
      <w:adjustRightInd w:val="0"/>
      <w:snapToGrid w:val="0"/>
      <w:spacing w:line="240" w:lineRule="exact"/>
      <w:ind w:firstLine="0" w:firstLineChars="0"/>
      <w:jc w:val="center"/>
    </w:pPr>
    <w:rPr>
      <w:rFonts w:ascii="宋体" w:hAnsi="宋体"/>
      <w:snapToGrid w:val="0"/>
      <w:szCs w:val="22"/>
    </w:rPr>
  </w:style>
  <w:style w:type="paragraph" w:customStyle="1" w:styleId="1121">
    <w:name w:val="新表"/>
    <w:basedOn w:val="1"/>
    <w:qFormat/>
    <w:uiPriority w:val="0"/>
    <w:pPr>
      <w:spacing w:line="360" w:lineRule="exact"/>
    </w:pPr>
    <w:rPr>
      <w:rFonts w:eastAsia="仿宋_GB2312"/>
      <w:bCs/>
      <w:kern w:val="0"/>
      <w:sz w:val="24"/>
      <w:szCs w:val="20"/>
    </w:rPr>
  </w:style>
  <w:style w:type="paragraph" w:customStyle="1" w:styleId="1122">
    <w:name w:val="Char2 Char Char1 Char"/>
    <w:basedOn w:val="1"/>
    <w:semiHidden/>
    <w:qFormat/>
    <w:uiPriority w:val="0"/>
    <w:rPr>
      <w:sz w:val="24"/>
    </w:rPr>
  </w:style>
  <w:style w:type="paragraph" w:customStyle="1" w:styleId="1123">
    <w:name w:val="样式 Bookman Old Style 小四 首行缩进:  1.06 厘米 行距: 1.5 倍行距"/>
    <w:basedOn w:val="1"/>
    <w:semiHidden/>
    <w:qFormat/>
    <w:uiPriority w:val="0"/>
    <w:pPr>
      <w:spacing w:line="520" w:lineRule="exact"/>
      <w:ind w:firstLine="601"/>
    </w:pPr>
    <w:rPr>
      <w:rFonts w:ascii="Bookman Old Style" w:hAnsi="Bookman Old Style"/>
      <w:sz w:val="24"/>
      <w:szCs w:val="20"/>
    </w:rPr>
  </w:style>
  <w:style w:type="paragraph" w:customStyle="1" w:styleId="1124">
    <w:name w:val="填表内容"/>
    <w:basedOn w:val="1"/>
    <w:semiHidden/>
    <w:qFormat/>
    <w:uiPriority w:val="0"/>
    <w:pPr>
      <w:adjustRightInd w:val="0"/>
      <w:spacing w:line="480" w:lineRule="exact"/>
      <w:ind w:firstLine="560" w:firstLineChars="200"/>
      <w:jc w:val="left"/>
      <w:textAlignment w:val="baseline"/>
    </w:pPr>
    <w:rPr>
      <w:rFonts w:ascii="楷体_GB2312" w:eastAsia="楷体_GB2312"/>
      <w:sz w:val="28"/>
      <w:szCs w:val="20"/>
    </w:rPr>
  </w:style>
  <w:style w:type="character" w:customStyle="1" w:styleId="1125">
    <w:name w:val="h31"/>
    <w:qFormat/>
    <w:uiPriority w:val="0"/>
    <w:rPr>
      <w:sz w:val="23"/>
      <w:szCs w:val="23"/>
    </w:rPr>
  </w:style>
  <w:style w:type="paragraph" w:customStyle="1" w:styleId="1126">
    <w:name w:val="英方字母"/>
    <w:basedOn w:val="1"/>
    <w:semiHidden/>
    <w:qFormat/>
    <w:uiPriority w:val="0"/>
    <w:pPr>
      <w:tabs>
        <w:tab w:val="left" w:pos="360"/>
      </w:tabs>
      <w:autoSpaceDE w:val="0"/>
      <w:autoSpaceDN w:val="0"/>
      <w:adjustRightInd w:val="0"/>
      <w:spacing w:line="360" w:lineRule="auto"/>
    </w:pPr>
    <w:rPr>
      <w:rFonts w:ascii="Bookman Old Style" w:hAnsi="Bookman Old Style" w:cs="Bookman Old Style"/>
      <w:kern w:val="0"/>
      <w:sz w:val="24"/>
    </w:rPr>
  </w:style>
  <w:style w:type="paragraph" w:customStyle="1" w:styleId="1127">
    <w:name w:val="普通 (Web)1"/>
    <w:basedOn w:val="1"/>
    <w:semiHidden/>
    <w:qFormat/>
    <w:uiPriority w:val="0"/>
    <w:pPr>
      <w:widowControl/>
      <w:spacing w:before="100" w:beforeAutospacing="1" w:after="100" w:afterAutospacing="1" w:line="400" w:lineRule="atLeast"/>
      <w:ind w:firstLine="480"/>
      <w:jc w:val="left"/>
    </w:pPr>
    <w:rPr>
      <w:rFonts w:ascii="Arial Unicode MS" w:hAnsi="Arial Unicode MS" w:eastAsia="Arial Unicode MS" w:cs="Arial Unicode MS"/>
      <w:color w:val="000000"/>
      <w:kern w:val="0"/>
      <w:sz w:val="24"/>
    </w:rPr>
  </w:style>
  <w:style w:type="paragraph" w:customStyle="1" w:styleId="1128">
    <w:name w:val="目录 1 Char Char"/>
    <w:basedOn w:val="1"/>
    <w:next w:val="1"/>
    <w:qFormat/>
    <w:uiPriority w:val="0"/>
    <w:pPr>
      <w:widowControl/>
      <w:tabs>
        <w:tab w:val="left" w:leader="dot" w:pos="8010"/>
      </w:tabs>
      <w:snapToGrid w:val="0"/>
      <w:spacing w:line="300" w:lineRule="auto"/>
      <w:jc w:val="left"/>
      <w:textAlignment w:val="baseline"/>
    </w:pPr>
    <w:rPr>
      <w:rFonts w:ascii="黑体" w:hAnsi="宋体" w:eastAsia="黑体" w:cs="宋体"/>
      <w:color w:val="000000"/>
      <w:kern w:val="0"/>
      <w:sz w:val="28"/>
      <w:szCs w:val="44"/>
      <w:u w:color="000000"/>
    </w:rPr>
  </w:style>
  <w:style w:type="paragraph" w:customStyle="1" w:styleId="1129">
    <w:name w:val="1表格头"/>
    <w:basedOn w:val="835"/>
    <w:qFormat/>
    <w:uiPriority w:val="0"/>
    <w:pPr>
      <w:adjustRightInd/>
      <w:spacing w:line="420" w:lineRule="auto"/>
      <w:textAlignment w:val="auto"/>
      <w:outlineLvl w:val="3"/>
    </w:pPr>
    <w:rPr>
      <w:rFonts w:hint="default" w:ascii="Times New Roman" w:hAnsi="Times New Roman" w:eastAsia="黑体"/>
      <w:b/>
      <w:szCs w:val="24"/>
    </w:rPr>
  </w:style>
  <w:style w:type="paragraph" w:customStyle="1" w:styleId="1130">
    <w:name w:val="表格内容1"/>
    <w:basedOn w:val="1"/>
    <w:qFormat/>
    <w:uiPriority w:val="0"/>
    <w:pPr>
      <w:adjustRightInd w:val="0"/>
      <w:snapToGrid w:val="0"/>
      <w:spacing w:beforeLines="15" w:afterLines="15" w:line="240" w:lineRule="exact"/>
      <w:jc w:val="center"/>
    </w:pPr>
    <w:rPr>
      <w:rFonts w:ascii="宋体" w:hAnsi="宋体"/>
      <w:snapToGrid w:val="0"/>
      <w:kern w:val="0"/>
    </w:rPr>
  </w:style>
  <w:style w:type="paragraph" w:customStyle="1" w:styleId="1131">
    <w:name w:val="五级无标题条"/>
    <w:basedOn w:val="1"/>
    <w:semiHidden/>
    <w:qFormat/>
    <w:uiPriority w:val="0"/>
    <w:pPr>
      <w:tabs>
        <w:tab w:val="left" w:pos="720"/>
      </w:tabs>
      <w:ind w:left="-288" w:hanging="360" w:hangingChars="200"/>
    </w:pPr>
    <w:rPr>
      <w:rFonts w:ascii="宋体" w:hAnsi="宋体" w:cs="宋体"/>
      <w:color w:val="000000"/>
      <w:kern w:val="0"/>
      <w:sz w:val="24"/>
    </w:rPr>
  </w:style>
  <w:style w:type="character" w:customStyle="1" w:styleId="1132">
    <w:name w:val="hg1"/>
    <w:qFormat/>
    <w:uiPriority w:val="0"/>
  </w:style>
  <w:style w:type="paragraph" w:customStyle="1" w:styleId="1133">
    <w:name w:val="msonormal at_7"/>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1134">
    <w:name w:val="福建表格文字"/>
    <w:basedOn w:val="1"/>
    <w:semiHidden/>
    <w:qFormat/>
    <w:uiPriority w:val="0"/>
    <w:pPr>
      <w:spacing w:line="300" w:lineRule="auto"/>
      <w:ind w:left="-28" w:right="-29" w:firstLine="27" w:firstLineChars="13"/>
      <w:jc w:val="center"/>
    </w:pPr>
    <w:rPr>
      <w:rFonts w:ascii="宋体" w:hAnsi="宋体"/>
      <w:szCs w:val="21"/>
    </w:rPr>
  </w:style>
  <w:style w:type="paragraph" w:customStyle="1" w:styleId="1135">
    <w:name w:val="首缩"/>
    <w:basedOn w:val="1"/>
    <w:semiHidden/>
    <w:qFormat/>
    <w:uiPriority w:val="0"/>
    <w:pPr>
      <w:adjustRightInd w:val="0"/>
      <w:snapToGrid w:val="0"/>
      <w:spacing w:line="500" w:lineRule="exact"/>
      <w:ind w:firstLine="200"/>
    </w:pPr>
    <w:rPr>
      <w:rFonts w:eastAsia="仿宋_GB2312"/>
      <w:snapToGrid w:val="0"/>
      <w:kern w:val="0"/>
      <w:sz w:val="28"/>
      <w:szCs w:val="20"/>
    </w:rPr>
  </w:style>
  <w:style w:type="paragraph" w:customStyle="1" w:styleId="1136">
    <w:name w:val="正文NEW"/>
    <w:basedOn w:val="82"/>
    <w:semiHidden/>
    <w:qFormat/>
    <w:uiPriority w:val="0"/>
    <w:pPr>
      <w:spacing w:after="0" w:line="400" w:lineRule="exact"/>
      <w:ind w:left="0" w:leftChars="0" w:firstLine="480" w:firstLineChars="200"/>
    </w:pPr>
    <w:rPr>
      <w:rFonts w:ascii="宋体" w:hAnsi="宋体"/>
      <w:color w:val="000000"/>
      <w:sz w:val="24"/>
    </w:rPr>
  </w:style>
  <w:style w:type="paragraph" w:customStyle="1" w:styleId="1137">
    <w:name w:val="表格2"/>
    <w:basedOn w:val="198"/>
    <w:next w:val="198"/>
    <w:qFormat/>
    <w:uiPriority w:val="0"/>
    <w:pPr>
      <w:autoSpaceDE/>
      <w:autoSpaceDN/>
      <w:snapToGrid/>
      <w:spacing w:before="40" w:after="40" w:line="280" w:lineRule="exact"/>
    </w:pPr>
    <w:rPr>
      <w:rFonts w:ascii="Times New Roman" w:hAnsi="Times New Roman"/>
      <w:color w:val="auto"/>
      <w:spacing w:val="-8"/>
      <w:sz w:val="21"/>
      <w:szCs w:val="20"/>
    </w:rPr>
  </w:style>
  <w:style w:type="paragraph" w:customStyle="1" w:styleId="1138">
    <w:name w:val="标题 3 + 黑色"/>
    <w:basedOn w:val="5"/>
    <w:semiHidden/>
    <w:qFormat/>
    <w:uiPriority w:val="0"/>
    <w:pPr>
      <w:spacing w:line="360" w:lineRule="auto"/>
    </w:pPr>
    <w:rPr>
      <w:rFonts w:ascii="Arial" w:hAnsi="Arial"/>
      <w:color w:val="000000"/>
    </w:rPr>
  </w:style>
  <w:style w:type="paragraph" w:customStyle="1" w:styleId="1139">
    <w:name w:val="标题 3 + (西文) Bookman Old Style"/>
    <w:basedOn w:val="5"/>
    <w:semiHidden/>
    <w:qFormat/>
    <w:uiPriority w:val="0"/>
    <w:pPr>
      <w:keepLines w:val="0"/>
      <w:spacing w:line="560" w:lineRule="exact"/>
    </w:pPr>
    <w:rPr>
      <w:rFonts w:ascii="Bookman Old Style" w:hAnsi="Bookman Old Style"/>
      <w:sz w:val="30"/>
      <w:szCs w:val="30"/>
    </w:rPr>
  </w:style>
  <w:style w:type="paragraph" w:customStyle="1" w:styleId="1140">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1141">
    <w:name w:val="p10"/>
    <w:basedOn w:val="1"/>
    <w:semiHidden/>
    <w:qFormat/>
    <w:uiPriority w:val="0"/>
    <w:pPr>
      <w:widowControl/>
      <w:spacing w:before="100" w:beforeAutospacing="1" w:after="100" w:afterAutospacing="1"/>
      <w:jc w:val="left"/>
    </w:pPr>
    <w:rPr>
      <w:rFonts w:ascii="Arial Unicode MS" w:hAnsi="Arial Unicode MS"/>
      <w:kern w:val="0"/>
      <w:sz w:val="24"/>
    </w:rPr>
  </w:style>
  <w:style w:type="paragraph" w:customStyle="1" w:styleId="1142">
    <w:name w:val="编号1"/>
    <w:basedOn w:val="1"/>
    <w:semiHidden/>
    <w:qFormat/>
    <w:uiPriority w:val="0"/>
    <w:pPr>
      <w:tabs>
        <w:tab w:val="left" w:pos="900"/>
      </w:tabs>
      <w:spacing w:after="140" w:line="400" w:lineRule="exact"/>
      <w:ind w:left="900" w:hanging="420"/>
    </w:pPr>
    <w:rPr>
      <w:sz w:val="24"/>
      <w:szCs w:val="20"/>
    </w:rPr>
  </w:style>
  <w:style w:type="paragraph" w:customStyle="1" w:styleId="1143">
    <w:name w:val="正文(1)"/>
    <w:basedOn w:val="1"/>
    <w:semiHidden/>
    <w:qFormat/>
    <w:uiPriority w:val="0"/>
    <w:pPr>
      <w:adjustRightInd w:val="0"/>
      <w:snapToGrid w:val="0"/>
      <w:spacing w:before="120" w:line="300" w:lineRule="auto"/>
      <w:ind w:firstLine="480" w:firstLineChars="200"/>
    </w:pPr>
    <w:rPr>
      <w:rFonts w:ascii="黑体" w:hAnsi="宋体" w:eastAsia="黑体"/>
      <w:b/>
      <w:snapToGrid w:val="0"/>
      <w:color w:val="339966"/>
      <w:kern w:val="0"/>
      <w:sz w:val="24"/>
    </w:rPr>
  </w:style>
  <w:style w:type="paragraph" w:customStyle="1" w:styleId="1144">
    <w:name w:val="表前文字"/>
    <w:basedOn w:val="1"/>
    <w:semiHidden/>
    <w:qFormat/>
    <w:uiPriority w:val="0"/>
    <w:pPr>
      <w:jc w:val="center"/>
    </w:pPr>
    <w:rPr>
      <w:rFonts w:ascii="宋体" w:hAnsi="宋体"/>
      <w:sz w:val="24"/>
      <w:szCs w:val="21"/>
    </w:rPr>
  </w:style>
  <w:style w:type="paragraph" w:customStyle="1" w:styleId="1145">
    <w:name w:val="福建表格"/>
    <w:basedOn w:val="1"/>
    <w:next w:val="1"/>
    <w:semiHidden/>
    <w:qFormat/>
    <w:uiPriority w:val="0"/>
    <w:pPr>
      <w:spacing w:line="300" w:lineRule="auto"/>
      <w:jc w:val="center"/>
      <w:outlineLvl w:val="8"/>
    </w:pPr>
    <w:rPr>
      <w:rFonts w:ascii="宋体" w:hAnsi="宋体"/>
      <w:sz w:val="24"/>
      <w:szCs w:val="21"/>
    </w:rPr>
  </w:style>
  <w:style w:type="paragraph" w:customStyle="1" w:styleId="1146">
    <w:name w:val="正文缩进3"/>
    <w:basedOn w:val="1"/>
    <w:semiHidden/>
    <w:qFormat/>
    <w:uiPriority w:val="0"/>
    <w:pPr>
      <w:ind w:firstLine="420" w:firstLineChars="200"/>
    </w:pPr>
    <w:rPr>
      <w:rFonts w:hint="eastAsia"/>
      <w:szCs w:val="20"/>
    </w:rPr>
  </w:style>
  <w:style w:type="paragraph" w:customStyle="1" w:styleId="1147">
    <w:name w:val="目录 9 Char Char"/>
    <w:basedOn w:val="1"/>
    <w:next w:val="1"/>
    <w:qFormat/>
    <w:uiPriority w:val="0"/>
    <w:pPr>
      <w:spacing w:line="351" w:lineRule="atLeast"/>
      <w:ind w:left="1678" w:firstLine="419"/>
      <w:jc w:val="left"/>
    </w:pPr>
    <w:rPr>
      <w:rFonts w:hint="eastAsia"/>
      <w:szCs w:val="20"/>
    </w:rPr>
  </w:style>
  <w:style w:type="paragraph" w:customStyle="1" w:styleId="1148">
    <w:name w:val="页脚 Char Char"/>
    <w:basedOn w:val="1"/>
    <w:qFormat/>
    <w:uiPriority w:val="0"/>
    <w:pPr>
      <w:tabs>
        <w:tab w:val="left" w:pos="4149"/>
        <w:tab w:val="left" w:pos="8016"/>
      </w:tabs>
      <w:spacing w:line="351" w:lineRule="atLeast"/>
      <w:ind w:firstLine="419"/>
      <w:jc w:val="left"/>
    </w:pPr>
    <w:rPr>
      <w:rFonts w:hint="eastAsia"/>
      <w:sz w:val="18"/>
      <w:szCs w:val="20"/>
    </w:rPr>
  </w:style>
  <w:style w:type="paragraph" w:customStyle="1" w:styleId="1149">
    <w:name w:val="目录 4 Char Char"/>
    <w:basedOn w:val="1"/>
    <w:next w:val="1"/>
    <w:qFormat/>
    <w:uiPriority w:val="0"/>
    <w:pPr>
      <w:spacing w:line="351" w:lineRule="atLeast"/>
      <w:ind w:left="629" w:firstLine="419"/>
      <w:jc w:val="left"/>
    </w:pPr>
    <w:rPr>
      <w:rFonts w:hint="eastAsia"/>
      <w:szCs w:val="20"/>
    </w:rPr>
  </w:style>
  <w:style w:type="paragraph" w:customStyle="1" w:styleId="1150">
    <w:name w:val="目录 3 Char Char"/>
    <w:basedOn w:val="1"/>
    <w:next w:val="1"/>
    <w:qFormat/>
    <w:uiPriority w:val="0"/>
    <w:pPr>
      <w:spacing w:line="351" w:lineRule="atLeast"/>
      <w:ind w:left="419" w:firstLine="419"/>
      <w:jc w:val="left"/>
    </w:pPr>
    <w:rPr>
      <w:rFonts w:hint="eastAsia"/>
      <w:i/>
      <w:szCs w:val="20"/>
    </w:rPr>
  </w:style>
  <w:style w:type="paragraph" w:customStyle="1" w:styleId="1151">
    <w:name w:val="目录 8 Char Char"/>
    <w:basedOn w:val="1"/>
    <w:next w:val="1"/>
    <w:qFormat/>
    <w:uiPriority w:val="0"/>
    <w:pPr>
      <w:spacing w:line="351" w:lineRule="atLeast"/>
      <w:ind w:left="1468" w:firstLine="419"/>
      <w:jc w:val="left"/>
    </w:pPr>
    <w:rPr>
      <w:rFonts w:hint="eastAsia"/>
      <w:szCs w:val="20"/>
    </w:rPr>
  </w:style>
  <w:style w:type="paragraph" w:customStyle="1" w:styleId="1152">
    <w:name w:val="页眉 Char Char"/>
    <w:basedOn w:val="1"/>
    <w:qFormat/>
    <w:uiPriority w:val="0"/>
    <w:pPr>
      <w:tabs>
        <w:tab w:val="left" w:pos="4149"/>
        <w:tab w:val="left" w:pos="8016"/>
      </w:tabs>
      <w:spacing w:line="351" w:lineRule="atLeast"/>
      <w:ind w:firstLine="419"/>
      <w:jc w:val="center"/>
    </w:pPr>
    <w:rPr>
      <w:rFonts w:hint="eastAsia"/>
      <w:sz w:val="18"/>
      <w:szCs w:val="20"/>
    </w:rPr>
  </w:style>
  <w:style w:type="paragraph" w:customStyle="1" w:styleId="1153">
    <w:name w:val="目录标题"/>
    <w:basedOn w:val="1"/>
    <w:next w:val="1"/>
    <w:qFormat/>
    <w:uiPriority w:val="0"/>
    <w:pPr>
      <w:spacing w:before="215" w:after="419" w:line="436" w:lineRule="atLeast"/>
      <w:ind w:firstLine="419"/>
      <w:jc w:val="center"/>
    </w:pPr>
    <w:rPr>
      <w:rFonts w:hint="eastAsia" w:ascii="Arial" w:eastAsia="黑体"/>
      <w:spacing w:val="283"/>
      <w:sz w:val="42"/>
      <w:szCs w:val="20"/>
    </w:rPr>
  </w:style>
  <w:style w:type="paragraph" w:customStyle="1" w:styleId="1154">
    <w:name w:val="日期 Char Char"/>
    <w:basedOn w:val="1"/>
    <w:next w:val="1"/>
    <w:qFormat/>
    <w:uiPriority w:val="0"/>
    <w:pPr>
      <w:spacing w:line="351" w:lineRule="atLeast"/>
      <w:ind w:firstLine="419"/>
    </w:pPr>
    <w:rPr>
      <w:rFonts w:hint="eastAsia" w:eastAsia="仿宋_GB2312"/>
      <w:sz w:val="31"/>
      <w:szCs w:val="20"/>
    </w:rPr>
  </w:style>
  <w:style w:type="paragraph" w:customStyle="1" w:styleId="1155">
    <w:name w:val="批注文字 Char Char"/>
    <w:basedOn w:val="1"/>
    <w:qFormat/>
    <w:uiPriority w:val="0"/>
    <w:pPr>
      <w:spacing w:line="351" w:lineRule="atLeast"/>
      <w:ind w:firstLine="419"/>
      <w:jc w:val="left"/>
    </w:pPr>
    <w:rPr>
      <w:rFonts w:hint="eastAsia"/>
      <w:szCs w:val="20"/>
    </w:rPr>
  </w:style>
  <w:style w:type="paragraph" w:customStyle="1" w:styleId="1156">
    <w:name w:val="目录 2 Char Char"/>
    <w:basedOn w:val="1"/>
    <w:next w:val="1"/>
    <w:qFormat/>
    <w:uiPriority w:val="0"/>
    <w:pPr>
      <w:spacing w:line="351" w:lineRule="atLeast"/>
      <w:ind w:left="209" w:firstLine="419"/>
      <w:jc w:val="left"/>
    </w:pPr>
    <w:rPr>
      <w:rFonts w:hint="eastAsia"/>
      <w:szCs w:val="20"/>
    </w:rPr>
  </w:style>
  <w:style w:type="paragraph" w:customStyle="1" w:styleId="1157">
    <w:name w:val="目录 6 Char Char"/>
    <w:basedOn w:val="1"/>
    <w:next w:val="1"/>
    <w:qFormat/>
    <w:uiPriority w:val="0"/>
    <w:pPr>
      <w:spacing w:line="351" w:lineRule="atLeast"/>
      <w:ind w:left="1048" w:firstLine="419"/>
      <w:jc w:val="left"/>
    </w:pPr>
    <w:rPr>
      <w:rFonts w:hint="eastAsia"/>
      <w:szCs w:val="20"/>
    </w:rPr>
  </w:style>
  <w:style w:type="paragraph" w:customStyle="1" w:styleId="1158">
    <w:name w:val="目录 5 Char Char"/>
    <w:basedOn w:val="1"/>
    <w:next w:val="1"/>
    <w:qFormat/>
    <w:uiPriority w:val="0"/>
    <w:pPr>
      <w:spacing w:line="351" w:lineRule="atLeast"/>
      <w:ind w:left="839" w:firstLine="419"/>
      <w:jc w:val="left"/>
    </w:pPr>
    <w:rPr>
      <w:rFonts w:hint="eastAsia"/>
      <w:szCs w:val="20"/>
    </w:rPr>
  </w:style>
  <w:style w:type="paragraph" w:customStyle="1" w:styleId="1159">
    <w:name w:val="目录fuxi"/>
    <w:basedOn w:val="1"/>
    <w:qFormat/>
    <w:uiPriority w:val="0"/>
    <w:pPr>
      <w:snapToGrid w:val="0"/>
      <w:spacing w:before="60" w:after="60"/>
      <w:jc w:val="center"/>
    </w:pPr>
    <w:rPr>
      <w:rFonts w:hint="eastAsia" w:ascii="宋体"/>
      <w:outline/>
      <w:color w:val="000000"/>
      <w:szCs w:val="20"/>
      <w14:textOutline w14:w="9525" w14:cap="flat" w14:cmpd="sng" w14:algn="ctr">
        <w14:solidFill>
          <w14:srgbClr w14:val="000000"/>
        </w14:solidFill>
        <w14:prstDash w14:val="solid"/>
        <w14:round/>
      </w14:textOutline>
      <w14:textFill>
        <w14:noFill/>
      </w14:textFill>
    </w:rPr>
  </w:style>
  <w:style w:type="character" w:customStyle="1" w:styleId="1160">
    <w:name w:val="px14"/>
    <w:qFormat/>
    <w:uiPriority w:val="0"/>
  </w:style>
  <w:style w:type="character" w:customStyle="1" w:styleId="1161">
    <w:name w:val="top_bt1"/>
    <w:semiHidden/>
    <w:qFormat/>
    <w:uiPriority w:val="0"/>
    <w:rPr>
      <w:b/>
      <w:bCs/>
      <w:color w:val="000000"/>
      <w:sz w:val="21"/>
      <w:szCs w:val="21"/>
    </w:rPr>
  </w:style>
  <w:style w:type="paragraph" w:customStyle="1" w:styleId="1162">
    <w:name w:val="我的正文首行缩进"/>
    <w:basedOn w:val="87"/>
    <w:qFormat/>
    <w:uiPriority w:val="0"/>
    <w:pPr>
      <w:tabs>
        <w:tab w:val="clear" w:pos="360"/>
      </w:tabs>
      <w:spacing w:after="120" w:line="360" w:lineRule="auto"/>
      <w:ind w:left="420" w:firstLine="420"/>
    </w:pPr>
    <w:rPr>
      <w:rFonts w:ascii="Times New Roman"/>
      <w:sz w:val="24"/>
      <w:szCs w:val="24"/>
    </w:rPr>
  </w:style>
  <w:style w:type="paragraph" w:customStyle="1" w:styleId="1163">
    <w:name w:val="正文首行缩进  2字符"/>
    <w:basedOn w:val="1"/>
    <w:semiHidden/>
    <w:qFormat/>
    <w:uiPriority w:val="0"/>
    <w:pPr>
      <w:spacing w:line="360" w:lineRule="auto"/>
      <w:ind w:firstLine="480" w:firstLineChars="200"/>
    </w:pPr>
    <w:rPr>
      <w:sz w:val="24"/>
      <w:szCs w:val="20"/>
    </w:rPr>
  </w:style>
  <w:style w:type="paragraph" w:customStyle="1" w:styleId="1164">
    <w:name w:val="样式 列表 + 左侧:  0 厘米 悬挂缩进: 2 字符"/>
    <w:basedOn w:val="66"/>
    <w:semiHidden/>
    <w:qFormat/>
    <w:uiPriority w:val="0"/>
    <w:pPr>
      <w:tabs>
        <w:tab w:val="center" w:pos="4153"/>
        <w:tab w:val="right" w:pos="8306"/>
      </w:tabs>
      <w:snapToGrid w:val="0"/>
      <w:spacing w:line="240" w:lineRule="exact"/>
      <w:jc w:val="center"/>
    </w:pPr>
    <w:rPr>
      <w:color w:val="FF0000"/>
      <w:sz w:val="21"/>
      <w:szCs w:val="21"/>
    </w:rPr>
  </w:style>
  <w:style w:type="character" w:customStyle="1" w:styleId="1165">
    <w:name w:val="e91"/>
    <w:qFormat/>
    <w:uiPriority w:val="0"/>
    <w:rPr>
      <w:rFonts w:ascii="Arial" w:hAnsi="Arial"/>
      <w:sz w:val="21"/>
    </w:rPr>
  </w:style>
  <w:style w:type="character" w:customStyle="1" w:styleId="1166">
    <w:name w:val="paragragh1"/>
    <w:qFormat/>
    <w:uiPriority w:val="0"/>
    <w:rPr>
      <w:color w:val="004040"/>
      <w:sz w:val="21"/>
    </w:rPr>
  </w:style>
  <w:style w:type="character" w:customStyle="1" w:styleId="1167">
    <w:name w:val="标题3 Char"/>
    <w:qFormat/>
    <w:uiPriority w:val="0"/>
    <w:rPr>
      <w:rFonts w:eastAsia="黑体"/>
      <w:kern w:val="2"/>
      <w:sz w:val="24"/>
      <w:lang w:val="en-US" w:eastAsia="zh-CN"/>
    </w:rPr>
  </w:style>
  <w:style w:type="character" w:customStyle="1" w:styleId="1168">
    <w:name w:val="content_size_131"/>
    <w:qFormat/>
    <w:uiPriority w:val="0"/>
    <w:rPr>
      <w:sz w:val="20"/>
    </w:rPr>
  </w:style>
  <w:style w:type="character" w:customStyle="1" w:styleId="1169">
    <w:name w:val="标题3 Char1"/>
    <w:qFormat/>
    <w:uiPriority w:val="0"/>
    <w:rPr>
      <w:rFonts w:eastAsia="黑体"/>
      <w:kern w:val="2"/>
      <w:sz w:val="30"/>
      <w:lang w:val="en-US" w:eastAsia="zh-CN"/>
    </w:rPr>
  </w:style>
  <w:style w:type="character" w:customStyle="1" w:styleId="1170">
    <w:name w:val="样式 标题 3 + 宋体 小四 Char"/>
    <w:qFormat/>
    <w:uiPriority w:val="0"/>
    <w:rPr>
      <w:rFonts w:ascii="宋体" w:hAnsi="宋体" w:eastAsia="黑体"/>
      <w:kern w:val="2"/>
      <w:sz w:val="32"/>
      <w:lang w:val="en-US" w:eastAsia="zh-CN"/>
    </w:rPr>
  </w:style>
  <w:style w:type="character" w:customStyle="1" w:styleId="1171">
    <w:name w:val="menu21"/>
    <w:qFormat/>
    <w:uiPriority w:val="0"/>
    <w:rPr>
      <w:rFonts w:ascii="Arial" w:hAnsi="Arial"/>
      <w:sz w:val="24"/>
    </w:rPr>
  </w:style>
  <w:style w:type="character" w:customStyle="1" w:styleId="1172">
    <w:name w:val="访问过的超链接2"/>
    <w:semiHidden/>
    <w:qFormat/>
    <w:uiPriority w:val="0"/>
    <w:rPr>
      <w:rFonts w:hint="default"/>
      <w:color w:val="800080"/>
      <w:u w:val="single"/>
    </w:rPr>
  </w:style>
  <w:style w:type="character" w:customStyle="1" w:styleId="1173">
    <w:name w:val="a41"/>
    <w:qFormat/>
    <w:uiPriority w:val="0"/>
    <w:rPr>
      <w:sz w:val="21"/>
    </w:rPr>
  </w:style>
  <w:style w:type="character" w:customStyle="1" w:styleId="1174">
    <w:name w:val="nine-11"/>
    <w:semiHidden/>
    <w:qFormat/>
    <w:uiPriority w:val="0"/>
    <w:rPr>
      <w:rFonts w:hint="default"/>
      <w:sz w:val="18"/>
    </w:rPr>
  </w:style>
  <w:style w:type="character" w:customStyle="1" w:styleId="1175">
    <w:name w:val="Hyperlink1"/>
    <w:qFormat/>
    <w:uiPriority w:val="0"/>
    <w:rPr>
      <w:rFonts w:hint="default"/>
      <w:color w:val="0000FF"/>
      <w:u w:val="single"/>
    </w:rPr>
  </w:style>
  <w:style w:type="character" w:customStyle="1" w:styleId="1176">
    <w:name w:val="105v1"/>
    <w:qFormat/>
    <w:uiPriority w:val="0"/>
    <w:rPr>
      <w:rFonts w:ascii="宋体" w:hAnsi="宋体" w:eastAsia="宋体"/>
      <w:sz w:val="21"/>
    </w:rPr>
  </w:style>
  <w:style w:type="character" w:customStyle="1" w:styleId="1177">
    <w:name w:val="haogao1"/>
    <w:semiHidden/>
    <w:qFormat/>
    <w:uiPriority w:val="0"/>
  </w:style>
  <w:style w:type="character" w:customStyle="1" w:styleId="1178">
    <w:name w:val="menu1"/>
    <w:qFormat/>
    <w:uiPriority w:val="0"/>
    <w:rPr>
      <w:sz w:val="21"/>
    </w:rPr>
  </w:style>
  <w:style w:type="character" w:customStyle="1" w:styleId="1179">
    <w:name w:val="bfont"/>
    <w:qFormat/>
    <w:uiPriority w:val="0"/>
  </w:style>
  <w:style w:type="character" w:customStyle="1" w:styleId="1180">
    <w:name w:val="nikey1"/>
    <w:semiHidden/>
    <w:qFormat/>
    <w:uiPriority w:val="0"/>
    <w:rPr>
      <w:rFonts w:hint="default" w:ascii="Verdana" w:hAnsi="Verdana"/>
      <w:color w:val="000000"/>
      <w:sz w:val="18"/>
    </w:rPr>
  </w:style>
  <w:style w:type="character" w:customStyle="1" w:styleId="1181">
    <w:name w:val="unnamed91"/>
    <w:semiHidden/>
    <w:qFormat/>
    <w:uiPriority w:val="0"/>
    <w:rPr>
      <w:rFonts w:hint="eastAsia" w:ascii="宋体" w:hAnsi="宋体" w:eastAsia="宋体"/>
      <w:color w:val="000000"/>
      <w:sz w:val="18"/>
      <w:u w:val="none"/>
    </w:rPr>
  </w:style>
  <w:style w:type="paragraph" w:customStyle="1" w:styleId="1182">
    <w:name w:val="题2"/>
    <w:basedOn w:val="5"/>
    <w:link w:val="1264"/>
    <w:qFormat/>
    <w:uiPriority w:val="0"/>
    <w:pPr>
      <w:spacing w:line="360" w:lineRule="auto"/>
    </w:pPr>
    <w:rPr>
      <w:bCs w:val="0"/>
      <w:snapToGrid w:val="0"/>
      <w:szCs w:val="20"/>
    </w:rPr>
  </w:style>
  <w:style w:type="paragraph" w:customStyle="1" w:styleId="1183">
    <w:name w:val="_Style 25"/>
    <w:basedOn w:val="1"/>
    <w:next w:val="966"/>
    <w:qFormat/>
    <w:uiPriority w:val="0"/>
    <w:pPr>
      <w:widowControl/>
      <w:spacing w:before="100" w:beforeAutospacing="1" w:after="100" w:afterAutospacing="1"/>
      <w:jc w:val="left"/>
    </w:pPr>
    <w:rPr>
      <w:rFonts w:hint="eastAsia" w:hAnsi="宋体"/>
      <w:color w:val="000000"/>
      <w:kern w:val="0"/>
      <w:sz w:val="24"/>
      <w:szCs w:val="20"/>
    </w:rPr>
  </w:style>
  <w:style w:type="paragraph" w:customStyle="1" w:styleId="1184">
    <w:name w:val="样式 标题 3 + 宋体 小四"/>
    <w:basedOn w:val="1185"/>
    <w:qFormat/>
    <w:uiPriority w:val="0"/>
    <w:pPr>
      <w:adjustRightInd/>
      <w:textAlignment w:val="auto"/>
    </w:pPr>
    <w:rPr>
      <w:rFonts w:hAnsi="宋体" w:eastAsia="黑体"/>
      <w:sz w:val="32"/>
    </w:rPr>
  </w:style>
  <w:style w:type="paragraph" w:customStyle="1" w:styleId="1185">
    <w:name w:val="headi"/>
    <w:basedOn w:val="1"/>
    <w:next w:val="1"/>
    <w:qFormat/>
    <w:uiPriority w:val="0"/>
    <w:pPr>
      <w:keepNext/>
      <w:keepLines/>
      <w:adjustRightInd w:val="0"/>
      <w:spacing w:line="360" w:lineRule="auto"/>
      <w:textAlignment w:val="baseline"/>
    </w:pPr>
    <w:rPr>
      <w:rFonts w:ascii="宋体" w:hAnsi="Arial Black"/>
      <w:sz w:val="24"/>
      <w:szCs w:val="20"/>
    </w:rPr>
  </w:style>
  <w:style w:type="paragraph" w:customStyle="1" w:styleId="1186">
    <w:name w:val="表格001"/>
    <w:basedOn w:val="1"/>
    <w:qFormat/>
    <w:uiPriority w:val="0"/>
    <w:pPr>
      <w:jc w:val="center"/>
    </w:pPr>
    <w:rPr>
      <w:szCs w:val="20"/>
    </w:rPr>
  </w:style>
  <w:style w:type="paragraph" w:customStyle="1" w:styleId="1187">
    <w:name w:val="Char Char Char1"/>
    <w:basedOn w:val="1"/>
    <w:qFormat/>
    <w:uiPriority w:val="0"/>
    <w:rPr>
      <w:sz w:val="24"/>
      <w:szCs w:val="20"/>
    </w:rPr>
  </w:style>
  <w:style w:type="paragraph" w:customStyle="1" w:styleId="1188">
    <w:name w:val="批注主题1"/>
    <w:basedOn w:val="29"/>
    <w:next w:val="29"/>
    <w:semiHidden/>
    <w:qFormat/>
    <w:uiPriority w:val="0"/>
    <w:pPr>
      <w:spacing w:line="240" w:lineRule="auto"/>
      <w:ind w:firstLine="0" w:firstLineChars="0"/>
    </w:pPr>
    <w:rPr>
      <w:rFonts w:hint="eastAsia" w:ascii="宋体" w:hAnsi="宋体"/>
      <w:b/>
      <w:kern w:val="2"/>
    </w:rPr>
  </w:style>
  <w:style w:type="paragraph" w:customStyle="1" w:styleId="1189">
    <w:name w:val="7表格(治)"/>
    <w:qFormat/>
    <w:uiPriority w:val="0"/>
    <w:pPr>
      <w:spacing w:line="400" w:lineRule="atLeast"/>
      <w:jc w:val="center"/>
    </w:pPr>
    <w:rPr>
      <w:rFonts w:hint="eastAsia" w:ascii="宋体" w:hAnsi="宋体" w:eastAsia="宋体" w:cs="Times New Roman"/>
      <w:sz w:val="21"/>
      <w:lang w:val="en-US" w:eastAsia="zh-CN" w:bidi="ar-SA"/>
    </w:rPr>
  </w:style>
  <w:style w:type="paragraph" w:customStyle="1" w:styleId="1190">
    <w:name w:val="xl127"/>
    <w:basedOn w:val="1"/>
    <w:qFormat/>
    <w:uiPriority w:val="0"/>
    <w:pPr>
      <w:widowControl/>
      <w:pBdr>
        <w:top w:val="single" w:color="auto" w:sz="8" w:space="0"/>
        <w:left w:val="single" w:color="FFFFFF" w:sz="8" w:space="0"/>
      </w:pBdr>
      <w:spacing w:before="100" w:beforeAutospacing="1" w:after="100" w:afterAutospacing="1"/>
      <w:jc w:val="right"/>
      <w:textAlignment w:val="top"/>
    </w:pPr>
    <w:rPr>
      <w:rFonts w:hint="eastAsia" w:ascii="MingLiU" w:hAnsi="MingLiU" w:eastAsia="MingLiU"/>
      <w:kern w:val="0"/>
      <w:sz w:val="28"/>
      <w:szCs w:val="20"/>
      <w:lang w:eastAsia="en-US"/>
    </w:rPr>
  </w:style>
  <w:style w:type="paragraph" w:customStyle="1" w:styleId="1191">
    <w:name w:val="图表标题"/>
    <w:basedOn w:val="1192"/>
    <w:next w:val="1"/>
    <w:qFormat/>
    <w:uiPriority w:val="0"/>
    <w:pPr>
      <w:ind w:firstLine="0" w:firstLineChars="0"/>
      <w:jc w:val="center"/>
    </w:pPr>
    <w:rPr>
      <w:b/>
    </w:rPr>
  </w:style>
  <w:style w:type="paragraph" w:customStyle="1" w:styleId="1192">
    <w:name w:val="正文格式"/>
    <w:basedOn w:val="1"/>
    <w:link w:val="1490"/>
    <w:qFormat/>
    <w:uiPriority w:val="0"/>
    <w:pPr>
      <w:adjustRightInd w:val="0"/>
      <w:snapToGrid w:val="0"/>
      <w:spacing w:line="360" w:lineRule="auto"/>
      <w:ind w:firstLine="200" w:firstLineChars="200"/>
    </w:pPr>
    <w:rPr>
      <w:sz w:val="24"/>
      <w:szCs w:val="22"/>
    </w:rPr>
  </w:style>
  <w:style w:type="paragraph" w:customStyle="1" w:styleId="1193">
    <w:name w:val="Normal (Web)1"/>
    <w:basedOn w:val="1"/>
    <w:qFormat/>
    <w:uiPriority w:val="0"/>
    <w:pPr>
      <w:adjustRightInd w:val="0"/>
      <w:textAlignment w:val="baseline"/>
    </w:pPr>
    <w:rPr>
      <w:rFonts w:hint="eastAsia" w:ascii="宋体" w:hAnsi="宋体"/>
      <w:sz w:val="24"/>
      <w:szCs w:val="20"/>
    </w:rPr>
  </w:style>
  <w:style w:type="paragraph" w:customStyle="1" w:styleId="1194">
    <w:name w:val="IDC A-Head (2nd Line)"/>
    <w:basedOn w:val="1"/>
    <w:next w:val="1"/>
    <w:semiHidden/>
    <w:qFormat/>
    <w:uiPriority w:val="0"/>
    <w:pPr>
      <w:widowControl/>
      <w:jc w:val="center"/>
    </w:pPr>
    <w:rPr>
      <w:caps/>
      <w:kern w:val="0"/>
      <w:sz w:val="24"/>
      <w:szCs w:val="20"/>
    </w:rPr>
  </w:style>
  <w:style w:type="paragraph" w:customStyle="1" w:styleId="1195">
    <w:name w:val="批注框文本1"/>
    <w:basedOn w:val="1"/>
    <w:qFormat/>
    <w:uiPriority w:val="0"/>
    <w:pPr>
      <w:spacing w:after="120" w:line="440" w:lineRule="exact"/>
    </w:pPr>
    <w:rPr>
      <w:rFonts w:hint="eastAsia" w:ascii="Arial" w:hAnsi="Arial"/>
      <w:kern w:val="0"/>
      <w:sz w:val="18"/>
      <w:szCs w:val="20"/>
    </w:rPr>
  </w:style>
  <w:style w:type="paragraph" w:customStyle="1" w:styleId="1196">
    <w:name w:val="putong"/>
    <w:basedOn w:val="1"/>
    <w:semiHidden/>
    <w:qFormat/>
    <w:uiPriority w:val="0"/>
    <w:pPr>
      <w:widowControl/>
      <w:spacing w:before="100" w:beforeAutospacing="1" w:after="100" w:afterAutospacing="1" w:line="270" w:lineRule="atLeast"/>
      <w:jc w:val="left"/>
    </w:pPr>
    <w:rPr>
      <w:rFonts w:ascii="Arial Unicode MS" w:hAnsi="Arial Unicode MS" w:eastAsia="Arial Unicode MS"/>
      <w:color w:val="000000"/>
      <w:kern w:val="0"/>
      <w:sz w:val="18"/>
      <w:szCs w:val="20"/>
    </w:rPr>
  </w:style>
  <w:style w:type="paragraph" w:customStyle="1" w:styleId="1197">
    <w:name w:val="Body Text Indent 21"/>
    <w:basedOn w:val="1"/>
    <w:qFormat/>
    <w:uiPriority w:val="0"/>
    <w:pPr>
      <w:adjustRightInd w:val="0"/>
      <w:spacing w:after="120" w:line="480" w:lineRule="auto"/>
      <w:ind w:left="420"/>
      <w:textAlignment w:val="baseline"/>
    </w:pPr>
    <w:rPr>
      <w:rFonts w:hint="eastAsia" w:ascii="宋体" w:hAnsi="宋体"/>
      <w:sz w:val="24"/>
      <w:szCs w:val="20"/>
    </w:rPr>
  </w:style>
  <w:style w:type="paragraph" w:customStyle="1" w:styleId="1198">
    <w:name w:val="_Style 52"/>
    <w:basedOn w:val="1"/>
    <w:next w:val="70"/>
    <w:qFormat/>
    <w:uiPriority w:val="0"/>
    <w:pPr>
      <w:adjustRightInd w:val="0"/>
      <w:spacing w:after="120"/>
      <w:ind w:left="420" w:leftChars="200"/>
      <w:textAlignment w:val="baseline"/>
    </w:pPr>
    <w:rPr>
      <w:rFonts w:ascii="宋体" w:hAnsi="宋体"/>
      <w:sz w:val="16"/>
      <w:szCs w:val="20"/>
    </w:rPr>
  </w:style>
  <w:style w:type="paragraph" w:customStyle="1" w:styleId="1199">
    <w:name w:val="style2"/>
    <w:basedOn w:val="1"/>
    <w:qFormat/>
    <w:uiPriority w:val="0"/>
    <w:pPr>
      <w:widowControl/>
      <w:spacing w:before="100" w:beforeAutospacing="1" w:after="100" w:afterAutospacing="1"/>
      <w:jc w:val="left"/>
    </w:pPr>
    <w:rPr>
      <w:rFonts w:ascii="宋体" w:hAnsi="宋体"/>
      <w:color w:val="666666"/>
      <w:kern w:val="0"/>
      <w:sz w:val="24"/>
      <w:szCs w:val="20"/>
    </w:rPr>
  </w:style>
  <w:style w:type="paragraph" w:customStyle="1" w:styleId="1200">
    <w:name w:val="样式a"/>
    <w:basedOn w:val="1"/>
    <w:semiHidden/>
    <w:qFormat/>
    <w:uiPriority w:val="0"/>
    <w:pPr>
      <w:adjustRightInd w:val="0"/>
      <w:snapToGrid w:val="0"/>
      <w:spacing w:line="420" w:lineRule="exact"/>
      <w:ind w:firstLine="200" w:firstLineChars="200"/>
      <w:textAlignment w:val="baseline"/>
    </w:pPr>
    <w:rPr>
      <w:kern w:val="0"/>
      <w:sz w:val="24"/>
      <w:szCs w:val="20"/>
    </w:rPr>
  </w:style>
  <w:style w:type="paragraph" w:customStyle="1" w:styleId="1201">
    <w:name w:val="_Style 11"/>
    <w:basedOn w:val="1"/>
    <w:next w:val="70"/>
    <w:qFormat/>
    <w:uiPriority w:val="0"/>
    <w:pPr>
      <w:adjustRightInd w:val="0"/>
      <w:spacing w:after="120"/>
      <w:ind w:left="420" w:leftChars="200"/>
      <w:textAlignment w:val="baseline"/>
    </w:pPr>
    <w:rPr>
      <w:rFonts w:hint="eastAsia" w:hAnsi="宋体"/>
      <w:sz w:val="16"/>
      <w:szCs w:val="20"/>
    </w:rPr>
  </w:style>
  <w:style w:type="paragraph" w:customStyle="1" w:styleId="1202">
    <w:name w:val="标题 41"/>
    <w:basedOn w:val="1"/>
    <w:next w:val="1"/>
    <w:qFormat/>
    <w:uiPriority w:val="0"/>
    <w:pPr>
      <w:adjustRightInd w:val="0"/>
      <w:snapToGrid w:val="0"/>
      <w:textAlignment w:val="baseline"/>
    </w:pPr>
    <w:rPr>
      <w:rFonts w:hint="eastAsia" w:ascii="宋体" w:hAnsi="宋体"/>
      <w:sz w:val="32"/>
      <w:szCs w:val="20"/>
    </w:rPr>
  </w:style>
  <w:style w:type="paragraph" w:customStyle="1" w:styleId="1203">
    <w:name w:val="xl740"/>
    <w:basedOn w:val="1"/>
    <w:semiHidden/>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ourier New" w:hAnsi="Courier New" w:eastAsia="Arial Unicode MS"/>
      <w:kern w:val="0"/>
      <w:sz w:val="24"/>
      <w:szCs w:val="20"/>
    </w:rPr>
  </w:style>
  <w:style w:type="character" w:customStyle="1" w:styleId="1204">
    <w:name w:val="新正文 Char1"/>
    <w:qFormat/>
    <w:uiPriority w:val="0"/>
    <w:rPr>
      <w:rFonts w:ascii="仿宋_GB2312" w:eastAsia="仿宋_GB2312"/>
      <w:bCs/>
      <w:sz w:val="28"/>
      <w:lang w:val="en-US" w:eastAsia="zh-CN" w:bidi="ar-SA"/>
    </w:rPr>
  </w:style>
  <w:style w:type="paragraph" w:customStyle="1" w:styleId="1205">
    <w:name w:val="表格04"/>
    <w:basedOn w:val="1"/>
    <w:semiHidden/>
    <w:qFormat/>
    <w:uiPriority w:val="0"/>
    <w:pPr>
      <w:adjustRightInd w:val="0"/>
      <w:spacing w:line="360" w:lineRule="exact"/>
      <w:jc w:val="center"/>
      <w:textAlignment w:val="baseline"/>
    </w:pPr>
    <w:rPr>
      <w:snapToGrid w:val="0"/>
      <w:spacing w:val="-2"/>
      <w:kern w:val="0"/>
      <w:sz w:val="18"/>
      <w:szCs w:val="18"/>
    </w:rPr>
  </w:style>
  <w:style w:type="character" w:customStyle="1" w:styleId="1206">
    <w:name w:val="章 Char Char"/>
    <w:semiHidden/>
    <w:qFormat/>
    <w:uiPriority w:val="0"/>
    <w:rPr>
      <w:rFonts w:ascii="黑体" w:eastAsia="黑体"/>
      <w:b/>
      <w:bCs/>
      <w:kern w:val="44"/>
      <w:sz w:val="32"/>
      <w:szCs w:val="44"/>
      <w:lang w:val="en-US" w:eastAsia="zh-CN" w:bidi="ar-SA"/>
    </w:rPr>
  </w:style>
  <w:style w:type="paragraph" w:customStyle="1" w:styleId="1207">
    <w:name w:val="表号"/>
    <w:basedOn w:val="1"/>
    <w:semiHidden/>
    <w:qFormat/>
    <w:uiPriority w:val="0"/>
    <w:rPr>
      <w:szCs w:val="20"/>
    </w:rPr>
  </w:style>
  <w:style w:type="paragraph" w:customStyle="1" w:styleId="1208">
    <w:name w:val="样式一"/>
    <w:basedOn w:val="1"/>
    <w:qFormat/>
    <w:uiPriority w:val="0"/>
    <w:pPr>
      <w:tabs>
        <w:tab w:val="left" w:pos="720"/>
      </w:tabs>
      <w:spacing w:beforeLines="50" w:afterLines="50" w:line="300" w:lineRule="auto"/>
      <w:ind w:left="720" w:hanging="720"/>
    </w:pPr>
    <w:rPr>
      <w:rFonts w:eastAsia="黑体"/>
      <w:sz w:val="28"/>
    </w:rPr>
  </w:style>
  <w:style w:type="character" w:customStyle="1" w:styleId="1209">
    <w:name w:val="word21"/>
    <w:semiHidden/>
    <w:qFormat/>
    <w:uiPriority w:val="0"/>
    <w:rPr>
      <w:b/>
      <w:bCs/>
      <w:color w:val="0040A6"/>
      <w:spacing w:val="315"/>
      <w:sz w:val="20"/>
      <w:szCs w:val="20"/>
    </w:rPr>
  </w:style>
  <w:style w:type="character" w:customStyle="1" w:styleId="1210">
    <w:name w:val="product_all_main_text"/>
    <w:semiHidden/>
    <w:qFormat/>
    <w:uiPriority w:val="0"/>
  </w:style>
  <w:style w:type="character" w:customStyle="1" w:styleId="1211">
    <w:name w:val="title141"/>
    <w:semiHidden/>
    <w:qFormat/>
    <w:uiPriority w:val="0"/>
    <w:rPr>
      <w:sz w:val="18"/>
      <w:szCs w:val="18"/>
      <w:u w:val="none"/>
    </w:rPr>
  </w:style>
  <w:style w:type="character" w:customStyle="1" w:styleId="1212">
    <w:name w:val="f241"/>
    <w:qFormat/>
    <w:uiPriority w:val="0"/>
    <w:rPr>
      <w:sz w:val="29"/>
      <w:szCs w:val="29"/>
    </w:rPr>
  </w:style>
  <w:style w:type="character" w:customStyle="1" w:styleId="1213">
    <w:name w:val="javascript1"/>
    <w:semiHidden/>
    <w:qFormat/>
    <w:uiPriority w:val="0"/>
    <w:rPr>
      <w:rFonts w:hint="default" w:ascii="Tahoma" w:hAnsi="Tahoma" w:cs="Tahoma"/>
      <w:sz w:val="14"/>
      <w:szCs w:val="14"/>
    </w:rPr>
  </w:style>
  <w:style w:type="paragraph" w:customStyle="1" w:styleId="1214">
    <w:name w:val="标题B"/>
    <w:basedOn w:val="1"/>
    <w:semiHidden/>
    <w:qFormat/>
    <w:uiPriority w:val="0"/>
    <w:pPr>
      <w:spacing w:beforeLines="50" w:afterLines="50" w:line="420" w:lineRule="exact"/>
    </w:pPr>
    <w:rPr>
      <w:rFonts w:eastAsia="黑体"/>
      <w:sz w:val="32"/>
    </w:rPr>
  </w:style>
  <w:style w:type="character" w:customStyle="1" w:styleId="1215">
    <w:name w:val="px141"/>
    <w:qFormat/>
    <w:uiPriority w:val="0"/>
    <w:rPr>
      <w:sz w:val="21"/>
      <w:szCs w:val="21"/>
    </w:rPr>
  </w:style>
  <w:style w:type="character" w:customStyle="1" w:styleId="1216">
    <w:name w:val="px121"/>
    <w:semiHidden/>
    <w:qFormat/>
    <w:uiPriority w:val="0"/>
  </w:style>
  <w:style w:type="paragraph" w:customStyle="1" w:styleId="1217">
    <w:name w:val="Char33"/>
    <w:basedOn w:val="1"/>
    <w:qFormat/>
    <w:uiPriority w:val="0"/>
    <w:pPr>
      <w:spacing w:line="240" w:lineRule="exact"/>
      <w:ind w:firstLine="200" w:firstLineChars="200"/>
    </w:pPr>
    <w:rPr>
      <w:sz w:val="28"/>
      <w:szCs w:val="28"/>
    </w:rPr>
  </w:style>
  <w:style w:type="paragraph" w:customStyle="1" w:styleId="1218">
    <w:name w:val="课题申报正文"/>
    <w:basedOn w:val="1"/>
    <w:semiHidden/>
    <w:qFormat/>
    <w:uiPriority w:val="0"/>
    <w:pPr>
      <w:spacing w:line="400" w:lineRule="exact"/>
      <w:ind w:right="57" w:firstLine="200" w:firstLineChars="200"/>
    </w:pPr>
    <w:rPr>
      <w:sz w:val="24"/>
      <w:szCs w:val="20"/>
    </w:rPr>
  </w:style>
  <w:style w:type="paragraph" w:customStyle="1" w:styleId="1219">
    <w:name w:val="样式 标题 3小标题小节标题条标题1.1.1H3BOD 0Heading 3 - oldLevel 3 Head..."/>
    <w:basedOn w:val="6"/>
    <w:semiHidden/>
    <w:qFormat/>
    <w:uiPriority w:val="0"/>
    <w:pPr>
      <w:tabs>
        <w:tab w:val="left" w:pos="1129"/>
      </w:tabs>
      <w:spacing w:beforeLines="50" w:afterLines="50" w:line="300" w:lineRule="auto"/>
      <w:ind w:left="1129" w:hanging="709"/>
    </w:pPr>
    <w:rPr>
      <w:rFonts w:ascii="仿宋_GB2312"/>
      <w:sz w:val="28"/>
      <w:szCs w:val="20"/>
    </w:rPr>
  </w:style>
  <w:style w:type="paragraph" w:customStyle="1" w:styleId="1220">
    <w:name w:val="PP 行"/>
    <w:basedOn w:val="58"/>
    <w:semiHidden/>
    <w:qFormat/>
    <w:uiPriority w:val="0"/>
    <w:rPr>
      <w:rFonts w:eastAsia="仿宋_GB2312"/>
      <w:sz w:val="28"/>
    </w:rPr>
  </w:style>
  <w:style w:type="character" w:customStyle="1" w:styleId="1221">
    <w:name w:val="签名 Char"/>
    <w:link w:val="58"/>
    <w:qFormat/>
    <w:uiPriority w:val="0"/>
    <w:rPr>
      <w:rFonts w:ascii="Times New Roman" w:hAnsi="Times New Roman" w:eastAsia="宋体" w:cs="Times New Roman"/>
      <w:szCs w:val="24"/>
    </w:rPr>
  </w:style>
  <w:style w:type="paragraph" w:customStyle="1" w:styleId="1222">
    <w:name w:val="表的正文"/>
    <w:basedOn w:val="1"/>
    <w:semiHidden/>
    <w:qFormat/>
    <w:uiPriority w:val="0"/>
    <w:pPr>
      <w:spacing w:line="400" w:lineRule="atLeast"/>
      <w:ind w:left="100" w:leftChars="100" w:right="100" w:rightChars="100" w:firstLine="482"/>
    </w:pPr>
    <w:rPr>
      <w:rFonts w:hint="eastAsia" w:ascii="仿宋_GB2312" w:hAnsi="宋体" w:eastAsia="仿宋_GB2312"/>
      <w:sz w:val="24"/>
      <w:szCs w:val="20"/>
    </w:rPr>
  </w:style>
  <w:style w:type="character" w:customStyle="1" w:styleId="1223">
    <w:name w:val="small14"/>
    <w:semiHidden/>
    <w:qFormat/>
    <w:uiPriority w:val="0"/>
  </w:style>
  <w:style w:type="character" w:customStyle="1" w:styleId="1224">
    <w:name w:val="d1"/>
    <w:semiHidden/>
    <w:qFormat/>
    <w:uiPriority w:val="0"/>
    <w:rPr>
      <w:color w:val="333333"/>
      <w:spacing w:val="31680"/>
    </w:rPr>
  </w:style>
  <w:style w:type="paragraph" w:customStyle="1" w:styleId="1225">
    <w:name w:val="三级标题"/>
    <w:basedOn w:val="1"/>
    <w:semiHidden/>
    <w:qFormat/>
    <w:uiPriority w:val="0"/>
    <w:pPr>
      <w:keepNext/>
      <w:widowControl/>
      <w:spacing w:beforeLines="150" w:line="360" w:lineRule="auto"/>
      <w:outlineLvl w:val="2"/>
    </w:pPr>
    <w:rPr>
      <w:rFonts w:ascii="黑体" w:hAnsi="宋体" w:eastAsia="黑体"/>
      <w:b/>
      <w:bCs/>
      <w:spacing w:val="16"/>
      <w:sz w:val="30"/>
      <w:szCs w:val="30"/>
    </w:rPr>
  </w:style>
  <w:style w:type="paragraph" w:customStyle="1" w:styleId="1226">
    <w:name w:val="一级标题"/>
    <w:basedOn w:val="1"/>
    <w:semiHidden/>
    <w:qFormat/>
    <w:uiPriority w:val="0"/>
    <w:pPr>
      <w:spacing w:line="320" w:lineRule="exact"/>
    </w:pPr>
    <w:rPr>
      <w:sz w:val="24"/>
    </w:rPr>
  </w:style>
  <w:style w:type="character" w:customStyle="1" w:styleId="1227">
    <w:name w:val="item21"/>
    <w:semiHidden/>
    <w:qFormat/>
    <w:uiPriority w:val="0"/>
    <w:rPr>
      <w:color w:val="000000"/>
      <w:sz w:val="18"/>
      <w:szCs w:val="18"/>
    </w:rPr>
  </w:style>
  <w:style w:type="paragraph" w:customStyle="1" w:styleId="1228">
    <w:name w:val="正文小四 标准"/>
    <w:basedOn w:val="1"/>
    <w:semiHidden/>
    <w:qFormat/>
    <w:uiPriority w:val="0"/>
    <w:pPr>
      <w:spacing w:beforeLines="50" w:afterLines="50" w:line="360" w:lineRule="auto"/>
      <w:ind w:firstLine="480" w:firstLineChars="200"/>
    </w:pPr>
    <w:rPr>
      <w:sz w:val="24"/>
      <w:szCs w:val="20"/>
    </w:rPr>
  </w:style>
  <w:style w:type="character" w:customStyle="1" w:styleId="1229">
    <w:name w:val="正文小四 标准 Char"/>
    <w:semiHidden/>
    <w:qFormat/>
    <w:uiPriority w:val="0"/>
    <w:rPr>
      <w:rFonts w:eastAsia="宋体" w:cs="宋体"/>
      <w:kern w:val="2"/>
      <w:sz w:val="24"/>
      <w:lang w:val="en-US" w:eastAsia="zh-CN" w:bidi="ar-SA"/>
    </w:rPr>
  </w:style>
  <w:style w:type="character" w:customStyle="1" w:styleId="1230">
    <w:name w:val="正文(首行缩进) Char"/>
    <w:link w:val="290"/>
    <w:qFormat/>
    <w:uiPriority w:val="0"/>
    <w:rPr>
      <w:rFonts w:ascii="Times New Roman" w:hAnsi="Times New Roman" w:eastAsia="宋体" w:cs="Times New Roman"/>
      <w:color w:val="000000"/>
      <w:sz w:val="24"/>
      <w:szCs w:val="24"/>
    </w:rPr>
  </w:style>
  <w:style w:type="character" w:customStyle="1" w:styleId="1231">
    <w:name w:val="节标题 Char Char"/>
    <w:semiHidden/>
    <w:qFormat/>
    <w:uiPriority w:val="0"/>
    <w:rPr>
      <w:rFonts w:ascii="黑体" w:hAnsi="Arial" w:eastAsia="黑体"/>
      <w:b/>
      <w:bCs/>
      <w:kern w:val="2"/>
      <w:sz w:val="28"/>
      <w:szCs w:val="32"/>
      <w:lang w:val="en-US" w:eastAsia="zh-CN" w:bidi="ar-SA"/>
    </w:rPr>
  </w:style>
  <w:style w:type="character" w:customStyle="1" w:styleId="1232">
    <w:name w:val="f14b1"/>
    <w:semiHidden/>
    <w:qFormat/>
    <w:uiPriority w:val="0"/>
    <w:rPr>
      <w:b/>
      <w:bCs/>
      <w:sz w:val="21"/>
      <w:szCs w:val="21"/>
    </w:rPr>
  </w:style>
  <w:style w:type="character" w:customStyle="1" w:styleId="1233">
    <w:name w:val="表、图名 Char"/>
    <w:link w:val="1092"/>
    <w:qFormat/>
    <w:uiPriority w:val="0"/>
    <w:rPr>
      <w:rFonts w:ascii="黑体" w:hAnsi="宋体" w:eastAsia="黑体" w:cs="黑体"/>
      <w:b/>
      <w:bCs/>
      <w:szCs w:val="21"/>
    </w:rPr>
  </w:style>
  <w:style w:type="character" w:customStyle="1" w:styleId="1234">
    <w:name w:val="hilite12"/>
    <w:semiHidden/>
    <w:qFormat/>
    <w:uiPriority w:val="0"/>
    <w:rPr>
      <w:color w:val="000000"/>
      <w:shd w:val="clear" w:color="auto" w:fill="FFFF66"/>
    </w:rPr>
  </w:style>
  <w:style w:type="character" w:customStyle="1" w:styleId="1235">
    <w:name w:val="谏壁chen表格内文字 Char"/>
    <w:link w:val="1105"/>
    <w:semiHidden/>
    <w:qFormat/>
    <w:uiPriority w:val="0"/>
    <w:rPr>
      <w:rFonts w:ascii="Times New Roman" w:hAnsi="Times New Roman" w:eastAsia="宋体" w:cs="Times New Roman"/>
      <w:szCs w:val="21"/>
    </w:rPr>
  </w:style>
  <w:style w:type="paragraph" w:customStyle="1" w:styleId="1236">
    <w:name w:val="表体宋旭峰"/>
    <w:basedOn w:val="1"/>
    <w:qFormat/>
    <w:uiPriority w:val="0"/>
    <w:pPr>
      <w:overflowPunct w:val="0"/>
      <w:spacing w:line="360" w:lineRule="auto"/>
      <w:jc w:val="center"/>
      <w:textAlignment w:val="baseline"/>
    </w:pPr>
    <w:rPr>
      <w:rFonts w:ascii="宋体" w:hAnsi="宋体" w:cs="Courier New"/>
      <w:snapToGrid w:val="0"/>
      <w:spacing w:val="-20"/>
      <w:kern w:val="0"/>
      <w:szCs w:val="21"/>
    </w:rPr>
  </w:style>
  <w:style w:type="paragraph" w:customStyle="1" w:styleId="1237">
    <w:name w:val="CM77"/>
    <w:basedOn w:val="165"/>
    <w:next w:val="165"/>
    <w:semiHidden/>
    <w:qFormat/>
    <w:uiPriority w:val="0"/>
    <w:pPr>
      <w:spacing w:after="205"/>
    </w:pPr>
    <w:rPr>
      <w:rFonts w:ascii="IINFIO+TimesNewRoman" w:eastAsia="IINFIO+TimesNewRoman"/>
      <w:color w:val="auto"/>
    </w:rPr>
  </w:style>
  <w:style w:type="character" w:customStyle="1" w:styleId="1238">
    <w:name w:val="样式2 Char"/>
    <w:link w:val="507"/>
    <w:qFormat/>
    <w:uiPriority w:val="0"/>
    <w:rPr>
      <w:rFonts w:ascii="黑体" w:hAnsi="Times New Roman" w:eastAsia="黑体" w:cs="Times New Roman"/>
      <w:sz w:val="30"/>
      <w:szCs w:val="24"/>
    </w:rPr>
  </w:style>
  <w:style w:type="paragraph" w:customStyle="1" w:styleId="1239">
    <w:name w:val="pvc1.1"/>
    <w:basedOn w:val="5"/>
    <w:next w:val="5"/>
    <w:semiHidden/>
    <w:qFormat/>
    <w:uiPriority w:val="0"/>
    <w:pPr>
      <w:numPr>
        <w:numId w:val="0"/>
      </w:numPr>
      <w:tabs>
        <w:tab w:val="left" w:pos="576"/>
        <w:tab w:val="left" w:pos="768"/>
      </w:tabs>
      <w:spacing w:beforeLines="100" w:afterLines="100" w:line="324" w:lineRule="auto"/>
      <w:ind w:left="576" w:hanging="576"/>
    </w:pPr>
    <w:rPr>
      <w:rFonts w:ascii="黑体" w:hAnsi="Arial" w:eastAsia="华文中宋" w:cs="宋体"/>
      <w:b/>
      <w:bCs w:val="0"/>
      <w:sz w:val="44"/>
      <w:szCs w:val="44"/>
    </w:rPr>
  </w:style>
  <w:style w:type="paragraph" w:customStyle="1" w:styleId="1240">
    <w:name w:val="T1"/>
    <w:basedOn w:val="4"/>
    <w:semiHidden/>
    <w:qFormat/>
    <w:uiPriority w:val="0"/>
    <w:pPr>
      <w:keepLines w:val="0"/>
      <w:spacing w:line="720" w:lineRule="auto"/>
    </w:pPr>
    <w:rPr>
      <w:b/>
      <w:bCs w:val="0"/>
      <w:kern w:val="2"/>
      <w:sz w:val="32"/>
      <w:szCs w:val="32"/>
    </w:rPr>
  </w:style>
  <w:style w:type="paragraph" w:customStyle="1" w:styleId="1241">
    <w:name w:val="T2"/>
    <w:basedOn w:val="5"/>
    <w:semiHidden/>
    <w:qFormat/>
    <w:uiPriority w:val="0"/>
    <w:pPr>
      <w:keepLines w:val="0"/>
      <w:spacing w:line="600" w:lineRule="auto"/>
    </w:pPr>
    <w:rPr>
      <w:b/>
      <w:bCs w:val="0"/>
      <w:sz w:val="28"/>
      <w:szCs w:val="30"/>
    </w:rPr>
  </w:style>
  <w:style w:type="paragraph" w:customStyle="1" w:styleId="1242">
    <w:name w:val="T3"/>
    <w:basedOn w:val="6"/>
    <w:semiHidden/>
    <w:qFormat/>
    <w:uiPriority w:val="0"/>
    <w:pPr>
      <w:keepLines w:val="0"/>
      <w:spacing w:line="480" w:lineRule="auto"/>
      <w:jc w:val="left"/>
    </w:pPr>
    <w:rPr>
      <w:b/>
      <w:sz w:val="24"/>
      <w:szCs w:val="28"/>
    </w:rPr>
  </w:style>
  <w:style w:type="paragraph" w:customStyle="1" w:styleId="1243">
    <w:name w:val="tu"/>
    <w:basedOn w:val="73"/>
    <w:semiHidden/>
    <w:qFormat/>
    <w:uiPriority w:val="0"/>
    <w:pPr>
      <w:ind w:left="0" w:firstLine="0"/>
      <w:jc w:val="center"/>
    </w:pPr>
    <w:rPr>
      <w:b/>
      <w:smallCaps w:val="0"/>
      <w:sz w:val="28"/>
      <w:szCs w:val="24"/>
    </w:rPr>
  </w:style>
  <w:style w:type="table" w:customStyle="1" w:styleId="1244">
    <w:name w:val="三线表"/>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shd w:val="clear" w:color="auto" w:fill="auto"/>
      <w:vAlign w:val="center"/>
    </w:tcPr>
  </w:style>
  <w:style w:type="paragraph" w:customStyle="1" w:styleId="1245">
    <w:name w:val="T4"/>
    <w:basedOn w:val="7"/>
    <w:link w:val="1246"/>
    <w:semiHidden/>
    <w:qFormat/>
    <w:uiPriority w:val="0"/>
  </w:style>
  <w:style w:type="character" w:customStyle="1" w:styleId="1246">
    <w:name w:val="T4 Char"/>
    <w:link w:val="1245"/>
    <w:semiHidden/>
    <w:qFormat/>
    <w:uiPriority w:val="0"/>
    <w:rPr>
      <w:rFonts w:ascii="Times New Roman" w:hAnsi="Times New Roman" w:eastAsia="黑体"/>
      <w:bCs/>
      <w:kern w:val="2"/>
      <w:sz w:val="28"/>
      <w:szCs w:val="28"/>
    </w:rPr>
  </w:style>
  <w:style w:type="paragraph" w:customStyle="1" w:styleId="1247">
    <w:name w:val="样式 表格 + 黑色"/>
    <w:basedOn w:val="1"/>
    <w:link w:val="1248"/>
    <w:semiHidden/>
    <w:qFormat/>
    <w:uiPriority w:val="0"/>
    <w:pPr>
      <w:adjustRightInd w:val="0"/>
      <w:snapToGrid w:val="0"/>
      <w:jc w:val="center"/>
    </w:pPr>
    <w:rPr>
      <w:snapToGrid w:val="0"/>
      <w:color w:val="000000"/>
      <w:spacing w:val="-4"/>
      <w:kern w:val="0"/>
      <w:szCs w:val="21"/>
    </w:rPr>
  </w:style>
  <w:style w:type="character" w:customStyle="1" w:styleId="1248">
    <w:name w:val="样式 表格 + 黑色 Char"/>
    <w:link w:val="1247"/>
    <w:semiHidden/>
    <w:qFormat/>
    <w:uiPriority w:val="0"/>
    <w:rPr>
      <w:rFonts w:ascii="Times New Roman" w:hAnsi="Times New Roman" w:eastAsia="宋体" w:cs="Times New Roman"/>
      <w:snapToGrid w:val="0"/>
      <w:color w:val="000000"/>
      <w:spacing w:val="-4"/>
      <w:kern w:val="0"/>
      <w:szCs w:val="21"/>
    </w:rPr>
  </w:style>
  <w:style w:type="paragraph" w:customStyle="1" w:styleId="1249">
    <w:name w:val="表内式样"/>
    <w:qFormat/>
    <w:uiPriority w:val="0"/>
    <w:pPr>
      <w:widowControl w:val="0"/>
      <w:jc w:val="center"/>
    </w:pPr>
    <w:rPr>
      <w:rFonts w:ascii="Times New Roman" w:hAnsi="Times New Roman" w:eastAsia="宋体" w:cs="Times New Roman"/>
      <w:kern w:val="2"/>
      <w:sz w:val="21"/>
      <w:szCs w:val="24"/>
      <w:lang w:val="en-US" w:eastAsia="zh-CN" w:bidi="ar-SA"/>
    </w:rPr>
  </w:style>
  <w:style w:type="character" w:customStyle="1" w:styleId="1250">
    <w:name w:val="p9"/>
    <w:semiHidden/>
    <w:qFormat/>
    <w:uiPriority w:val="0"/>
  </w:style>
  <w:style w:type="paragraph" w:customStyle="1" w:styleId="1251">
    <w:name w:val="B"/>
    <w:basedOn w:val="66"/>
    <w:semiHidden/>
    <w:qFormat/>
    <w:uiPriority w:val="0"/>
    <w:pPr>
      <w:numPr>
        <w:ilvl w:val="0"/>
        <w:numId w:val="6"/>
      </w:numPr>
      <w:tabs>
        <w:tab w:val="clear" w:pos="0"/>
      </w:tabs>
      <w:spacing w:beforeLines="20" w:afterLines="20" w:line="240" w:lineRule="auto"/>
      <w:ind w:left="0" w:firstLine="0"/>
      <w:jc w:val="center"/>
    </w:pPr>
    <w:rPr>
      <w:b/>
      <w:sz w:val="21"/>
      <w:szCs w:val="21"/>
    </w:rPr>
  </w:style>
  <w:style w:type="character" w:customStyle="1" w:styleId="1252">
    <w:name w:val="批注引用 Char"/>
    <w:qFormat/>
    <w:uiPriority w:val="0"/>
    <w:rPr>
      <w:rFonts w:hint="eastAsia" w:ascii="Times New Roman" w:eastAsia="宋体"/>
      <w:color w:val="000000"/>
      <w:spacing w:val="0"/>
      <w:w w:val="100"/>
      <w:sz w:val="21"/>
      <w:u w:val="none" w:color="000000"/>
      <w:vertAlign w:val="baseline"/>
      <w:lang w:val="en-US" w:eastAsia="zh-CN"/>
    </w:rPr>
  </w:style>
  <w:style w:type="character" w:customStyle="1" w:styleId="1253">
    <w:name w:val="链接"/>
    <w:qFormat/>
    <w:uiPriority w:val="0"/>
    <w:rPr>
      <w:rFonts w:hint="eastAsia"/>
      <w:color w:val="0000FF"/>
      <w:sz w:val="21"/>
      <w:u w:val="single" w:color="0000FF"/>
      <w:lang w:val="en-US" w:eastAsia="zh-CN"/>
    </w:rPr>
  </w:style>
  <w:style w:type="paragraph" w:customStyle="1" w:styleId="1254">
    <w:name w:val="表注"/>
    <w:next w:val="1"/>
    <w:link w:val="2894"/>
    <w:qFormat/>
    <w:uiPriority w:val="0"/>
    <w:pPr>
      <w:ind w:firstLine="200" w:firstLineChars="200"/>
    </w:pPr>
    <w:rPr>
      <w:rFonts w:ascii="Times New Roman" w:hAnsi="Times New Roman" w:eastAsia="楷体_GB2312" w:cs="Times New Roman"/>
      <w:sz w:val="21"/>
      <w:lang w:val="en-US" w:eastAsia="zh-CN" w:bidi="ar-SA"/>
    </w:rPr>
  </w:style>
  <w:style w:type="paragraph" w:customStyle="1" w:styleId="1255">
    <w:name w:val="样式 样式 样式 样式 样式 样式 样式 样式 样式 表标题 + 左侧:  0 厘米 悬挂缩进: 2.27 字符 段前: 7.8..."/>
    <w:basedOn w:val="1"/>
    <w:semiHidden/>
    <w:qFormat/>
    <w:uiPriority w:val="0"/>
    <w:pPr>
      <w:adjustRightInd w:val="0"/>
      <w:snapToGrid w:val="0"/>
      <w:spacing w:before="140" w:afterLines="20" w:line="420" w:lineRule="exact"/>
      <w:jc w:val="center"/>
    </w:pPr>
    <w:rPr>
      <w:rFonts w:cs="宋体"/>
      <w:b/>
      <w:bCs/>
      <w:color w:val="000000"/>
      <w:szCs w:val="20"/>
    </w:rPr>
  </w:style>
  <w:style w:type="paragraph" w:customStyle="1" w:styleId="1256">
    <w:name w:val="样式 B + 宋体"/>
    <w:basedOn w:val="202"/>
    <w:link w:val="1257"/>
    <w:semiHidden/>
    <w:qFormat/>
    <w:uiPriority w:val="0"/>
    <w:pPr>
      <w:adjustRightInd w:val="0"/>
      <w:snapToGrid w:val="0"/>
      <w:spacing w:line="240" w:lineRule="auto"/>
      <w:textAlignment w:val="baseline"/>
    </w:pPr>
    <w:rPr>
      <w:rFonts w:ascii="宋体" w:hAnsi="宋体" w:eastAsia="宋体"/>
      <w:b/>
      <w:bCs/>
      <w:spacing w:val="0"/>
      <w:szCs w:val="20"/>
    </w:rPr>
  </w:style>
  <w:style w:type="character" w:customStyle="1" w:styleId="1257">
    <w:name w:val="样式 B + 宋体 Char"/>
    <w:link w:val="1256"/>
    <w:semiHidden/>
    <w:qFormat/>
    <w:uiPriority w:val="0"/>
    <w:rPr>
      <w:rFonts w:ascii="宋体" w:hAnsi="宋体" w:eastAsia="宋体" w:cs="Times New Roman"/>
      <w:b/>
      <w:bCs/>
      <w:kern w:val="0"/>
      <w:szCs w:val="20"/>
    </w:rPr>
  </w:style>
  <w:style w:type="paragraph" w:customStyle="1" w:styleId="1258">
    <w:name w:val="环评正文1"/>
    <w:basedOn w:val="143"/>
    <w:qFormat/>
    <w:uiPriority w:val="0"/>
    <w:pPr>
      <w:widowControl w:val="0"/>
      <w:spacing w:line="500" w:lineRule="exact"/>
      <w:ind w:firstLine="0" w:firstLineChars="0"/>
      <w:jc w:val="both"/>
    </w:pPr>
    <w:rPr>
      <w:rFonts w:ascii="仿宋_GB2312" w:eastAsia="仿宋_GB2312"/>
      <w:bCs w:val="0"/>
      <w:sz w:val="28"/>
      <w:szCs w:val="20"/>
    </w:rPr>
  </w:style>
  <w:style w:type="character" w:customStyle="1" w:styleId="1259">
    <w:name w:val="f3"/>
    <w:qFormat/>
    <w:uiPriority w:val="0"/>
  </w:style>
  <w:style w:type="paragraph" w:customStyle="1" w:styleId="1260">
    <w:name w:val="正文文本2"/>
    <w:basedOn w:val="1"/>
    <w:qFormat/>
    <w:uiPriority w:val="0"/>
    <w:pPr>
      <w:spacing w:after="120"/>
    </w:pPr>
    <w:rPr>
      <w:rFonts w:hint="eastAsia"/>
      <w:szCs w:val="20"/>
    </w:rPr>
  </w:style>
  <w:style w:type="paragraph" w:customStyle="1" w:styleId="1261">
    <w:name w:val="列表2"/>
    <w:basedOn w:val="1"/>
    <w:semiHidden/>
    <w:qFormat/>
    <w:uiPriority w:val="0"/>
    <w:pPr>
      <w:spacing w:line="360" w:lineRule="exact"/>
      <w:jc w:val="center"/>
    </w:pPr>
    <w:rPr>
      <w:rFonts w:hint="eastAsia" w:eastAsia="仿宋_GB2312"/>
      <w:sz w:val="24"/>
      <w:szCs w:val="20"/>
    </w:rPr>
  </w:style>
  <w:style w:type="paragraph" w:customStyle="1" w:styleId="1262">
    <w:name w:val="正文A"/>
    <w:semiHidden/>
    <w:qFormat/>
    <w:uiPriority w:val="0"/>
    <w:pPr>
      <w:tabs>
        <w:tab w:val="left" w:pos="0"/>
      </w:tabs>
      <w:adjustRightInd w:val="0"/>
      <w:spacing w:line="360" w:lineRule="auto"/>
      <w:ind w:firstLine="482"/>
      <w:jc w:val="both"/>
    </w:pPr>
    <w:rPr>
      <w:rFonts w:ascii="Times New Roman" w:hAnsi="Times New Roman" w:eastAsia="宋体" w:cs="Times New Roman"/>
      <w:snapToGrid w:val="0"/>
      <w:sz w:val="24"/>
      <w:lang w:val="en-US" w:eastAsia="zh-CN" w:bidi="ar-SA"/>
    </w:rPr>
  </w:style>
  <w:style w:type="paragraph" w:customStyle="1" w:styleId="1263">
    <w:name w:val="题1"/>
    <w:basedOn w:val="4"/>
    <w:link w:val="1692"/>
    <w:semiHidden/>
    <w:qFormat/>
    <w:uiPriority w:val="0"/>
    <w:pPr>
      <w:spacing w:beforeLines="50" w:afterLines="50" w:line="360" w:lineRule="auto"/>
    </w:pPr>
    <w:rPr>
      <w:b/>
      <w:sz w:val="32"/>
      <w:szCs w:val="32"/>
    </w:rPr>
  </w:style>
  <w:style w:type="character" w:customStyle="1" w:styleId="1264">
    <w:name w:val="题2 Char"/>
    <w:link w:val="1182"/>
    <w:qFormat/>
    <w:uiPriority w:val="0"/>
    <w:rPr>
      <w:rFonts w:ascii="Times New Roman" w:hAnsi="Times New Roman" w:eastAsia="黑体"/>
      <w:snapToGrid w:val="0"/>
      <w:kern w:val="2"/>
      <w:sz w:val="32"/>
    </w:rPr>
  </w:style>
  <w:style w:type="paragraph" w:customStyle="1" w:styleId="1265">
    <w:name w:val="题3"/>
    <w:basedOn w:val="6"/>
    <w:link w:val="1694"/>
    <w:semiHidden/>
    <w:qFormat/>
    <w:uiPriority w:val="0"/>
    <w:pPr>
      <w:spacing w:beforeLines="50" w:afterLines="50"/>
    </w:pPr>
    <w:rPr>
      <w:b/>
      <w:bCs w:val="0"/>
      <w:sz w:val="28"/>
      <w:szCs w:val="24"/>
    </w:rPr>
  </w:style>
  <w:style w:type="paragraph" w:customStyle="1" w:styleId="1266">
    <w:name w:val="样式 目录 1 + 行距: 最小值 12 磅1"/>
    <w:basedOn w:val="59"/>
    <w:semiHidden/>
    <w:qFormat/>
    <w:uiPriority w:val="0"/>
    <w:pPr>
      <w:tabs>
        <w:tab w:val="right" w:leader="dot" w:pos="8296"/>
        <w:tab w:val="left" w:leader="dot" w:pos="8461"/>
        <w:tab w:val="right" w:leader="dot" w:pos="9100"/>
        <w:tab w:val="clear" w:pos="8302"/>
      </w:tabs>
      <w:adjustRightInd w:val="0"/>
      <w:snapToGrid w:val="0"/>
      <w:spacing w:before="0" w:after="0" w:line="500" w:lineRule="atLeast"/>
    </w:pPr>
    <w:rPr>
      <w:rFonts w:ascii="Times New Roman" w:hAnsi="Times New Roman"/>
      <w:caps w:val="0"/>
      <w:sz w:val="24"/>
      <w:szCs w:val="20"/>
    </w:rPr>
  </w:style>
  <w:style w:type="paragraph" w:customStyle="1" w:styleId="1267">
    <w:name w:val="样式 正文文本缩进 2 + 首行缩进:  2 字符"/>
    <w:basedOn w:val="51"/>
    <w:semiHidden/>
    <w:qFormat/>
    <w:uiPriority w:val="0"/>
    <w:pPr>
      <w:spacing w:after="0" w:line="480" w:lineRule="exact"/>
      <w:ind w:left="0" w:leftChars="0" w:firstLine="560" w:firstLineChars="200"/>
    </w:pPr>
    <w:rPr>
      <w:rFonts w:cs="宋体"/>
      <w:kern w:val="10"/>
      <w:sz w:val="28"/>
      <w:szCs w:val="20"/>
    </w:rPr>
  </w:style>
  <w:style w:type="paragraph" w:customStyle="1" w:styleId="1268">
    <w:name w:val="样式 标题 4 + 黑色 左侧:  -0.01 厘米 首行缩进:  0.01 厘米"/>
    <w:basedOn w:val="7"/>
    <w:semiHidden/>
    <w:qFormat/>
    <w:uiPriority w:val="0"/>
    <w:pPr>
      <w:numPr>
        <w:numId w:val="0"/>
      </w:numPr>
      <w:tabs>
        <w:tab w:val="left" w:pos="1080"/>
      </w:tabs>
      <w:spacing w:line="312" w:lineRule="auto"/>
      <w:ind w:left="864" w:hanging="864"/>
    </w:pPr>
    <w:rPr>
      <w:rFonts w:ascii="仿宋_GB2312" w:eastAsia="仿宋_GB2312" w:cs="宋体"/>
      <w:b/>
      <w:bCs w:val="0"/>
      <w:color w:val="000000"/>
      <w:szCs w:val="20"/>
    </w:rPr>
  </w:style>
  <w:style w:type="paragraph" w:customStyle="1" w:styleId="1269">
    <w:name w:val="样式 居中"/>
    <w:basedOn w:val="1"/>
    <w:link w:val="1270"/>
    <w:qFormat/>
    <w:uiPriority w:val="0"/>
    <w:pPr>
      <w:ind w:left="179" w:leftChars="38" w:hanging="88"/>
      <w:jc w:val="center"/>
    </w:pPr>
    <w:rPr>
      <w:rFonts w:cs="宋体"/>
      <w:kern w:val="10"/>
      <w:sz w:val="24"/>
    </w:rPr>
  </w:style>
  <w:style w:type="character" w:customStyle="1" w:styleId="1270">
    <w:name w:val="样式 居中 Char"/>
    <w:link w:val="1269"/>
    <w:qFormat/>
    <w:uiPriority w:val="0"/>
    <w:rPr>
      <w:rFonts w:ascii="Times New Roman" w:hAnsi="Times New Roman" w:eastAsia="宋体" w:cs="宋体"/>
      <w:kern w:val="10"/>
      <w:sz w:val="24"/>
      <w:szCs w:val="24"/>
    </w:rPr>
  </w:style>
  <w:style w:type="character" w:customStyle="1" w:styleId="1271">
    <w:name w:val="正文（首行缩进两字） Char Char Char Char Char Char Char Char Char Char Char Char Char"/>
    <w:semiHidden/>
    <w:qFormat/>
    <w:uiPriority w:val="0"/>
    <w:rPr>
      <w:rFonts w:ascii="仿宋_GB2312" w:eastAsia="仿宋_GB2312"/>
      <w:color w:val="000000"/>
      <w:kern w:val="2"/>
      <w:sz w:val="28"/>
      <w:szCs w:val="24"/>
      <w:lang w:val="en-US" w:eastAsia="zh-CN" w:bidi="ar-SA"/>
    </w:rPr>
  </w:style>
  <w:style w:type="paragraph" w:customStyle="1" w:styleId="1272">
    <w:name w:val="样式11"/>
    <w:basedOn w:val="1"/>
    <w:qFormat/>
    <w:uiPriority w:val="0"/>
    <w:pPr>
      <w:numPr>
        <w:ilvl w:val="2"/>
        <w:numId w:val="7"/>
      </w:numPr>
      <w:adjustRightInd w:val="0"/>
      <w:snapToGrid w:val="0"/>
      <w:spacing w:line="312" w:lineRule="auto"/>
    </w:pPr>
    <w:rPr>
      <w:rFonts w:ascii="仿宋_GB2312" w:eastAsia="仿宋_GB2312"/>
      <w:sz w:val="28"/>
    </w:rPr>
  </w:style>
  <w:style w:type="paragraph" w:customStyle="1" w:styleId="1273">
    <w:name w:val="样式 标题 2节 + 段前: 1 行 段后: 0.5 行1"/>
    <w:basedOn w:val="1"/>
    <w:semiHidden/>
    <w:qFormat/>
    <w:uiPriority w:val="0"/>
    <w:pPr>
      <w:numPr>
        <w:ilvl w:val="1"/>
        <w:numId w:val="8"/>
      </w:numPr>
    </w:pPr>
  </w:style>
  <w:style w:type="character" w:customStyle="1" w:styleId="1274">
    <w:name w:val="pt14"/>
    <w:semiHidden/>
    <w:qFormat/>
    <w:uiPriority w:val="0"/>
  </w:style>
  <w:style w:type="character" w:customStyle="1" w:styleId="1275">
    <w:name w:val="正文（首行缩进两字） Char Char Char Char Char Char Char1"/>
    <w:qFormat/>
    <w:uiPriority w:val="0"/>
    <w:rPr>
      <w:rFonts w:ascii="仿宋_GB2312" w:eastAsia="仿宋_GB2312"/>
      <w:color w:val="000000"/>
      <w:kern w:val="2"/>
      <w:sz w:val="28"/>
      <w:szCs w:val="24"/>
      <w:lang w:val="en-US" w:eastAsia="zh-CN" w:bidi="ar-SA"/>
    </w:rPr>
  </w:style>
  <w:style w:type="character" w:customStyle="1" w:styleId="1276">
    <w:name w:val="3xi"/>
    <w:semiHidden/>
    <w:qFormat/>
    <w:uiPriority w:val="0"/>
  </w:style>
  <w:style w:type="paragraph" w:customStyle="1" w:styleId="1277">
    <w:name w:val="3xi1"/>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1278">
    <w:name w:val="Char Char Char Char Char Char Char Char Char1 Char Char Char"/>
    <w:basedOn w:val="1"/>
    <w:semiHidden/>
    <w:qFormat/>
    <w:uiPriority w:val="0"/>
    <w:rPr>
      <w:sz w:val="24"/>
    </w:rPr>
  </w:style>
  <w:style w:type="paragraph" w:customStyle="1" w:styleId="1279">
    <w:name w:val="样式 正文缩进表格标题文本条款正文（首行缩进两字） Char Char Char Char Char Char Char..."/>
    <w:basedOn w:val="22"/>
    <w:semiHidden/>
    <w:qFormat/>
    <w:uiPriority w:val="0"/>
    <w:pPr>
      <w:adjustRightInd w:val="0"/>
      <w:snapToGrid w:val="0"/>
      <w:spacing w:line="460" w:lineRule="exact"/>
      <w:ind w:firstLine="480"/>
    </w:pPr>
    <w:rPr>
      <w:rFonts w:ascii="宋体" w:hAnsi="宋体"/>
      <w:sz w:val="24"/>
      <w:szCs w:val="20"/>
    </w:rPr>
  </w:style>
  <w:style w:type="paragraph" w:customStyle="1" w:styleId="1280">
    <w:name w:val="样式 13.5 磅 首行缩进:  2 字符"/>
    <w:basedOn w:val="1"/>
    <w:semiHidden/>
    <w:qFormat/>
    <w:uiPriority w:val="0"/>
    <w:pPr>
      <w:ind w:left="2" w:leftChars="1" w:firstLine="480" w:firstLineChars="200"/>
      <w:jc w:val="left"/>
    </w:pPr>
    <w:rPr>
      <w:rFonts w:cs="宋体"/>
      <w:kern w:val="10"/>
      <w:sz w:val="24"/>
    </w:rPr>
  </w:style>
  <w:style w:type="paragraph" w:customStyle="1" w:styleId="1281">
    <w:name w:val="样式 标题 3Char1Char1 Char CharChar1 Char条标题1.1.1h3H3level_3..."/>
    <w:basedOn w:val="6"/>
    <w:semiHidden/>
    <w:qFormat/>
    <w:uiPriority w:val="0"/>
    <w:pPr>
      <w:numPr>
        <w:numId w:val="0"/>
      </w:numPr>
      <w:ind w:left="268" w:right="210" w:rightChars="100" w:hanging="268" w:hangingChars="99"/>
    </w:pPr>
    <w:rPr>
      <w:rFonts w:cs="宋体"/>
      <w:b/>
      <w:bCs w:val="0"/>
      <w:kern w:val="10"/>
      <w:sz w:val="27"/>
      <w:szCs w:val="27"/>
    </w:rPr>
  </w:style>
  <w:style w:type="paragraph" w:customStyle="1" w:styleId="1282">
    <w:name w:val="正文首行缩进1"/>
    <w:basedOn w:val="86"/>
    <w:semiHidden/>
    <w:qFormat/>
    <w:uiPriority w:val="0"/>
    <w:pPr>
      <w:spacing w:line="360" w:lineRule="auto"/>
      <w:ind w:left="23" w:leftChars="11" w:firstLine="439" w:firstLineChars="183"/>
    </w:pPr>
    <w:rPr>
      <w:snapToGrid/>
      <w:kern w:val="0"/>
    </w:rPr>
  </w:style>
  <w:style w:type="paragraph" w:customStyle="1" w:styleId="1283">
    <w:name w:val="样式 标题 2 Char节标题 1.1节Char节标题 1.1 Char Char节标题 1.1 Char Char..."/>
    <w:basedOn w:val="5"/>
    <w:semiHidden/>
    <w:qFormat/>
    <w:uiPriority w:val="0"/>
    <w:pPr>
      <w:keepLines w:val="0"/>
      <w:numPr>
        <w:numId w:val="0"/>
      </w:numPr>
      <w:spacing w:line="500" w:lineRule="exact"/>
      <w:ind w:left="29" w:leftChars="1" w:hanging="27" w:hangingChars="10"/>
    </w:pPr>
    <w:rPr>
      <w:rFonts w:cs="宋体"/>
      <w:b/>
      <w:kern w:val="10"/>
      <w:sz w:val="27"/>
      <w:szCs w:val="27"/>
    </w:rPr>
  </w:style>
  <w:style w:type="paragraph" w:customStyle="1" w:styleId="1284">
    <w:name w:val="正文仿宋"/>
    <w:basedOn w:val="1"/>
    <w:qFormat/>
    <w:uiPriority w:val="0"/>
    <w:pPr>
      <w:adjustRightInd w:val="0"/>
      <w:spacing w:line="312" w:lineRule="atLeast"/>
      <w:jc w:val="left"/>
      <w:textAlignment w:val="baseline"/>
    </w:pPr>
    <w:rPr>
      <w:rFonts w:ascii="仿宋体" w:eastAsia="仿宋体"/>
      <w:kern w:val="0"/>
      <w:sz w:val="24"/>
      <w:szCs w:val="20"/>
    </w:rPr>
  </w:style>
  <w:style w:type="paragraph" w:customStyle="1" w:styleId="1285">
    <w:name w:val="样式 标题 2节标题节标题 1.1节H2（一）Underrubrik1prop2Heading 2 Hidden..."/>
    <w:basedOn w:val="5"/>
    <w:semiHidden/>
    <w:qFormat/>
    <w:uiPriority w:val="0"/>
    <w:pPr>
      <w:spacing w:before="360" w:after="360" w:line="420" w:lineRule="exact"/>
      <w:ind w:left="578" w:hanging="578"/>
    </w:pPr>
    <w:rPr>
      <w:rFonts w:ascii="黑体"/>
      <w:b/>
      <w:bCs w:val="0"/>
      <w:color w:val="000000"/>
      <w:sz w:val="30"/>
      <w:szCs w:val="20"/>
    </w:rPr>
  </w:style>
  <w:style w:type="paragraph" w:customStyle="1" w:styleId="1286">
    <w:name w:val="样式 标题 1 + (中文) 宋体 小三 行距: 多倍行距 1.35 字行"/>
    <w:basedOn w:val="4"/>
    <w:semiHidden/>
    <w:qFormat/>
    <w:uiPriority w:val="0"/>
    <w:pPr>
      <w:tabs>
        <w:tab w:val="left" w:pos="432"/>
      </w:tabs>
      <w:spacing w:beforeLines="150" w:afterLines="150" w:line="300" w:lineRule="auto"/>
    </w:pPr>
    <w:rPr>
      <w:rFonts w:ascii="仿宋_GB2312" w:eastAsia="仿宋_GB2312"/>
      <w:b/>
      <w:szCs w:val="36"/>
    </w:rPr>
  </w:style>
  <w:style w:type="paragraph" w:customStyle="1" w:styleId="1287">
    <w:name w:val="样式 样式 标题 2节 + (西文) Times New Roman (中文) 宋体 四号 段前: 0.5 行 段后: 0......"/>
    <w:basedOn w:val="1"/>
    <w:semiHidden/>
    <w:qFormat/>
    <w:uiPriority w:val="0"/>
    <w:pPr>
      <w:keepNext/>
      <w:keepLines/>
      <w:tabs>
        <w:tab w:val="left" w:pos="720"/>
      </w:tabs>
      <w:adjustRightInd w:val="0"/>
      <w:snapToGrid w:val="0"/>
      <w:spacing w:beforeLines="90" w:afterLines="90" w:line="300" w:lineRule="auto"/>
      <w:ind w:left="397" w:hanging="397"/>
      <w:outlineLvl w:val="1"/>
    </w:pPr>
    <w:rPr>
      <w:rFonts w:ascii="仿宋_GB2312" w:eastAsia="仿宋_GB2312"/>
      <w:b/>
      <w:bCs/>
      <w:sz w:val="30"/>
      <w:szCs w:val="30"/>
    </w:rPr>
  </w:style>
  <w:style w:type="paragraph" w:customStyle="1" w:styleId="1288">
    <w:name w:val="样式 标题 3 + (西文) Times New Roman (中文) 宋体 小四 加粗"/>
    <w:basedOn w:val="6"/>
    <w:semiHidden/>
    <w:qFormat/>
    <w:uiPriority w:val="0"/>
    <w:pPr>
      <w:tabs>
        <w:tab w:val="left" w:pos="1021"/>
      </w:tabs>
      <w:spacing w:beforeLines="50" w:afterLines="50"/>
      <w:ind w:left="1021" w:hanging="1021"/>
      <w:jc w:val="left"/>
    </w:pPr>
    <w:rPr>
      <w:rFonts w:ascii="仿宋_GB2312" w:eastAsia="仿宋_GB2312"/>
      <w:b/>
      <w:bCs w:val="0"/>
      <w:snapToGrid w:val="0"/>
      <w:sz w:val="28"/>
      <w:szCs w:val="28"/>
    </w:rPr>
  </w:style>
  <w:style w:type="paragraph" w:customStyle="1" w:styleId="1289">
    <w:name w:val="样式 标题 4 + (西文) Times New Roman (中文) 宋体 小四"/>
    <w:basedOn w:val="7"/>
    <w:semiHidden/>
    <w:qFormat/>
    <w:uiPriority w:val="0"/>
    <w:pPr>
      <w:tabs>
        <w:tab w:val="left" w:pos="1247"/>
      </w:tabs>
      <w:ind w:left="964" w:hanging="964"/>
    </w:pPr>
    <w:rPr>
      <w:rFonts w:ascii="仿宋_GB2312" w:eastAsia="仿宋_GB2312"/>
      <w:b/>
      <w:bCs w:val="0"/>
    </w:rPr>
  </w:style>
  <w:style w:type="paragraph" w:customStyle="1" w:styleId="1290">
    <w:name w:val="样式 表头 + 黑色"/>
    <w:basedOn w:val="202"/>
    <w:link w:val="1291"/>
    <w:semiHidden/>
    <w:qFormat/>
    <w:uiPriority w:val="0"/>
    <w:pPr>
      <w:adjustRightInd w:val="0"/>
      <w:snapToGrid w:val="0"/>
      <w:spacing w:line="360" w:lineRule="auto"/>
    </w:pPr>
    <w:rPr>
      <w:rFonts w:eastAsia="宋体"/>
      <w:b/>
      <w:bCs/>
      <w:snapToGrid w:val="0"/>
      <w:color w:val="000000"/>
      <w:spacing w:val="-4"/>
      <w:sz w:val="24"/>
      <w:szCs w:val="24"/>
    </w:rPr>
  </w:style>
  <w:style w:type="character" w:customStyle="1" w:styleId="1291">
    <w:name w:val="样式 表头 + 黑色 Char"/>
    <w:link w:val="1290"/>
    <w:semiHidden/>
    <w:qFormat/>
    <w:uiPriority w:val="0"/>
    <w:rPr>
      <w:rFonts w:ascii="Times New Roman" w:hAnsi="Times New Roman" w:eastAsia="宋体" w:cs="Times New Roman"/>
      <w:b/>
      <w:bCs/>
      <w:snapToGrid w:val="0"/>
      <w:color w:val="000000"/>
      <w:spacing w:val="-4"/>
      <w:kern w:val="0"/>
      <w:sz w:val="24"/>
      <w:szCs w:val="24"/>
    </w:rPr>
  </w:style>
  <w:style w:type="paragraph" w:customStyle="1" w:styleId="1292">
    <w:name w:val="T表头"/>
    <w:next w:val="1"/>
    <w:semiHidden/>
    <w:qFormat/>
    <w:uiPriority w:val="0"/>
    <w:pPr>
      <w:keepNext/>
      <w:keepLines/>
      <w:spacing w:line="360" w:lineRule="auto"/>
      <w:jc w:val="center"/>
    </w:pPr>
    <w:rPr>
      <w:rFonts w:ascii="Times New Roman" w:hAnsi="Times New Roman" w:eastAsia="黑体" w:cs="Times New Roman"/>
      <w:sz w:val="28"/>
      <w:lang w:val="en-US" w:eastAsia="zh-CN" w:bidi="ar-SA"/>
    </w:rPr>
  </w:style>
  <w:style w:type="paragraph" w:customStyle="1" w:styleId="1293">
    <w:name w:val="正文02"/>
    <w:basedOn w:val="22"/>
    <w:semiHidden/>
    <w:qFormat/>
    <w:uiPriority w:val="0"/>
    <w:pPr>
      <w:spacing w:before="400" w:line="460" w:lineRule="exact"/>
      <w:ind w:firstLine="200"/>
    </w:pPr>
    <w:rPr>
      <w:sz w:val="24"/>
    </w:rPr>
  </w:style>
  <w:style w:type="paragraph" w:customStyle="1" w:styleId="1294">
    <w:name w:val="Char Char Char Char Char Char Char Char Char1 Char Char Char Char Char Char"/>
    <w:basedOn w:val="1"/>
    <w:semiHidden/>
    <w:qFormat/>
    <w:uiPriority w:val="0"/>
    <w:rPr>
      <w:sz w:val="24"/>
    </w:rPr>
  </w:style>
  <w:style w:type="paragraph" w:customStyle="1" w:styleId="1295">
    <w:name w:val="样式 标题 2节标题 1.1 + 五号 居中 左侧:  0 厘米 行距: 单倍行距"/>
    <w:basedOn w:val="5"/>
    <w:semiHidden/>
    <w:qFormat/>
    <w:uiPriority w:val="0"/>
    <w:pPr>
      <w:keepNext w:val="0"/>
      <w:keepLines w:val="0"/>
      <w:tabs>
        <w:tab w:val="left" w:pos="1320"/>
      </w:tabs>
      <w:spacing w:line="360" w:lineRule="auto"/>
      <w:jc w:val="center"/>
      <w:textAlignment w:val="baseline"/>
    </w:pPr>
    <w:rPr>
      <w:rFonts w:cs="宋体"/>
      <w:b/>
      <w:bCs w:val="0"/>
      <w:kern w:val="0"/>
      <w:sz w:val="21"/>
      <w:szCs w:val="20"/>
    </w:rPr>
  </w:style>
  <w:style w:type="paragraph" w:customStyle="1" w:styleId="1296">
    <w:name w:val="Char Char Char Char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297">
    <w:name w:val="Char1 Char Char Char Char Char Char1 Char Char Char"/>
    <w:basedOn w:val="1"/>
    <w:next w:val="1"/>
    <w:semiHidden/>
    <w:qFormat/>
    <w:uiPriority w:val="0"/>
    <w:pPr>
      <w:spacing w:line="360" w:lineRule="auto"/>
      <w:ind w:firstLine="200" w:firstLineChars="200"/>
      <w:jc w:val="center"/>
    </w:pPr>
    <w:rPr>
      <w:rFonts w:eastAsia="黑体"/>
      <w:szCs w:val="20"/>
    </w:rPr>
  </w:style>
  <w:style w:type="character" w:customStyle="1" w:styleId="1298">
    <w:name w:val="正文文字缩进 2 Char Char"/>
    <w:qFormat/>
    <w:uiPriority w:val="0"/>
    <w:rPr>
      <w:rFonts w:ascii="宋体" w:eastAsia="宋体"/>
      <w:kern w:val="2"/>
      <w:sz w:val="24"/>
      <w:lang w:val="en-US" w:eastAsia="zh-CN" w:bidi="ar-SA"/>
    </w:rPr>
  </w:style>
  <w:style w:type="character" w:customStyle="1" w:styleId="1299">
    <w:name w:val="正文缩进 Char Char"/>
    <w:qFormat/>
    <w:uiPriority w:val="0"/>
    <w:rPr>
      <w:rFonts w:eastAsia="宋体"/>
      <w:kern w:val="2"/>
      <w:sz w:val="28"/>
      <w:szCs w:val="24"/>
      <w:lang w:val="en-US" w:eastAsia="zh-CN" w:bidi="ar-SA"/>
    </w:rPr>
  </w:style>
  <w:style w:type="paragraph" w:customStyle="1" w:styleId="1300">
    <w:name w:val="Char1 Char Char Char Char Char Char1"/>
    <w:basedOn w:val="1"/>
    <w:next w:val="1"/>
    <w:semiHidden/>
    <w:qFormat/>
    <w:uiPriority w:val="0"/>
    <w:pPr>
      <w:spacing w:line="360" w:lineRule="auto"/>
      <w:ind w:firstLine="200" w:firstLineChars="200"/>
      <w:jc w:val="center"/>
    </w:pPr>
    <w:rPr>
      <w:rFonts w:eastAsia="黑体"/>
      <w:szCs w:val="20"/>
    </w:rPr>
  </w:style>
  <w:style w:type="table" w:customStyle="1" w:styleId="1301">
    <w:name w:val="网格型4"/>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02">
    <w:name w:val="s1"/>
    <w:qFormat/>
    <w:uiPriority w:val="0"/>
    <w:rPr>
      <w:sz w:val="18"/>
      <w:szCs w:val="18"/>
    </w:rPr>
  </w:style>
  <w:style w:type="paragraph" w:customStyle="1" w:styleId="1303">
    <w:name w:val="WJ正文"/>
    <w:basedOn w:val="1"/>
    <w:next w:val="1"/>
    <w:link w:val="1304"/>
    <w:qFormat/>
    <w:uiPriority w:val="0"/>
    <w:pPr>
      <w:tabs>
        <w:tab w:val="left" w:pos="600"/>
      </w:tabs>
      <w:spacing w:line="360" w:lineRule="auto"/>
      <w:ind w:firstLine="200" w:firstLineChars="200"/>
    </w:pPr>
    <w:rPr>
      <w:rFonts w:ascii="宋体" w:hAnsi="宋体"/>
      <w:color w:val="000000"/>
      <w:sz w:val="24"/>
      <w:lang w:val="zh-CN"/>
    </w:rPr>
  </w:style>
  <w:style w:type="character" w:customStyle="1" w:styleId="1304">
    <w:name w:val="WJ正文 Char"/>
    <w:link w:val="1303"/>
    <w:qFormat/>
    <w:uiPriority w:val="0"/>
    <w:rPr>
      <w:rFonts w:ascii="宋体" w:hAnsi="宋体" w:eastAsia="宋体" w:cs="Times New Roman"/>
      <w:color w:val="000000"/>
      <w:sz w:val="24"/>
      <w:szCs w:val="24"/>
      <w:lang w:val="zh-CN" w:eastAsia="zh-CN"/>
    </w:rPr>
  </w:style>
  <w:style w:type="paragraph" w:customStyle="1" w:styleId="1305">
    <w:name w:val="项目6"/>
    <w:basedOn w:val="1"/>
    <w:link w:val="1306"/>
    <w:qFormat/>
    <w:uiPriority w:val="0"/>
    <w:pPr>
      <w:spacing w:line="360" w:lineRule="auto"/>
      <w:ind w:firstLine="480" w:firstLineChars="200"/>
    </w:pPr>
    <w:rPr>
      <w:color w:val="000000"/>
      <w:sz w:val="24"/>
    </w:rPr>
  </w:style>
  <w:style w:type="character" w:customStyle="1" w:styleId="1306">
    <w:name w:val="项目6 Char"/>
    <w:link w:val="1305"/>
    <w:qFormat/>
    <w:uiPriority w:val="0"/>
    <w:rPr>
      <w:rFonts w:ascii="Times New Roman" w:hAnsi="Times New Roman" w:eastAsia="宋体" w:cs="Times New Roman"/>
      <w:color w:val="000000"/>
      <w:sz w:val="24"/>
      <w:szCs w:val="24"/>
    </w:rPr>
  </w:style>
  <w:style w:type="paragraph" w:customStyle="1" w:styleId="1307">
    <w:name w:val="表题1"/>
    <w:basedOn w:val="1305"/>
    <w:link w:val="1308"/>
    <w:qFormat/>
    <w:uiPriority w:val="0"/>
    <w:pPr>
      <w:jc w:val="center"/>
    </w:pPr>
    <w:rPr>
      <w:rFonts w:ascii="黑体" w:hAnsi="宋体" w:eastAsia="黑体"/>
    </w:rPr>
  </w:style>
  <w:style w:type="character" w:customStyle="1" w:styleId="1308">
    <w:name w:val="表题1 Char"/>
    <w:link w:val="1307"/>
    <w:qFormat/>
    <w:uiPriority w:val="0"/>
    <w:rPr>
      <w:rFonts w:ascii="黑体" w:hAnsi="宋体" w:eastAsia="黑体" w:cs="Times New Roman"/>
      <w:color w:val="000000"/>
      <w:sz w:val="24"/>
      <w:szCs w:val="24"/>
    </w:rPr>
  </w:style>
  <w:style w:type="paragraph" w:customStyle="1" w:styleId="1309">
    <w:name w:val="Char Char Char Char Char Char1 Char"/>
    <w:basedOn w:val="1"/>
    <w:semiHidden/>
    <w:qFormat/>
    <w:uiPriority w:val="0"/>
    <w:pPr>
      <w:spacing w:line="360" w:lineRule="auto"/>
      <w:ind w:firstLine="200" w:firstLineChars="200"/>
    </w:pPr>
    <w:rPr>
      <w:rFonts w:ascii="宋体" w:hAnsi="宋体" w:cs="宋体"/>
      <w:sz w:val="24"/>
    </w:rPr>
  </w:style>
  <w:style w:type="character" w:customStyle="1" w:styleId="1310">
    <w:name w:val="样式 四"/>
    <w:qFormat/>
    <w:uiPriority w:val="0"/>
    <w:rPr>
      <w:rFonts w:eastAsia="宋体"/>
      <w:kern w:val="2"/>
      <w:sz w:val="28"/>
      <w:szCs w:val="28"/>
      <w:lang w:val="en-US" w:eastAsia="zh-CN" w:bidi="ar-SA"/>
    </w:rPr>
  </w:style>
  <w:style w:type="paragraph" w:customStyle="1" w:styleId="1311">
    <w:name w:val="居中+ 三号"/>
    <w:basedOn w:val="1"/>
    <w:qFormat/>
    <w:uiPriority w:val="0"/>
    <w:pPr>
      <w:jc w:val="center"/>
    </w:pPr>
    <w:rPr>
      <w:b/>
      <w:bCs/>
      <w:sz w:val="32"/>
      <w:szCs w:val="30"/>
    </w:rPr>
  </w:style>
  <w:style w:type="paragraph" w:customStyle="1" w:styleId="1312">
    <w:name w:val="1-正文"/>
    <w:basedOn w:val="1"/>
    <w:link w:val="1775"/>
    <w:qFormat/>
    <w:uiPriority w:val="0"/>
    <w:pPr>
      <w:spacing w:line="360" w:lineRule="auto"/>
      <w:ind w:firstLine="480" w:firstLineChars="200"/>
    </w:pPr>
    <w:rPr>
      <w:rFonts w:ascii="宋体" w:hAnsi="宋体"/>
      <w:sz w:val="24"/>
    </w:rPr>
  </w:style>
  <w:style w:type="paragraph" w:customStyle="1" w:styleId="1313">
    <w:name w:val="样式 样式 样式 样式 样式 样式 样式 123 + 自动设置 首行缩进:  2 字符 + 首行缩进:  2 字符 + 黑色 首... Char"/>
    <w:basedOn w:val="1"/>
    <w:qFormat/>
    <w:uiPriority w:val="0"/>
    <w:pPr>
      <w:widowControl/>
      <w:tabs>
        <w:tab w:val="left" w:pos="352"/>
      </w:tabs>
      <w:overflowPunct w:val="0"/>
      <w:autoSpaceDE w:val="0"/>
      <w:autoSpaceDN w:val="0"/>
      <w:adjustRightInd w:val="0"/>
      <w:snapToGrid w:val="0"/>
      <w:spacing w:line="460" w:lineRule="exact"/>
      <w:ind w:firstLine="560" w:firstLineChars="200"/>
      <w:textAlignment w:val="bottom"/>
    </w:pPr>
    <w:rPr>
      <w:rFonts w:cs="宋体"/>
      <w:sz w:val="28"/>
      <w:szCs w:val="28"/>
    </w:rPr>
  </w:style>
  <w:style w:type="character" w:customStyle="1" w:styleId="1314">
    <w:name w:val="样式 样式 样式 样式 样式 样式 样式 123 + 自动设置 首行缩进:  2 字符 + 首行缩进:  2 字符 + 黑色 首... Char Char"/>
    <w:qFormat/>
    <w:uiPriority w:val="0"/>
    <w:rPr>
      <w:rFonts w:eastAsia="宋体" w:cs="宋体"/>
      <w:kern w:val="2"/>
      <w:sz w:val="28"/>
      <w:szCs w:val="28"/>
      <w:lang w:val="en-US" w:eastAsia="zh-CN" w:bidi="ar-SA"/>
    </w:rPr>
  </w:style>
  <w:style w:type="paragraph" w:customStyle="1" w:styleId="1315">
    <w:name w:val="l_text"/>
    <w:basedOn w:val="1"/>
    <w:qFormat/>
    <w:uiPriority w:val="0"/>
    <w:pPr>
      <w:widowControl/>
      <w:overflowPunct w:val="0"/>
      <w:autoSpaceDE w:val="0"/>
      <w:autoSpaceDN w:val="0"/>
      <w:adjustRightInd w:val="0"/>
      <w:spacing w:line="360" w:lineRule="auto"/>
      <w:ind w:firstLine="567"/>
      <w:textAlignment w:val="baseline"/>
    </w:pPr>
    <w:rPr>
      <w:kern w:val="0"/>
      <w:sz w:val="28"/>
      <w:szCs w:val="20"/>
      <w:lang w:val="en-GB"/>
    </w:rPr>
  </w:style>
  <w:style w:type="paragraph" w:customStyle="1" w:styleId="1316">
    <w:name w:val="test"/>
    <w:basedOn w:val="1"/>
    <w:qFormat/>
    <w:uiPriority w:val="0"/>
    <w:pPr>
      <w:widowControl/>
      <w:overflowPunct w:val="0"/>
      <w:autoSpaceDE w:val="0"/>
      <w:autoSpaceDN w:val="0"/>
      <w:adjustRightInd w:val="0"/>
      <w:spacing w:before="60" w:after="60"/>
      <w:textAlignment w:val="baseline"/>
    </w:pPr>
    <w:rPr>
      <w:rFonts w:ascii="楷体_GB2312" w:eastAsia="楷体_GB2312"/>
      <w:spacing w:val="-30"/>
      <w:kern w:val="0"/>
      <w:sz w:val="22"/>
      <w:szCs w:val="20"/>
    </w:rPr>
  </w:style>
  <w:style w:type="paragraph" w:customStyle="1" w:styleId="1317">
    <w:name w:val="table"/>
    <w:basedOn w:val="1"/>
    <w:qFormat/>
    <w:uiPriority w:val="0"/>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paragraph" w:customStyle="1" w:styleId="1318">
    <w:name w:val="图表1"/>
    <w:basedOn w:val="1"/>
    <w:qFormat/>
    <w:uiPriority w:val="0"/>
    <w:pPr>
      <w:widowControl/>
      <w:overflowPunct w:val="0"/>
      <w:autoSpaceDE w:val="0"/>
      <w:autoSpaceDN w:val="0"/>
      <w:adjustRightInd w:val="0"/>
      <w:spacing w:before="60" w:after="60"/>
      <w:jc w:val="center"/>
      <w:textAlignment w:val="baseline"/>
    </w:pPr>
    <w:rPr>
      <w:rFonts w:ascii="宋体"/>
      <w:kern w:val="28"/>
      <w:sz w:val="20"/>
      <w:szCs w:val="20"/>
    </w:rPr>
  </w:style>
  <w:style w:type="paragraph" w:customStyle="1" w:styleId="1319">
    <w:name w:val="图表3"/>
    <w:basedOn w:val="1"/>
    <w:qFormat/>
    <w:uiPriority w:val="0"/>
    <w:pPr>
      <w:widowControl/>
      <w:overflowPunct w:val="0"/>
      <w:autoSpaceDE w:val="0"/>
      <w:autoSpaceDN w:val="0"/>
      <w:adjustRightInd w:val="0"/>
      <w:jc w:val="center"/>
      <w:textAlignment w:val="baseline"/>
    </w:pPr>
    <w:rPr>
      <w:rFonts w:ascii="宋体"/>
      <w:kern w:val="28"/>
      <w:sz w:val="20"/>
      <w:szCs w:val="20"/>
    </w:rPr>
  </w:style>
  <w:style w:type="paragraph" w:customStyle="1" w:styleId="1320">
    <w:name w:val="图表2"/>
    <w:basedOn w:val="1"/>
    <w:qFormat/>
    <w:uiPriority w:val="0"/>
    <w:pPr>
      <w:widowControl/>
      <w:overflowPunct w:val="0"/>
      <w:autoSpaceDE w:val="0"/>
      <w:autoSpaceDN w:val="0"/>
      <w:adjustRightInd w:val="0"/>
      <w:spacing w:after="60"/>
      <w:jc w:val="center"/>
      <w:textAlignment w:val="baseline"/>
    </w:pPr>
    <w:rPr>
      <w:rFonts w:ascii="宋体"/>
      <w:kern w:val="28"/>
      <w:sz w:val="20"/>
      <w:szCs w:val="20"/>
    </w:rPr>
  </w:style>
  <w:style w:type="paragraph" w:customStyle="1" w:styleId="1321">
    <w:name w:val="text-1"/>
    <w:basedOn w:val="1"/>
    <w:qFormat/>
    <w:uiPriority w:val="0"/>
    <w:pPr>
      <w:ind w:firstLine="680"/>
    </w:pPr>
    <w:rPr>
      <w:sz w:val="28"/>
      <w:szCs w:val="20"/>
    </w:rPr>
  </w:style>
  <w:style w:type="paragraph" w:customStyle="1" w:styleId="1322">
    <w:name w:val="m3"/>
    <w:basedOn w:val="1"/>
    <w:qFormat/>
    <w:uiPriority w:val="0"/>
    <w:pPr>
      <w:widowControl/>
      <w:overflowPunct w:val="0"/>
      <w:autoSpaceDE w:val="0"/>
      <w:autoSpaceDN w:val="0"/>
      <w:adjustRightInd w:val="0"/>
      <w:spacing w:before="120" w:line="312" w:lineRule="auto"/>
      <w:textAlignment w:val="baseline"/>
    </w:pPr>
    <w:rPr>
      <w:rFonts w:ascii="仿宋体" w:eastAsia="仿宋体"/>
      <w:spacing w:val="-14"/>
      <w:kern w:val="0"/>
      <w:sz w:val="28"/>
      <w:szCs w:val="20"/>
    </w:rPr>
  </w:style>
  <w:style w:type="paragraph" w:customStyle="1" w:styleId="1323">
    <w:name w:val="样式 宋体 10 磅 左"/>
    <w:basedOn w:val="1"/>
    <w:qFormat/>
    <w:uiPriority w:val="0"/>
    <w:pPr>
      <w:spacing w:line="460" w:lineRule="exact"/>
      <w:ind w:firstLine="480" w:firstLineChars="200"/>
      <w:jc w:val="left"/>
    </w:pPr>
    <w:rPr>
      <w:rFonts w:ascii="宋体" w:hAnsi="宋体" w:cs="宋体"/>
      <w:kern w:val="0"/>
      <w:sz w:val="24"/>
      <w:szCs w:val="20"/>
    </w:rPr>
  </w:style>
  <w:style w:type="paragraph" w:customStyle="1" w:styleId="1324">
    <w:name w:val="质表正文1"/>
    <w:basedOn w:val="1"/>
    <w:qFormat/>
    <w:uiPriority w:val="0"/>
    <w:pPr>
      <w:adjustRightInd w:val="0"/>
      <w:snapToGrid w:val="0"/>
      <w:spacing w:line="360" w:lineRule="auto"/>
      <w:jc w:val="center"/>
    </w:pPr>
    <w:rPr>
      <w:rFonts w:ascii="宋体" w:hAnsi="宋体"/>
    </w:rPr>
  </w:style>
  <w:style w:type="paragraph" w:customStyle="1" w:styleId="1325">
    <w:name w:val="样式 黑体 小四 加粗 行距: 固定值 20 磅1"/>
    <w:basedOn w:val="1"/>
    <w:qFormat/>
    <w:uiPriority w:val="0"/>
    <w:pPr>
      <w:spacing w:line="400" w:lineRule="exact"/>
    </w:pPr>
    <w:rPr>
      <w:rFonts w:ascii="黑体" w:eastAsia="黑体" w:cs="宋体"/>
      <w:b/>
      <w:bCs/>
      <w:sz w:val="28"/>
      <w:szCs w:val="20"/>
    </w:rPr>
  </w:style>
  <w:style w:type="paragraph" w:customStyle="1" w:styleId="1326">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eastAsia="黑体"/>
      <w:b/>
      <w:kern w:val="0"/>
      <w:sz w:val="28"/>
      <w:szCs w:val="20"/>
    </w:rPr>
  </w:style>
  <w:style w:type="paragraph" w:customStyle="1" w:styleId="1327">
    <w:name w:val="样式 小四 首行缩进:  0.99 厘米 行距: 1.5 倍行距"/>
    <w:basedOn w:val="1"/>
    <w:qFormat/>
    <w:uiPriority w:val="0"/>
    <w:pPr>
      <w:widowControl/>
      <w:tabs>
        <w:tab w:val="left" w:pos="352"/>
      </w:tabs>
      <w:overflowPunct w:val="0"/>
      <w:autoSpaceDE w:val="0"/>
      <w:autoSpaceDN w:val="0"/>
      <w:adjustRightInd w:val="0"/>
      <w:spacing w:line="360" w:lineRule="auto"/>
      <w:ind w:firstLine="560"/>
      <w:textAlignment w:val="bottom"/>
    </w:pPr>
    <w:rPr>
      <w:rFonts w:cs="宋体"/>
      <w:kern w:val="0"/>
      <w:sz w:val="24"/>
    </w:rPr>
  </w:style>
  <w:style w:type="paragraph" w:customStyle="1" w:styleId="1328">
    <w:name w:val="样式 标题 1 + 首行缩进:  2 字符"/>
    <w:basedOn w:val="4"/>
    <w:qFormat/>
    <w:uiPriority w:val="0"/>
    <w:pPr>
      <w:tabs>
        <w:tab w:val="left" w:pos="360"/>
      </w:tabs>
      <w:spacing w:line="300" w:lineRule="auto"/>
      <w:ind w:left="360" w:hanging="360"/>
    </w:pPr>
    <w:rPr>
      <w:rFonts w:cs="宋体"/>
      <w:b/>
      <w:sz w:val="32"/>
      <w:szCs w:val="32"/>
    </w:rPr>
  </w:style>
  <w:style w:type="paragraph" w:customStyle="1" w:styleId="1329">
    <w:name w:val="样式 标题 3 + 首行缩进:  2 字符"/>
    <w:basedOn w:val="6"/>
    <w:qFormat/>
    <w:uiPriority w:val="0"/>
    <w:pPr>
      <w:keepNext w:val="0"/>
      <w:keepLines w:val="0"/>
      <w:tabs>
        <w:tab w:val="left" w:pos="1260"/>
      </w:tabs>
      <w:spacing w:line="300" w:lineRule="auto"/>
      <w:ind w:left="1260" w:hanging="420"/>
    </w:pPr>
    <w:rPr>
      <w:rFonts w:cs="宋体"/>
      <w:sz w:val="28"/>
      <w:szCs w:val="20"/>
    </w:rPr>
  </w:style>
  <w:style w:type="paragraph" w:customStyle="1" w:styleId="1330">
    <w:name w:val="样式 正文 + 首行缩进:  2 字符 + 宋体 四号 首行缩进:  2 字符"/>
    <w:basedOn w:val="551"/>
    <w:qFormat/>
    <w:uiPriority w:val="0"/>
    <w:pPr>
      <w:spacing w:line="480" w:lineRule="exact"/>
      <w:ind w:firstLine="200"/>
    </w:pPr>
    <w:rPr>
      <w:rFonts w:ascii="宋体" w:hAnsi="宋体" w:cs="Times New Roman"/>
      <w:sz w:val="28"/>
    </w:rPr>
  </w:style>
  <w:style w:type="paragraph" w:customStyle="1" w:styleId="1331">
    <w:name w:val="my table header"/>
    <w:basedOn w:val="202"/>
    <w:qFormat/>
    <w:uiPriority w:val="0"/>
    <w:pPr>
      <w:widowControl/>
      <w:overflowPunct w:val="0"/>
      <w:autoSpaceDE w:val="0"/>
      <w:autoSpaceDN w:val="0"/>
      <w:adjustRightInd w:val="0"/>
      <w:spacing w:line="360" w:lineRule="auto"/>
      <w:ind w:firstLine="495"/>
      <w:jc w:val="both"/>
      <w:textAlignment w:val="bottom"/>
    </w:pPr>
    <w:rPr>
      <w:rFonts w:ascii="黑体" w:hAnsi="黑体" w:eastAsia="宋体"/>
      <w:b/>
      <w:bCs/>
      <w:spacing w:val="0"/>
      <w:sz w:val="24"/>
      <w:szCs w:val="24"/>
    </w:rPr>
  </w:style>
  <w:style w:type="character" w:customStyle="1" w:styleId="1332">
    <w:name w:val="my table header Char"/>
    <w:qFormat/>
    <w:uiPriority w:val="0"/>
    <w:rPr>
      <w:rFonts w:ascii="黑体" w:hAnsi="黑体" w:eastAsia="黑体"/>
      <w:b/>
      <w:bCs/>
      <w:sz w:val="24"/>
      <w:lang w:val="en-US" w:eastAsia="zh-CN" w:bidi="ar-SA"/>
    </w:rPr>
  </w:style>
  <w:style w:type="paragraph" w:customStyle="1" w:styleId="1333">
    <w:name w:val="my table"/>
    <w:basedOn w:val="194"/>
    <w:qFormat/>
    <w:uiPriority w:val="0"/>
    <w:pPr>
      <w:widowControl/>
      <w:jc w:val="both"/>
    </w:pPr>
    <w:rPr>
      <w:rFonts w:ascii="宋体" w:hAnsi="宋体"/>
    </w:rPr>
  </w:style>
  <w:style w:type="paragraph" w:customStyle="1" w:styleId="1334">
    <w:name w:val="My table tailer"/>
    <w:basedOn w:val="66"/>
    <w:qFormat/>
    <w:uiPriority w:val="0"/>
    <w:pPr>
      <w:suppressAutoHyphens/>
      <w:spacing w:line="240" w:lineRule="auto"/>
      <w:jc w:val="center"/>
    </w:pPr>
    <w:rPr>
      <w:rFonts w:ascii="宋体" w:hAnsi="宋体"/>
      <w:spacing w:val="-1"/>
      <w:kern w:val="0"/>
      <w:sz w:val="32"/>
      <w:szCs w:val="32"/>
    </w:rPr>
  </w:style>
  <w:style w:type="character" w:customStyle="1" w:styleId="1335">
    <w:name w:val="My table tailer Char"/>
    <w:qFormat/>
    <w:uiPriority w:val="0"/>
    <w:rPr>
      <w:rFonts w:ascii="宋体" w:hAnsi="宋体" w:eastAsia="宋体"/>
      <w:spacing w:val="-1"/>
      <w:sz w:val="21"/>
      <w:szCs w:val="21"/>
      <w:lang w:val="en-US" w:bidi="ar-SA"/>
    </w:rPr>
  </w:style>
  <w:style w:type="paragraph" w:customStyle="1" w:styleId="1336">
    <w:name w:val="样式 正文 + 首行缩进:  2 字符 + 宋体 四号"/>
    <w:basedOn w:val="551"/>
    <w:qFormat/>
    <w:uiPriority w:val="0"/>
    <w:rPr>
      <w:rFonts w:ascii="宋体" w:hAnsi="宋体"/>
      <w:sz w:val="28"/>
    </w:rPr>
  </w:style>
  <w:style w:type="character" w:customStyle="1" w:styleId="1337">
    <w:name w:val="样式 正文 + 首行缩进:  2 字符 + 宋体 四号 Char"/>
    <w:qFormat/>
    <w:uiPriority w:val="0"/>
    <w:rPr>
      <w:rFonts w:ascii="宋体" w:hAnsi="宋体" w:eastAsia="宋体" w:cs="宋体"/>
      <w:kern w:val="2"/>
      <w:sz w:val="28"/>
      <w:lang w:val="en-US" w:eastAsia="zh-CN" w:bidi="ar-SA"/>
    </w:rPr>
  </w:style>
  <w:style w:type="character" w:customStyle="1" w:styleId="1338">
    <w:name w:val="fontsz"/>
    <w:qFormat/>
    <w:uiPriority w:val="0"/>
  </w:style>
  <w:style w:type="paragraph" w:customStyle="1" w:styleId="1339">
    <w:name w:val="样式 行距: 固定值 23 磅"/>
    <w:basedOn w:val="1"/>
    <w:qFormat/>
    <w:uiPriority w:val="0"/>
    <w:pPr>
      <w:spacing w:line="360" w:lineRule="auto"/>
      <w:ind w:firstLine="200" w:firstLineChars="200"/>
    </w:pPr>
    <w:rPr>
      <w:rFonts w:cs="宋体"/>
      <w:sz w:val="24"/>
      <w:szCs w:val="20"/>
    </w:rPr>
  </w:style>
  <w:style w:type="paragraph" w:customStyle="1" w:styleId="1340">
    <w:name w:val="样式 首行缩进:  0.95 厘米"/>
    <w:basedOn w:val="1"/>
    <w:qFormat/>
    <w:uiPriority w:val="0"/>
    <w:pPr>
      <w:spacing w:line="360" w:lineRule="auto"/>
      <w:ind w:firstLine="200" w:firstLineChars="200"/>
    </w:pPr>
    <w:rPr>
      <w:rFonts w:cs="宋体"/>
      <w:sz w:val="24"/>
      <w:szCs w:val="20"/>
    </w:rPr>
  </w:style>
  <w:style w:type="paragraph" w:customStyle="1" w:styleId="1341">
    <w:name w:val="样式 首行缩进:  2.21 字符"/>
    <w:basedOn w:val="1"/>
    <w:qFormat/>
    <w:uiPriority w:val="0"/>
    <w:pPr>
      <w:spacing w:line="360" w:lineRule="auto"/>
      <w:ind w:firstLine="200" w:firstLineChars="200"/>
    </w:pPr>
    <w:rPr>
      <w:rFonts w:cs="宋体"/>
      <w:sz w:val="24"/>
      <w:szCs w:val="20"/>
    </w:rPr>
  </w:style>
  <w:style w:type="paragraph" w:customStyle="1" w:styleId="1342">
    <w:name w:val="样式 左 行距: 固定值 12 磅"/>
    <w:basedOn w:val="1"/>
    <w:qFormat/>
    <w:uiPriority w:val="0"/>
    <w:pPr>
      <w:spacing w:line="240" w:lineRule="exact"/>
      <w:jc w:val="left"/>
    </w:pPr>
    <w:rPr>
      <w:rFonts w:cs="宋体"/>
      <w:sz w:val="24"/>
      <w:szCs w:val="20"/>
    </w:rPr>
  </w:style>
  <w:style w:type="paragraph" w:customStyle="1" w:styleId="1343">
    <w:name w:val="正文修改样式"/>
    <w:basedOn w:val="70"/>
    <w:qFormat/>
    <w:uiPriority w:val="0"/>
    <w:pPr>
      <w:spacing w:beforeLines="50" w:afterLines="50" w:line="360" w:lineRule="auto"/>
      <w:ind w:left="0" w:leftChars="0" w:firstLine="545" w:firstLineChars="227"/>
    </w:pPr>
    <w:rPr>
      <w:rFonts w:ascii="宋体" w:hAnsi="宋体"/>
      <w:color w:val="000000"/>
      <w:sz w:val="24"/>
      <w:szCs w:val="21"/>
    </w:rPr>
  </w:style>
  <w:style w:type="character" w:customStyle="1" w:styleId="1344">
    <w:name w:val="样式 小四 Char"/>
    <w:link w:val="679"/>
    <w:qFormat/>
    <w:uiPriority w:val="0"/>
    <w:rPr>
      <w:rFonts w:ascii="Times New Roman" w:hAnsi="Times New Roman" w:eastAsia="宋体" w:cs="Times New Roman"/>
      <w:kern w:val="0"/>
      <w:sz w:val="24"/>
      <w:szCs w:val="20"/>
    </w:rPr>
  </w:style>
  <w:style w:type="character" w:customStyle="1" w:styleId="1345">
    <w:name w:val="文章正文 Char"/>
    <w:link w:val="520"/>
    <w:qFormat/>
    <w:uiPriority w:val="0"/>
    <w:rPr>
      <w:rFonts w:ascii="宋体" w:hAnsi="宋体" w:eastAsia="宋体" w:cs="Times New Roman"/>
      <w:sz w:val="24"/>
      <w:szCs w:val="24"/>
    </w:rPr>
  </w:style>
  <w:style w:type="paragraph" w:customStyle="1" w:styleId="1346">
    <w:name w:val="表格头"/>
    <w:basedOn w:val="1"/>
    <w:qFormat/>
    <w:uiPriority w:val="0"/>
    <w:pPr>
      <w:adjustRightInd w:val="0"/>
      <w:snapToGrid w:val="0"/>
      <w:spacing w:line="460" w:lineRule="exact"/>
    </w:pPr>
    <w:rPr>
      <w:b/>
      <w:sz w:val="24"/>
    </w:rPr>
  </w:style>
  <w:style w:type="paragraph" w:customStyle="1" w:styleId="1347">
    <w:name w:val="样式 (符号) 宋体 首行缩进:  0.93 厘米 段前: 6 磅 段后: 6 磅 行距: 固定值 18 磅1"/>
    <w:basedOn w:val="1"/>
    <w:qFormat/>
    <w:uiPriority w:val="0"/>
    <w:pPr>
      <w:spacing w:before="160" w:after="160" w:line="320" w:lineRule="exact"/>
      <w:ind w:firstLine="527"/>
    </w:pPr>
    <w:rPr>
      <w:rFonts w:hAnsi="宋体"/>
      <w:sz w:val="24"/>
      <w:szCs w:val="20"/>
    </w:rPr>
  </w:style>
  <w:style w:type="paragraph" w:customStyle="1" w:styleId="1348">
    <w:name w:val="样式 标题 2标题 21标题 121节H2SeHead wsa2标题 1.1 + 黑体 四号 非加粗"/>
    <w:basedOn w:val="5"/>
    <w:qFormat/>
    <w:uiPriority w:val="0"/>
    <w:pPr>
      <w:keepNext w:val="0"/>
      <w:keepLines w:val="0"/>
      <w:numPr>
        <w:numId w:val="9"/>
      </w:numPr>
      <w:tabs>
        <w:tab w:val="left" w:pos="425"/>
      </w:tabs>
    </w:pPr>
    <w:rPr>
      <w:rFonts w:ascii="黑体" w:hAnsi="黑体"/>
      <w:b/>
      <w:bCs w:val="0"/>
      <w:color w:val="000000"/>
      <w:sz w:val="28"/>
    </w:rPr>
  </w:style>
  <w:style w:type="paragraph" w:customStyle="1" w:styleId="1349">
    <w:name w:val="样式 标题 1 + 黑体 小三 非加粗"/>
    <w:basedOn w:val="4"/>
    <w:link w:val="1366"/>
    <w:qFormat/>
    <w:uiPriority w:val="0"/>
    <w:pPr>
      <w:numPr>
        <w:numId w:val="9"/>
      </w:numPr>
      <w:tabs>
        <w:tab w:val="left" w:pos="425"/>
      </w:tabs>
    </w:pPr>
    <w:rPr>
      <w:rFonts w:ascii="黑体" w:hAnsi="黑体"/>
      <w:b/>
      <w:bCs w:val="0"/>
      <w:sz w:val="30"/>
    </w:rPr>
  </w:style>
  <w:style w:type="paragraph" w:customStyle="1" w:styleId="1350">
    <w:name w:val="样式 标题 3 + 宋体 小四 非加粗"/>
    <w:basedOn w:val="6"/>
    <w:qFormat/>
    <w:uiPriority w:val="0"/>
    <w:pPr>
      <w:keepNext w:val="0"/>
      <w:keepLines w:val="0"/>
      <w:numPr>
        <w:numId w:val="9"/>
      </w:numPr>
      <w:tabs>
        <w:tab w:val="left" w:pos="425"/>
      </w:tabs>
    </w:pPr>
    <w:rPr>
      <w:bCs w:val="0"/>
      <w:sz w:val="28"/>
    </w:rPr>
  </w:style>
  <w:style w:type="paragraph" w:customStyle="1" w:styleId="1351">
    <w:name w:val="样式 标题 4 + 宋体 小四 非加粗"/>
    <w:basedOn w:val="7"/>
    <w:qFormat/>
    <w:uiPriority w:val="0"/>
    <w:pPr>
      <w:numPr>
        <w:numId w:val="9"/>
      </w:numPr>
      <w:tabs>
        <w:tab w:val="left" w:pos="425"/>
      </w:tabs>
      <w:spacing w:before="280" w:after="290" w:line="376" w:lineRule="auto"/>
    </w:pPr>
    <w:rPr>
      <w:bCs w:val="0"/>
    </w:rPr>
  </w:style>
  <w:style w:type="paragraph" w:customStyle="1" w:styleId="1352">
    <w:name w:val="样式 样式 正文缩进 + 首行缩进:  2 字符 + 首行缩进:  2.5 字符"/>
    <w:basedOn w:val="1"/>
    <w:qFormat/>
    <w:uiPriority w:val="0"/>
    <w:pPr>
      <w:tabs>
        <w:tab w:val="left" w:pos="0"/>
      </w:tabs>
      <w:overflowPunct w:val="0"/>
      <w:autoSpaceDE w:val="0"/>
      <w:autoSpaceDN w:val="0"/>
      <w:spacing w:line="360" w:lineRule="auto"/>
      <w:ind w:firstLine="480" w:firstLineChars="200"/>
      <w:textAlignment w:val="bottom"/>
    </w:pPr>
    <w:rPr>
      <w:rFonts w:ascii="宋体" w:hAnsi="宋体" w:cs="宋体"/>
      <w:kern w:val="0"/>
      <w:sz w:val="24"/>
      <w:szCs w:val="20"/>
    </w:rPr>
  </w:style>
  <w:style w:type="paragraph" w:customStyle="1" w:styleId="1353">
    <w:name w:val="样式_正文_04"/>
    <w:qFormat/>
    <w:uiPriority w:val="0"/>
    <w:pPr>
      <w:numPr>
        <w:ilvl w:val="0"/>
        <w:numId w:val="10"/>
      </w:numPr>
      <w:tabs>
        <w:tab w:val="right" w:leader="dot" w:pos="7407"/>
        <w:tab w:val="left" w:pos="7587"/>
        <w:tab w:val="clear" w:pos="1701"/>
      </w:tabs>
      <w:spacing w:line="360" w:lineRule="auto"/>
    </w:pPr>
    <w:rPr>
      <w:rFonts w:ascii="Garamond" w:hAnsi="Garamond" w:eastAsia="楷体_GB2312" w:cs="Times New Roman"/>
      <w:kern w:val="28"/>
      <w:sz w:val="24"/>
      <w:szCs w:val="24"/>
      <w:lang w:val="en-US" w:eastAsia="zh-CN" w:bidi="ar-SA"/>
    </w:rPr>
  </w:style>
  <w:style w:type="paragraph" w:customStyle="1" w:styleId="1354">
    <w:name w:val="样式_正文_01"/>
    <w:basedOn w:val="1"/>
    <w:qFormat/>
    <w:uiPriority w:val="0"/>
    <w:pPr>
      <w:spacing w:line="360" w:lineRule="auto"/>
      <w:ind w:left="-10" w:firstLine="540" w:firstLineChars="225"/>
    </w:pPr>
    <w:rPr>
      <w:rFonts w:ascii="Garamond" w:hAnsi="Garamond"/>
      <w:kern w:val="0"/>
      <w:sz w:val="24"/>
    </w:rPr>
  </w:style>
  <w:style w:type="paragraph" w:customStyle="1" w:styleId="1355">
    <w:name w:val="样式_正文_03"/>
    <w:qFormat/>
    <w:uiPriority w:val="0"/>
    <w:pPr>
      <w:widowControl w:val="0"/>
      <w:numPr>
        <w:ilvl w:val="8"/>
        <w:numId w:val="11"/>
      </w:numPr>
      <w:spacing w:line="360" w:lineRule="auto"/>
      <w:ind w:right="-55"/>
      <w:jc w:val="both"/>
    </w:pPr>
    <w:rPr>
      <w:rFonts w:ascii="宋体" w:hAnsi="宋体" w:eastAsia="宋体" w:cs="Times New Roman"/>
      <w:kern w:val="28"/>
      <w:sz w:val="28"/>
      <w:szCs w:val="28"/>
      <w:lang w:val="en-US" w:eastAsia="zh-CN" w:bidi="ar-SA"/>
    </w:rPr>
  </w:style>
  <w:style w:type="paragraph" w:customStyle="1" w:styleId="1356">
    <w:name w:val="样式_图表_01"/>
    <w:qFormat/>
    <w:uiPriority w:val="0"/>
    <w:pPr>
      <w:keepNext/>
      <w:widowControl w:val="0"/>
      <w:spacing w:beforeLines="50" w:afterLines="100" w:line="240" w:lineRule="atLeast"/>
      <w:jc w:val="center"/>
    </w:pPr>
    <w:rPr>
      <w:rFonts w:ascii="Garamond" w:hAnsi="Garamond" w:eastAsia="楷体_GB2312" w:cs="Times New Roman"/>
      <w:sz w:val="24"/>
      <w:szCs w:val="24"/>
      <w:lang w:val="en-US" w:eastAsia="zh-CN" w:bidi="ar-SA"/>
    </w:rPr>
  </w:style>
  <w:style w:type="paragraph" w:customStyle="1" w:styleId="1357">
    <w:name w:val="样式 题注 + 首行缩进:  2 字符1"/>
    <w:basedOn w:val="23"/>
    <w:qFormat/>
    <w:uiPriority w:val="0"/>
    <w:pPr>
      <w:snapToGrid w:val="0"/>
      <w:spacing w:before="152" w:afterLines="40" w:line="240" w:lineRule="auto"/>
      <w:ind w:firstLine="0" w:firstLineChars="0"/>
      <w:jc w:val="center"/>
    </w:pPr>
    <w:rPr>
      <w:rFonts w:ascii="宋体" w:hAnsi="宋体" w:eastAsia="宋体" w:cs="宋体"/>
      <w:snapToGrid/>
      <w:kern w:val="2"/>
      <w:sz w:val="24"/>
      <w:szCs w:val="24"/>
    </w:rPr>
  </w:style>
  <w:style w:type="paragraph" w:customStyle="1" w:styleId="1358">
    <w:name w:val="样式 表格 + 段前: 1 行 段后: 0.5 行1"/>
    <w:basedOn w:val="194"/>
    <w:qFormat/>
    <w:uiPriority w:val="0"/>
    <w:pPr>
      <w:spacing w:line="240" w:lineRule="atLeast"/>
    </w:pPr>
    <w:rPr>
      <w:rFonts w:cs="宋体"/>
      <w:snapToGrid w:val="0"/>
      <w:kern w:val="0"/>
      <w:sz w:val="24"/>
      <w:szCs w:val="21"/>
    </w:rPr>
  </w:style>
  <w:style w:type="paragraph" w:customStyle="1" w:styleId="1359">
    <w:name w:val="正文首行缩进3"/>
    <w:basedOn w:val="22"/>
    <w:semiHidden/>
    <w:qFormat/>
    <w:uiPriority w:val="0"/>
    <w:pPr>
      <w:widowControl/>
      <w:numPr>
        <w:ilvl w:val="0"/>
        <w:numId w:val="12"/>
      </w:numPr>
      <w:tabs>
        <w:tab w:val="left" w:pos="1134"/>
      </w:tabs>
      <w:adjustRightInd w:val="0"/>
      <w:spacing w:line="360" w:lineRule="auto"/>
      <w:ind w:firstLine="0" w:firstLineChars="0"/>
    </w:pPr>
    <w:rPr>
      <w:rFonts w:ascii="Garamond" w:hAnsi="Garamond"/>
      <w:sz w:val="28"/>
      <w:szCs w:val="20"/>
    </w:rPr>
  </w:style>
  <w:style w:type="paragraph" w:customStyle="1" w:styleId="1360">
    <w:name w:val="样式 题注 + 首行缩进:  2 字符"/>
    <w:basedOn w:val="23"/>
    <w:qFormat/>
    <w:uiPriority w:val="0"/>
    <w:pPr>
      <w:spacing w:before="152" w:after="160" w:line="500" w:lineRule="exact"/>
      <w:ind w:firstLine="400"/>
      <w:jc w:val="center"/>
    </w:pPr>
    <w:rPr>
      <w:rFonts w:eastAsia="宋体" w:cs="宋体"/>
      <w:b/>
      <w:snapToGrid/>
      <w:kern w:val="2"/>
      <w:sz w:val="24"/>
      <w:szCs w:val="24"/>
    </w:rPr>
  </w:style>
  <w:style w:type="paragraph" w:customStyle="1" w:styleId="1361">
    <w:name w:val="brdrw15brsp20 tqctx4153t"/>
    <w:qFormat/>
    <w:uiPriority w:val="0"/>
    <w:pPr>
      <w:widowControl w:val="0"/>
      <w:pBdr>
        <w:bottom w:val="single" w:color="auto" w:sz="6" w:space="0"/>
      </w:pBdr>
      <w:adjustRightInd w:val="0"/>
      <w:spacing w:line="360" w:lineRule="atLeast"/>
      <w:jc w:val="center"/>
    </w:pPr>
    <w:rPr>
      <w:rFonts w:ascii="Times New Roman" w:hAnsi="Times New Roman" w:eastAsia="宋体" w:cs="Times New Roman"/>
      <w:sz w:val="24"/>
      <w:lang w:val="en-US" w:eastAsia="zh-CN" w:bidi="ar-SA"/>
    </w:rPr>
  </w:style>
  <w:style w:type="paragraph" w:customStyle="1" w:styleId="1362">
    <w:name w:val="Char Char Char1 Char Char Char Char Char Char Char Char Char Char Char Char Char Char Char Char Char Char Char"/>
    <w:basedOn w:val="1"/>
    <w:semiHidden/>
    <w:qFormat/>
    <w:uiPriority w:val="0"/>
    <w:rPr>
      <w:sz w:val="24"/>
    </w:rPr>
  </w:style>
  <w:style w:type="paragraph" w:customStyle="1" w:styleId="1363">
    <w:name w:val="南郊正文"/>
    <w:basedOn w:val="1"/>
    <w:next w:val="1"/>
    <w:qFormat/>
    <w:uiPriority w:val="0"/>
    <w:pPr>
      <w:spacing w:line="360" w:lineRule="auto"/>
      <w:ind w:firstLine="482" w:firstLineChars="200"/>
    </w:pPr>
    <w:rPr>
      <w:rFonts w:ascii="宋体" w:hAnsi="宋体"/>
      <w:b/>
      <w:bCs/>
      <w:kern w:val="0"/>
      <w:sz w:val="24"/>
    </w:rPr>
  </w:style>
  <w:style w:type="character" w:customStyle="1" w:styleId="1364">
    <w:name w:val="gold1"/>
    <w:qFormat/>
    <w:uiPriority w:val="0"/>
    <w:rPr>
      <w:rFonts w:hint="eastAsia" w:ascii="??" w:hAnsi="??" w:eastAsia="??"/>
      <w:color w:val="576B2C"/>
      <w:sz w:val="20"/>
      <w:szCs w:val="20"/>
      <w:u w:val="none"/>
    </w:rPr>
  </w:style>
  <w:style w:type="character" w:customStyle="1" w:styleId="1365">
    <w:name w:val="aaa Char"/>
    <w:link w:val="1102"/>
    <w:qFormat/>
    <w:uiPriority w:val="0"/>
    <w:rPr>
      <w:rFonts w:ascii="Times New Roman" w:hAnsi="宋体" w:eastAsia="宋体" w:cs="Times New Roman"/>
      <w:sz w:val="24"/>
      <w:szCs w:val="24"/>
    </w:rPr>
  </w:style>
  <w:style w:type="character" w:customStyle="1" w:styleId="1366">
    <w:name w:val="样式 标题 1 + 黑体 小三 非加粗 Char"/>
    <w:link w:val="1349"/>
    <w:qFormat/>
    <w:uiPriority w:val="0"/>
    <w:rPr>
      <w:rFonts w:ascii="黑体" w:hAnsi="黑体" w:eastAsia="黑体"/>
      <w:b/>
      <w:kern w:val="44"/>
      <w:sz w:val="30"/>
      <w:szCs w:val="44"/>
    </w:rPr>
  </w:style>
  <w:style w:type="paragraph" w:customStyle="1" w:styleId="1367">
    <w:name w:val="样式 首行缩进正文 + 小四"/>
    <w:basedOn w:val="1"/>
    <w:qFormat/>
    <w:uiPriority w:val="0"/>
    <w:pPr>
      <w:adjustRightInd w:val="0"/>
      <w:snapToGrid w:val="0"/>
      <w:spacing w:beforeLines="50" w:line="360" w:lineRule="auto"/>
      <w:ind w:firstLine="480" w:firstLineChars="200"/>
    </w:pPr>
    <w:rPr>
      <w:sz w:val="24"/>
    </w:rPr>
  </w:style>
  <w:style w:type="paragraph" w:customStyle="1" w:styleId="1368">
    <w:name w:val="样式 首行缩进:  0.77 厘米 行距: 固定值 20 磅3"/>
    <w:basedOn w:val="1"/>
    <w:qFormat/>
    <w:uiPriority w:val="0"/>
    <w:pPr>
      <w:spacing w:line="360" w:lineRule="auto"/>
      <w:ind w:firstLine="435"/>
    </w:pPr>
    <w:rPr>
      <w:rFonts w:cs="宋体"/>
      <w:sz w:val="24"/>
      <w:szCs w:val="20"/>
    </w:rPr>
  </w:style>
  <w:style w:type="paragraph" w:customStyle="1" w:styleId="1369">
    <w:name w:val="自动A"/>
    <w:basedOn w:val="1"/>
    <w:link w:val="1370"/>
    <w:qFormat/>
    <w:uiPriority w:val="0"/>
    <w:pPr>
      <w:spacing w:before="120" w:after="120" w:line="360" w:lineRule="auto"/>
      <w:ind w:firstLine="480" w:firstLineChars="200"/>
    </w:pPr>
    <w:rPr>
      <w:color w:val="000000"/>
      <w:kern w:val="0"/>
      <w:sz w:val="24"/>
      <w:szCs w:val="20"/>
    </w:rPr>
  </w:style>
  <w:style w:type="character" w:customStyle="1" w:styleId="1370">
    <w:name w:val="自动A Char"/>
    <w:link w:val="1369"/>
    <w:qFormat/>
    <w:uiPriority w:val="0"/>
    <w:rPr>
      <w:rFonts w:ascii="Times New Roman" w:hAnsi="Times New Roman" w:eastAsia="宋体" w:cs="Times New Roman"/>
      <w:color w:val="000000"/>
      <w:kern w:val="0"/>
      <w:sz w:val="24"/>
      <w:szCs w:val="20"/>
    </w:rPr>
  </w:style>
  <w:style w:type="paragraph" w:customStyle="1" w:styleId="1371">
    <w:name w:val="二级标题"/>
    <w:next w:val="1"/>
    <w:qFormat/>
    <w:uiPriority w:val="0"/>
    <w:pPr>
      <w:snapToGrid w:val="0"/>
      <w:spacing w:before="156" w:line="360" w:lineRule="auto"/>
    </w:pPr>
    <w:rPr>
      <w:rFonts w:ascii="Times New Roman" w:hAnsi="Times New Roman" w:eastAsia="黑体" w:cs="Times New Roman"/>
      <w:kern w:val="2"/>
      <w:sz w:val="32"/>
      <w:lang w:val="en-US" w:eastAsia="zh-CN" w:bidi="ar-SA"/>
    </w:rPr>
  </w:style>
  <w:style w:type="character" w:customStyle="1" w:styleId="1372">
    <w:name w:val="样式6 Char"/>
    <w:link w:val="708"/>
    <w:qFormat/>
    <w:uiPriority w:val="0"/>
    <w:rPr>
      <w:rFonts w:ascii="Arial" w:hAnsi="Arial" w:eastAsia="黑体" w:cs="Times New Roman"/>
      <w:b/>
      <w:bCs/>
      <w:sz w:val="28"/>
      <w:szCs w:val="28"/>
    </w:rPr>
  </w:style>
  <w:style w:type="paragraph" w:customStyle="1" w:styleId="1373">
    <w:name w:val="样式20"/>
    <w:basedOn w:val="1"/>
    <w:link w:val="1374"/>
    <w:qFormat/>
    <w:uiPriority w:val="0"/>
    <w:pPr>
      <w:snapToGrid w:val="0"/>
      <w:spacing w:beforeLines="50" w:afterLines="50" w:line="360" w:lineRule="auto"/>
      <w:ind w:firstLine="480" w:firstLineChars="200"/>
    </w:pPr>
    <w:rPr>
      <w:rFonts w:ascii="ˎ̥" w:hAnsi="ˎ̥"/>
      <w:bCs/>
      <w:color w:val="000000"/>
      <w:kern w:val="0"/>
      <w:sz w:val="24"/>
      <w:szCs w:val="20"/>
    </w:rPr>
  </w:style>
  <w:style w:type="character" w:customStyle="1" w:styleId="1374">
    <w:name w:val="样式20 Char"/>
    <w:link w:val="1373"/>
    <w:qFormat/>
    <w:uiPriority w:val="0"/>
    <w:rPr>
      <w:rFonts w:ascii="ˎ̥" w:hAnsi="ˎ̥" w:eastAsia="宋体" w:cs="Times New Roman"/>
      <w:bCs/>
      <w:color w:val="000000"/>
      <w:kern w:val="0"/>
      <w:sz w:val="24"/>
      <w:szCs w:val="20"/>
    </w:rPr>
  </w:style>
  <w:style w:type="paragraph" w:customStyle="1" w:styleId="1375">
    <w:name w:val="表格 32"/>
    <w:basedOn w:val="1"/>
    <w:link w:val="1378"/>
    <w:qFormat/>
    <w:uiPriority w:val="0"/>
    <w:pPr>
      <w:autoSpaceDE w:val="0"/>
      <w:autoSpaceDN w:val="0"/>
      <w:adjustRightInd w:val="0"/>
      <w:jc w:val="center"/>
      <w:textAlignment w:val="baseline"/>
    </w:pPr>
    <w:rPr>
      <w:kern w:val="0"/>
      <w:sz w:val="24"/>
      <w:szCs w:val="20"/>
    </w:rPr>
  </w:style>
  <w:style w:type="paragraph" w:customStyle="1" w:styleId="1376">
    <w:name w:val="样式 样式 段前: 4.65 磅 行距: 多倍行距 1.15 字行 + 首行缩进:  2 字符"/>
    <w:basedOn w:val="1"/>
    <w:qFormat/>
    <w:uiPriority w:val="0"/>
    <w:pPr>
      <w:spacing w:before="93" w:line="312" w:lineRule="auto"/>
      <w:ind w:firstLine="200" w:firstLineChars="200"/>
    </w:pPr>
    <w:rPr>
      <w:rFonts w:cs="宋体"/>
      <w:sz w:val="24"/>
      <w:szCs w:val="20"/>
    </w:rPr>
  </w:style>
  <w:style w:type="paragraph" w:customStyle="1" w:styleId="1377">
    <w:name w:val="样式27"/>
    <w:basedOn w:val="1"/>
    <w:qFormat/>
    <w:uiPriority w:val="0"/>
    <w:pPr>
      <w:keepNext/>
      <w:keepLines/>
      <w:tabs>
        <w:tab w:val="left" w:pos="360"/>
        <w:tab w:val="left" w:pos="540"/>
        <w:tab w:val="left" w:pos="1476"/>
      </w:tabs>
      <w:spacing w:beforeLines="50" w:afterLines="50" w:line="360" w:lineRule="auto"/>
      <w:ind w:left="1476" w:hanging="1296"/>
      <w:outlineLvl w:val="1"/>
    </w:pPr>
    <w:rPr>
      <w:rFonts w:ascii="宋体" w:hAnsi="宋体" w:eastAsia="黑体"/>
      <w:sz w:val="28"/>
      <w:szCs w:val="28"/>
    </w:rPr>
  </w:style>
  <w:style w:type="character" w:customStyle="1" w:styleId="1378">
    <w:name w:val="表格 32 Char"/>
    <w:link w:val="1375"/>
    <w:qFormat/>
    <w:uiPriority w:val="0"/>
    <w:rPr>
      <w:rFonts w:ascii="Times New Roman" w:hAnsi="Times New Roman" w:eastAsia="宋体" w:cs="Times New Roman"/>
      <w:kern w:val="0"/>
      <w:sz w:val="24"/>
      <w:szCs w:val="20"/>
    </w:rPr>
  </w:style>
  <w:style w:type="table" w:customStyle="1" w:styleId="1379">
    <w:name w:val="环评报告书表格"/>
    <w:basedOn w:val="88"/>
    <w:qFormat/>
    <w:uiPriority w:val="0"/>
    <w:pPr>
      <w:spacing w:line="360" w:lineRule="exact"/>
    </w:pPr>
    <w:rPr>
      <w:rFonts w:ascii="Times New Roman" w:hAnsi="Times New Roman"/>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character" w:customStyle="1" w:styleId="1380">
    <w:name w:val="123YJ Char"/>
    <w:qFormat/>
    <w:uiPriority w:val="0"/>
    <w:rPr>
      <w:rFonts w:eastAsia="宋体"/>
      <w:kern w:val="2"/>
      <w:sz w:val="18"/>
      <w:szCs w:val="18"/>
      <w:lang w:val="en-US" w:eastAsia="zh-CN" w:bidi="ar-SA"/>
    </w:rPr>
  </w:style>
  <w:style w:type="paragraph" w:customStyle="1" w:styleId="1381">
    <w:name w:val="Char1 Char Char Char Char Char Char Char Char Char Char Char Char Char Char Char"/>
    <w:basedOn w:val="1"/>
    <w:semiHidden/>
    <w:qFormat/>
    <w:uiPriority w:val="0"/>
  </w:style>
  <w:style w:type="character" w:customStyle="1" w:styleId="1382">
    <w:name w:val="报告书正文 Char"/>
    <w:link w:val="1085"/>
    <w:qFormat/>
    <w:uiPriority w:val="0"/>
    <w:rPr>
      <w:rFonts w:ascii="Times New Roman" w:hAnsi="Times New Roman" w:eastAsia="宋体" w:cs="Times New Roman"/>
      <w:sz w:val="24"/>
      <w:szCs w:val="20"/>
    </w:rPr>
  </w:style>
  <w:style w:type="paragraph" w:customStyle="1" w:styleId="1383">
    <w:name w:val="Char Char Char Char Char Char Char Char Char Char Char Char Char Char Char Char Char Char Char Char Char Char"/>
    <w:basedOn w:val="1"/>
    <w:semiHidden/>
    <w:qFormat/>
    <w:uiPriority w:val="0"/>
    <w:pPr>
      <w:spacing w:line="480" w:lineRule="exact"/>
    </w:pPr>
  </w:style>
  <w:style w:type="paragraph" w:customStyle="1" w:styleId="1384">
    <w:name w:val="样式 标题 + Times New Roman 四号 两端对齐 段前: 0 磅 段后: 0 磅 行距: 1.5 倍行距"/>
    <w:basedOn w:val="84"/>
    <w:qFormat/>
    <w:uiPriority w:val="0"/>
    <w:pPr>
      <w:adjustRightInd/>
      <w:spacing w:before="0" w:after="0" w:line="240" w:lineRule="auto"/>
      <w:jc w:val="both"/>
      <w:textAlignment w:val="auto"/>
    </w:pPr>
    <w:rPr>
      <w:rFonts w:ascii="Times New Roman" w:hAnsi="Times New Roman" w:eastAsia="宋体" w:cs="宋体"/>
      <w:b/>
      <w:bCs/>
      <w:sz w:val="28"/>
    </w:rPr>
  </w:style>
  <w:style w:type="paragraph" w:customStyle="1" w:styleId="1385">
    <w:name w:val="样式 标题 2 + 段前: 60 磅 段后: 60 磅"/>
    <w:basedOn w:val="5"/>
    <w:qFormat/>
    <w:uiPriority w:val="0"/>
    <w:pPr>
      <w:keepNext w:val="0"/>
      <w:keepLines w:val="0"/>
      <w:spacing w:before="100" w:after="100" w:line="360" w:lineRule="auto"/>
    </w:pPr>
    <w:rPr>
      <w:rFonts w:cs="宋体"/>
      <w:b/>
    </w:rPr>
  </w:style>
  <w:style w:type="paragraph" w:customStyle="1" w:styleId="1386">
    <w:name w:val="样式 纯文本普通文字 Char表格文字表内文字纯文本 Char + 仿宋_GB2312 四号"/>
    <w:basedOn w:val="45"/>
    <w:qFormat/>
    <w:uiPriority w:val="0"/>
    <w:pPr>
      <w:widowControl/>
      <w:spacing w:line="240" w:lineRule="auto"/>
      <w:jc w:val="left"/>
    </w:pPr>
    <w:rPr>
      <w:rFonts w:hAnsi="仿宋_GB2312" w:cs="Courier New"/>
      <w:kern w:val="0"/>
      <w:sz w:val="28"/>
    </w:rPr>
  </w:style>
  <w:style w:type="paragraph" w:customStyle="1" w:styleId="1387">
    <w:name w:val="正文格式 Char Char Char Char Char Char Char Char Char Char Char Char Char"/>
    <w:basedOn w:val="1"/>
    <w:qFormat/>
    <w:uiPriority w:val="0"/>
    <w:pPr>
      <w:widowControl/>
      <w:spacing w:line="480" w:lineRule="exact"/>
      <w:ind w:firstLine="560" w:firstLineChars="200"/>
    </w:pPr>
    <w:rPr>
      <w:kern w:val="0"/>
      <w:sz w:val="28"/>
      <w:szCs w:val="28"/>
    </w:rPr>
  </w:style>
  <w:style w:type="paragraph" w:customStyle="1" w:styleId="1388">
    <w:name w:val="表号 Char Char Char Char Char"/>
    <w:basedOn w:val="1"/>
    <w:link w:val="1389"/>
    <w:qFormat/>
    <w:uiPriority w:val="0"/>
    <w:pPr>
      <w:spacing w:line="360" w:lineRule="auto"/>
      <w:textAlignment w:val="baseline"/>
    </w:pPr>
    <w:rPr>
      <w:sz w:val="24"/>
      <w:szCs w:val="20"/>
    </w:rPr>
  </w:style>
  <w:style w:type="character" w:customStyle="1" w:styleId="1389">
    <w:name w:val="表号 Char Char Char Char Char Char"/>
    <w:link w:val="1388"/>
    <w:qFormat/>
    <w:uiPriority w:val="0"/>
    <w:rPr>
      <w:rFonts w:ascii="Times New Roman" w:hAnsi="Times New Roman" w:eastAsia="宋体" w:cs="Times New Roman"/>
      <w:sz w:val="24"/>
      <w:szCs w:val="20"/>
    </w:rPr>
  </w:style>
  <w:style w:type="paragraph" w:customStyle="1" w:styleId="1390">
    <w:name w:val="图表内容"/>
    <w:basedOn w:val="1"/>
    <w:qFormat/>
    <w:uiPriority w:val="0"/>
    <w:pPr>
      <w:adjustRightInd w:val="0"/>
      <w:jc w:val="center"/>
      <w:textAlignment w:val="baseline"/>
    </w:pPr>
    <w:rPr>
      <w:rFonts w:ascii="宋体"/>
      <w:szCs w:val="20"/>
    </w:rPr>
  </w:style>
  <w:style w:type="paragraph" w:customStyle="1" w:styleId="1391">
    <w:name w:val="样式 标题 1标题 1 Char文号1章标题 1-*+h11st levelSection Headl1b1..."/>
    <w:basedOn w:val="4"/>
    <w:next w:val="1"/>
    <w:qFormat/>
    <w:uiPriority w:val="0"/>
    <w:pPr>
      <w:pageBreakBefore/>
      <w:tabs>
        <w:tab w:val="left" w:pos="425"/>
      </w:tabs>
      <w:ind w:left="425" w:hanging="425"/>
    </w:pPr>
    <w:rPr>
      <w:bCs w:val="0"/>
      <w:szCs w:val="32"/>
    </w:rPr>
  </w:style>
  <w:style w:type="paragraph" w:customStyle="1" w:styleId="1392">
    <w:name w:val="样式 样式 标题 4 + Times New Roman + 非加粗"/>
    <w:basedOn w:val="1"/>
    <w:next w:val="1"/>
    <w:qFormat/>
    <w:uiPriority w:val="0"/>
    <w:pPr>
      <w:keepNext/>
      <w:keepLines/>
      <w:tabs>
        <w:tab w:val="left" w:pos="1080"/>
      </w:tabs>
      <w:spacing w:before="280" w:after="290" w:line="376" w:lineRule="auto"/>
      <w:outlineLvl w:val="3"/>
    </w:pPr>
    <w:rPr>
      <w:rFonts w:eastAsia="仿宋_GB2312"/>
      <w:sz w:val="28"/>
      <w:szCs w:val="28"/>
    </w:rPr>
  </w:style>
  <w:style w:type="paragraph" w:customStyle="1" w:styleId="1393">
    <w:name w:val="样式 标题 2节标题 1.11.1标题2b2标题 2 Char + Times New Roman"/>
    <w:basedOn w:val="5"/>
    <w:next w:val="1"/>
    <w:qFormat/>
    <w:uiPriority w:val="0"/>
    <w:pPr>
      <w:keepNext w:val="0"/>
      <w:keepLines w:val="0"/>
      <w:numPr>
        <w:numId w:val="0"/>
      </w:numPr>
      <w:tabs>
        <w:tab w:val="left" w:pos="720"/>
      </w:tabs>
      <w:spacing w:before="160" w:after="160" w:line="520" w:lineRule="exact"/>
    </w:pPr>
    <w:rPr>
      <w:b/>
      <w:color w:val="000000"/>
      <w:sz w:val="30"/>
      <w:szCs w:val="30"/>
    </w:rPr>
  </w:style>
  <w:style w:type="paragraph" w:customStyle="1" w:styleId="1394">
    <w:name w:val="样式 小四 行距: 固定值 22 磅1"/>
    <w:basedOn w:val="1"/>
    <w:qFormat/>
    <w:uiPriority w:val="0"/>
    <w:pPr>
      <w:spacing w:beforeLines="100" w:line="560" w:lineRule="exact"/>
      <w:ind w:firstLine="562" w:firstLineChars="200"/>
      <w:outlineLvl w:val="0"/>
    </w:pPr>
    <w:rPr>
      <w:rFonts w:cs="宋体"/>
      <w:b/>
      <w:sz w:val="28"/>
      <w:szCs w:val="28"/>
    </w:rPr>
  </w:style>
  <w:style w:type="paragraph" w:customStyle="1" w:styleId="1395">
    <w:name w:val="内容"/>
    <w:basedOn w:val="1"/>
    <w:qFormat/>
    <w:uiPriority w:val="0"/>
    <w:pPr>
      <w:widowControl/>
      <w:overflowPunct w:val="0"/>
      <w:autoSpaceDE w:val="0"/>
      <w:autoSpaceDN w:val="0"/>
      <w:adjustRightInd w:val="0"/>
      <w:spacing w:line="360" w:lineRule="auto"/>
      <w:ind w:firstLine="560" w:firstLineChars="200"/>
      <w:jc w:val="left"/>
      <w:textAlignment w:val="baseline"/>
    </w:pPr>
    <w:rPr>
      <w:rFonts w:ascii="宋体" w:hAnsi="Garamond"/>
      <w:kern w:val="0"/>
      <w:sz w:val="28"/>
      <w:szCs w:val="20"/>
    </w:rPr>
  </w:style>
  <w:style w:type="paragraph" w:customStyle="1" w:styleId="1396">
    <w:name w:val="+正文"/>
    <w:basedOn w:val="1"/>
    <w:qFormat/>
    <w:uiPriority w:val="0"/>
    <w:pPr>
      <w:spacing w:line="360" w:lineRule="auto"/>
      <w:ind w:firstLine="200" w:firstLineChars="200"/>
    </w:pPr>
    <w:rPr>
      <w:sz w:val="28"/>
      <w:szCs w:val="28"/>
    </w:rPr>
  </w:style>
  <w:style w:type="paragraph" w:customStyle="1" w:styleId="1397">
    <w:name w:val="+列表2"/>
    <w:basedOn w:val="1"/>
    <w:qFormat/>
    <w:uiPriority w:val="0"/>
    <w:pPr>
      <w:jc w:val="center"/>
    </w:pPr>
    <w:rPr>
      <w:szCs w:val="21"/>
    </w:rPr>
  </w:style>
  <w:style w:type="paragraph" w:customStyle="1" w:styleId="1398">
    <w:name w:val="+列表编号"/>
    <w:basedOn w:val="21"/>
    <w:qFormat/>
    <w:uiPriority w:val="0"/>
    <w:pPr>
      <w:tabs>
        <w:tab w:val="center" w:pos="4320"/>
        <w:tab w:val="right" w:pos="8640"/>
        <w:tab w:val="clear" w:pos="432"/>
      </w:tabs>
      <w:spacing w:beforeLines="50" w:line="360" w:lineRule="auto"/>
      <w:ind w:left="0" w:firstLine="0"/>
      <w:jc w:val="center"/>
    </w:pPr>
    <w:rPr>
      <w:b/>
      <w:snapToGrid/>
      <w:spacing w:val="8"/>
      <w:kern w:val="2"/>
      <w:sz w:val="28"/>
      <w:szCs w:val="28"/>
    </w:rPr>
  </w:style>
  <w:style w:type="paragraph" w:customStyle="1" w:styleId="1399">
    <w:name w:val="样式 表格内容 Char + Times New Roman 黑色 居中 行距: 1.5 倍行距"/>
    <w:basedOn w:val="1"/>
    <w:qFormat/>
    <w:uiPriority w:val="0"/>
    <w:pPr>
      <w:tabs>
        <w:tab w:val="left" w:pos="-65"/>
      </w:tabs>
      <w:adjustRightInd w:val="0"/>
      <w:snapToGrid w:val="0"/>
      <w:spacing w:line="360" w:lineRule="auto"/>
      <w:ind w:firstLine="420" w:firstLineChars="200"/>
      <w:jc w:val="center"/>
    </w:pPr>
    <w:rPr>
      <w:rFonts w:cs="宋体"/>
      <w:color w:val="000000"/>
      <w:kern w:val="0"/>
      <w:szCs w:val="20"/>
    </w:rPr>
  </w:style>
  <w:style w:type="paragraph" w:customStyle="1" w:styleId="1400">
    <w:name w:val="样式 宋体 小四 居中 行距: 1.5 倍行距"/>
    <w:basedOn w:val="1"/>
    <w:qFormat/>
    <w:uiPriority w:val="0"/>
    <w:pPr>
      <w:jc w:val="center"/>
    </w:pPr>
    <w:rPr>
      <w:rFonts w:ascii="宋体"/>
      <w:sz w:val="24"/>
      <w:szCs w:val="20"/>
    </w:rPr>
  </w:style>
  <w:style w:type="paragraph" w:customStyle="1" w:styleId="1401">
    <w:name w:val="样式 首行缩进 + 首行缩进:  0 厘米 左  4 字符"/>
    <w:basedOn w:val="1"/>
    <w:qFormat/>
    <w:uiPriority w:val="0"/>
    <w:pPr>
      <w:spacing w:line="480" w:lineRule="exact"/>
      <w:ind w:left="840"/>
    </w:pPr>
    <w:rPr>
      <w:sz w:val="24"/>
      <w:szCs w:val="20"/>
    </w:rPr>
  </w:style>
  <w:style w:type="paragraph" w:customStyle="1" w:styleId="1402">
    <w:name w:val="首行缩进"/>
    <w:basedOn w:val="1"/>
    <w:qFormat/>
    <w:uiPriority w:val="0"/>
    <w:pPr>
      <w:spacing w:line="480" w:lineRule="exact"/>
      <w:ind w:firstLine="420"/>
    </w:pPr>
    <w:rPr>
      <w:sz w:val="24"/>
      <w:szCs w:val="20"/>
    </w:rPr>
  </w:style>
  <w:style w:type="paragraph" w:customStyle="1" w:styleId="1403">
    <w:name w:val="样式 (西文) 宋体 (中文) 仿宋_GB2312 五号 黑色 居中 首行缩进:  0 厘米 行距: 单倍行距"/>
    <w:basedOn w:val="1"/>
    <w:qFormat/>
    <w:uiPriority w:val="0"/>
    <w:pPr>
      <w:widowControl/>
      <w:jc w:val="center"/>
    </w:pPr>
    <w:rPr>
      <w:rFonts w:ascii="宋体" w:hAnsi="宋体"/>
      <w:color w:val="000000"/>
      <w:spacing w:val="5"/>
      <w:szCs w:val="20"/>
    </w:rPr>
  </w:style>
  <w:style w:type="paragraph" w:customStyle="1" w:styleId="1404">
    <w:name w:val="正文1.1.1"/>
    <w:basedOn w:val="1"/>
    <w:qFormat/>
    <w:uiPriority w:val="0"/>
    <w:rPr>
      <w:rFonts w:ascii="仿宋_GB2312" w:eastAsia="仿宋_GB2312"/>
      <w:color w:val="000000"/>
      <w:spacing w:val="-8"/>
      <w:w w:val="90"/>
      <w:sz w:val="28"/>
    </w:rPr>
  </w:style>
  <w:style w:type="character" w:customStyle="1" w:styleId="1405">
    <w:name w:val="正文文本 2 Char Char Char Char Char Char"/>
    <w:qFormat/>
    <w:uiPriority w:val="0"/>
    <w:rPr>
      <w:rFonts w:eastAsia="仿宋_GB2312"/>
      <w:kern w:val="2"/>
      <w:sz w:val="21"/>
      <w:szCs w:val="24"/>
      <w:lang w:val="en-US" w:eastAsia="zh-CN" w:bidi="ar-SA"/>
    </w:rPr>
  </w:style>
  <w:style w:type="paragraph" w:customStyle="1" w:styleId="1406">
    <w:name w:val="式样"/>
    <w:basedOn w:val="1"/>
    <w:next w:val="55"/>
    <w:qFormat/>
    <w:uiPriority w:val="0"/>
    <w:rPr>
      <w:szCs w:val="20"/>
    </w:rPr>
  </w:style>
  <w:style w:type="character" w:customStyle="1" w:styleId="1407">
    <w:name w:val="正文格式 Char Char Char Char Char Char Char Char Char Char Char Char Char Char"/>
    <w:qFormat/>
    <w:uiPriority w:val="0"/>
    <w:rPr>
      <w:rFonts w:eastAsia="宋体"/>
      <w:sz w:val="28"/>
      <w:szCs w:val="28"/>
      <w:lang w:val="en-US" w:eastAsia="zh-CN" w:bidi="ar-SA"/>
    </w:rPr>
  </w:style>
  <w:style w:type="paragraph" w:customStyle="1" w:styleId="1408">
    <w:name w:val="样式 正文格式 Char"/>
    <w:basedOn w:val="1387"/>
    <w:qFormat/>
    <w:uiPriority w:val="0"/>
    <w:pPr>
      <w:ind w:firstLine="200"/>
    </w:pPr>
    <w:rPr>
      <w:rFonts w:ascii="宋体" w:hAnsi="宋体"/>
    </w:rPr>
  </w:style>
  <w:style w:type="character" w:customStyle="1" w:styleId="1409">
    <w:name w:val="样式 正文格式 Char Char"/>
    <w:qFormat/>
    <w:uiPriority w:val="0"/>
    <w:rPr>
      <w:rFonts w:ascii="宋体" w:hAnsi="宋体" w:eastAsia="宋体"/>
      <w:sz w:val="28"/>
      <w:szCs w:val="28"/>
      <w:lang w:val="en-US" w:eastAsia="zh-CN" w:bidi="ar-SA"/>
    </w:rPr>
  </w:style>
  <w:style w:type="paragraph" w:customStyle="1" w:styleId="1410">
    <w:name w:val="样式 (西文) 宋体 (中文) 仿宋_GB2312 五号 黑色 居中 首行缩进:  0 厘米 行距: 单倍行距1"/>
    <w:basedOn w:val="1"/>
    <w:qFormat/>
    <w:uiPriority w:val="0"/>
    <w:pPr>
      <w:widowControl/>
      <w:jc w:val="center"/>
    </w:pPr>
    <w:rPr>
      <w:rFonts w:ascii="宋体" w:hAnsi="宋体"/>
      <w:color w:val="000000"/>
      <w:spacing w:val="5"/>
      <w:szCs w:val="20"/>
    </w:rPr>
  </w:style>
  <w:style w:type="paragraph" w:customStyle="1" w:styleId="1411">
    <w:name w:val="样式 (西文) 宋体 (中文) 仿宋_GB2312 五号 黑色 居中 首行缩进:  0 厘米 行距: 单倍行距2"/>
    <w:basedOn w:val="1"/>
    <w:qFormat/>
    <w:uiPriority w:val="0"/>
    <w:pPr>
      <w:widowControl/>
      <w:jc w:val="center"/>
    </w:pPr>
    <w:rPr>
      <w:rFonts w:ascii="宋体" w:hAnsi="宋体"/>
      <w:color w:val="000000"/>
      <w:spacing w:val="5"/>
      <w:szCs w:val="20"/>
    </w:rPr>
  </w:style>
  <w:style w:type="paragraph" w:customStyle="1" w:styleId="1412">
    <w:name w:val="样式 (西文) 宋体 (中文) 仿宋_GB2312 五号 黑色 居中 首行缩进:  0 厘米 行距: 单倍行距3"/>
    <w:basedOn w:val="1"/>
    <w:qFormat/>
    <w:uiPriority w:val="0"/>
    <w:pPr>
      <w:widowControl/>
      <w:jc w:val="center"/>
    </w:pPr>
    <w:rPr>
      <w:rFonts w:ascii="宋体" w:hAnsi="宋体"/>
      <w:color w:val="000000"/>
      <w:szCs w:val="20"/>
    </w:rPr>
  </w:style>
  <w:style w:type="paragraph" w:customStyle="1" w:styleId="1413">
    <w:name w:val="样式 (西文) 宋体 (中文) 仿宋_GB2312 五号 黑色 居中 首行缩进:  0 厘米 行距: 单倍行距4"/>
    <w:basedOn w:val="1"/>
    <w:qFormat/>
    <w:uiPriority w:val="0"/>
    <w:pPr>
      <w:widowControl/>
      <w:jc w:val="center"/>
    </w:pPr>
    <w:rPr>
      <w:rFonts w:ascii="宋体" w:hAnsi="宋体"/>
      <w:color w:val="000000"/>
      <w:szCs w:val="20"/>
    </w:rPr>
  </w:style>
  <w:style w:type="paragraph" w:customStyle="1" w:styleId="1414">
    <w:name w:val="样式 (西文) 宋体 (中文) 仿宋_GB2312 五号 黑色 居中 首行缩进:  0 厘米 行距: 单倍行距5"/>
    <w:basedOn w:val="1"/>
    <w:qFormat/>
    <w:uiPriority w:val="0"/>
    <w:pPr>
      <w:widowControl/>
      <w:jc w:val="center"/>
    </w:pPr>
    <w:rPr>
      <w:rFonts w:ascii="宋体" w:hAnsi="宋体" w:eastAsia="仿宋_GB2312"/>
      <w:color w:val="000000"/>
      <w:szCs w:val="20"/>
    </w:rPr>
  </w:style>
  <w:style w:type="paragraph" w:customStyle="1" w:styleId="1415">
    <w:name w:val="样式 (西文) 宋体 (中文) 仿宋_GB2312 五号 黑色 居中 首行缩进:  0 厘米 行距: 单倍行距6"/>
    <w:basedOn w:val="1"/>
    <w:qFormat/>
    <w:uiPriority w:val="0"/>
    <w:pPr>
      <w:widowControl/>
      <w:jc w:val="center"/>
    </w:pPr>
    <w:rPr>
      <w:rFonts w:ascii="宋体" w:hAnsi="宋体"/>
      <w:color w:val="000000"/>
      <w:kern w:val="0"/>
      <w:szCs w:val="20"/>
    </w:rPr>
  </w:style>
  <w:style w:type="character" w:customStyle="1" w:styleId="1416">
    <w:name w:val="正文格式 Char Char Char Char Char Char Char Char Char Char Char Char Char Char Char"/>
    <w:qFormat/>
    <w:uiPriority w:val="0"/>
    <w:rPr>
      <w:rFonts w:eastAsia="宋体"/>
      <w:kern w:val="2"/>
      <w:sz w:val="28"/>
      <w:szCs w:val="28"/>
      <w:lang w:val="en-US" w:eastAsia="zh-CN" w:bidi="ar-SA"/>
    </w:rPr>
  </w:style>
  <w:style w:type="paragraph" w:customStyle="1" w:styleId="1417">
    <w:name w:val="样式 标题 4 + 段前: 8 磅 段后: 8 磅"/>
    <w:basedOn w:val="7"/>
    <w:qFormat/>
    <w:uiPriority w:val="0"/>
    <w:pPr>
      <w:spacing w:before="160" w:afterLines="50" w:line="480" w:lineRule="exact"/>
      <w:textAlignment w:val="baseline"/>
    </w:pPr>
    <w:rPr>
      <w:rFonts w:cs="宋体"/>
      <w:bCs w:val="0"/>
      <w:szCs w:val="20"/>
    </w:rPr>
  </w:style>
  <w:style w:type="paragraph" w:customStyle="1" w:styleId="1418">
    <w:name w:val="样式 居中 首行缩进:  2 字符"/>
    <w:basedOn w:val="1"/>
    <w:qFormat/>
    <w:uiPriority w:val="0"/>
    <w:pPr>
      <w:spacing w:line="480" w:lineRule="exact"/>
      <w:ind w:firstLine="14" w:firstLineChars="5"/>
      <w:jc w:val="center"/>
    </w:pPr>
    <w:rPr>
      <w:rFonts w:cs="宋体"/>
      <w:sz w:val="28"/>
      <w:szCs w:val="20"/>
    </w:rPr>
  </w:style>
  <w:style w:type="paragraph" w:customStyle="1" w:styleId="1419">
    <w:name w:val="样式 样式 首行缩进:  2 字符 + 首行缩进:  0.05 字符"/>
    <w:basedOn w:val="670"/>
    <w:qFormat/>
    <w:uiPriority w:val="0"/>
    <w:pPr>
      <w:tabs>
        <w:tab w:val="clear" w:pos="560"/>
      </w:tabs>
      <w:spacing w:line="480" w:lineRule="exact"/>
      <w:ind w:firstLine="200"/>
      <w:jc w:val="left"/>
    </w:pPr>
    <w:rPr>
      <w:rFonts w:ascii="Times New Roman" w:hAnsi="Times New Roman" w:eastAsia="宋体"/>
    </w:rPr>
  </w:style>
  <w:style w:type="paragraph" w:customStyle="1" w:styleId="1420">
    <w:name w:val="样式 小四 行距: 固定值 22 磅"/>
    <w:basedOn w:val="1"/>
    <w:qFormat/>
    <w:uiPriority w:val="0"/>
    <w:pPr>
      <w:spacing w:line="440" w:lineRule="exact"/>
      <w:ind w:firstLine="480" w:firstLineChars="200"/>
    </w:pPr>
    <w:rPr>
      <w:rFonts w:cs="宋体"/>
      <w:sz w:val="28"/>
      <w:szCs w:val="20"/>
    </w:rPr>
  </w:style>
  <w:style w:type="character" w:customStyle="1" w:styleId="1421">
    <w:name w:val="样式 题注 + (西文) Times New Roman (中文) 宋体 四号 Char Char"/>
    <w:qFormat/>
    <w:uiPriority w:val="0"/>
    <w:rPr>
      <w:rFonts w:ascii="Times New Roman" w:hAnsi="Times New Roman" w:eastAsia="宋体" w:cs="Arial"/>
      <w:kern w:val="2"/>
      <w:sz w:val="28"/>
      <w:lang w:val="en-US" w:eastAsia="zh-CN" w:bidi="ar-SA"/>
    </w:rPr>
  </w:style>
  <w:style w:type="character" w:customStyle="1" w:styleId="1422">
    <w:name w:val="表格内容 Char Char"/>
    <w:qFormat/>
    <w:uiPriority w:val="0"/>
    <w:rPr>
      <w:rFonts w:eastAsia="仿宋_GB2312"/>
      <w:snapToGrid w:val="0"/>
      <w:sz w:val="24"/>
      <w:lang w:val="en-US" w:eastAsia="zh-CN" w:bidi="ar-SA"/>
    </w:rPr>
  </w:style>
  <w:style w:type="paragraph" w:customStyle="1" w:styleId="1423">
    <w:name w:val="密级编号"/>
    <w:basedOn w:val="1"/>
    <w:qFormat/>
    <w:uiPriority w:val="0"/>
    <w:pPr>
      <w:adjustRightInd w:val="0"/>
      <w:jc w:val="center"/>
      <w:textAlignment w:val="baseline"/>
    </w:pPr>
    <w:rPr>
      <w:rFonts w:ascii="仿宋_GB2312" w:eastAsia="仿宋_GB2312"/>
      <w:kern w:val="0"/>
      <w:sz w:val="24"/>
      <w:szCs w:val="20"/>
    </w:rPr>
  </w:style>
  <w:style w:type="paragraph" w:customStyle="1" w:styleId="1424">
    <w:name w:val="font12"/>
    <w:basedOn w:val="1"/>
    <w:qFormat/>
    <w:uiPriority w:val="0"/>
    <w:pPr>
      <w:widowControl/>
      <w:spacing w:before="100" w:beforeAutospacing="1" w:after="100" w:afterAutospacing="1"/>
      <w:jc w:val="left"/>
    </w:pPr>
    <w:rPr>
      <w:rFonts w:hint="eastAsia" w:ascii="宋体" w:hAnsi="宋体" w:cs="Arial Unicode MS"/>
      <w:color w:val="FF0000"/>
      <w:kern w:val="0"/>
      <w:sz w:val="20"/>
      <w:szCs w:val="20"/>
    </w:rPr>
  </w:style>
  <w:style w:type="paragraph" w:customStyle="1" w:styleId="1425">
    <w:name w:val="news"/>
    <w:basedOn w:val="1"/>
    <w:qFormat/>
    <w:uiPriority w:val="0"/>
    <w:pPr>
      <w:widowControl/>
      <w:spacing w:before="100" w:beforeAutospacing="1" w:after="100" w:afterAutospacing="1"/>
      <w:jc w:val="left"/>
    </w:pPr>
    <w:rPr>
      <w:rFonts w:ascii="宋体" w:hAnsi="宋体" w:cs="宋体"/>
      <w:kern w:val="0"/>
      <w:sz w:val="20"/>
      <w:szCs w:val="20"/>
    </w:rPr>
  </w:style>
  <w:style w:type="character" w:customStyle="1" w:styleId="1426">
    <w:name w:val="样式 宋体"/>
    <w:qFormat/>
    <w:uiPriority w:val="0"/>
    <w:rPr>
      <w:rFonts w:ascii="Times New Roman" w:hAnsi="Times New Roman" w:eastAsia="宋体"/>
      <w:color w:val="000000"/>
      <w:sz w:val="28"/>
      <w:szCs w:val="28"/>
      <w:u w:val="none"/>
    </w:rPr>
  </w:style>
  <w:style w:type="paragraph" w:customStyle="1" w:styleId="1427">
    <w:name w:val="样式 标题 4 + 宋体 行距: 1.5 倍行距"/>
    <w:basedOn w:val="7"/>
    <w:qFormat/>
    <w:uiPriority w:val="0"/>
    <w:pPr>
      <w:tabs>
        <w:tab w:val="left" w:pos="4320"/>
      </w:tabs>
      <w:spacing w:afterLines="50" w:line="480" w:lineRule="exact"/>
    </w:pPr>
  </w:style>
  <w:style w:type="paragraph" w:customStyle="1" w:styleId="1428">
    <w:name w:val="样式 图表 + 宋体"/>
    <w:basedOn w:val="327"/>
    <w:qFormat/>
    <w:uiPriority w:val="0"/>
    <w:pPr>
      <w:snapToGrid/>
      <w:spacing w:line="240" w:lineRule="auto"/>
    </w:pPr>
    <w:rPr>
      <w:spacing w:val="-14"/>
      <w:kern w:val="0"/>
      <w:szCs w:val="21"/>
    </w:rPr>
  </w:style>
  <w:style w:type="paragraph" w:customStyle="1" w:styleId="1429">
    <w:name w:val="图中文字5号"/>
    <w:basedOn w:val="1"/>
    <w:qFormat/>
    <w:uiPriority w:val="0"/>
    <w:pPr>
      <w:adjustRightInd w:val="0"/>
      <w:snapToGrid w:val="0"/>
      <w:jc w:val="center"/>
      <w:textAlignment w:val="baseline"/>
    </w:pPr>
    <w:rPr>
      <w:rFonts w:eastAsia="仿宋_GB2312"/>
      <w:kern w:val="28"/>
      <w:position w:val="-14"/>
      <w:szCs w:val="20"/>
    </w:rPr>
  </w:style>
  <w:style w:type="paragraph" w:customStyle="1" w:styleId="1430">
    <w:name w:val="b3"/>
    <w:basedOn w:val="4"/>
    <w:qFormat/>
    <w:uiPriority w:val="0"/>
    <w:pPr>
      <w:spacing w:line="360" w:lineRule="auto"/>
      <w:outlineLvl w:val="2"/>
    </w:pPr>
    <w:rPr>
      <w:sz w:val="28"/>
    </w:rPr>
  </w:style>
  <w:style w:type="paragraph" w:customStyle="1" w:styleId="1431">
    <w:name w:val="b4"/>
    <w:basedOn w:val="4"/>
    <w:qFormat/>
    <w:uiPriority w:val="0"/>
    <w:pPr>
      <w:spacing w:line="360" w:lineRule="auto"/>
      <w:outlineLvl w:val="3"/>
    </w:pPr>
    <w:rPr>
      <w:sz w:val="24"/>
    </w:rPr>
  </w:style>
  <w:style w:type="paragraph" w:customStyle="1" w:styleId="1432">
    <w:name w:val="默认段落字体 Para Char Char Char Char Char Char Char Char Char Char"/>
    <w:basedOn w:val="1"/>
    <w:qFormat/>
    <w:uiPriority w:val="0"/>
  </w:style>
  <w:style w:type="paragraph" w:customStyle="1" w:styleId="1433">
    <w:name w:val="_Style 51"/>
    <w:basedOn w:val="1"/>
    <w:next w:val="22"/>
    <w:qFormat/>
    <w:uiPriority w:val="0"/>
    <w:pPr>
      <w:ind w:firstLine="200" w:firstLineChars="200"/>
    </w:pPr>
    <w:rPr>
      <w:szCs w:val="20"/>
    </w:rPr>
  </w:style>
  <w:style w:type="paragraph" w:customStyle="1" w:styleId="1434">
    <w:name w:val="_Style 20"/>
    <w:basedOn w:val="1"/>
    <w:next w:val="35"/>
    <w:qFormat/>
    <w:uiPriority w:val="0"/>
    <w:pPr>
      <w:ind w:firstLine="200" w:firstLineChars="200"/>
    </w:pPr>
    <w:rPr>
      <w:szCs w:val="20"/>
    </w:rPr>
  </w:style>
  <w:style w:type="paragraph" w:customStyle="1" w:styleId="1435">
    <w:name w:val="_Style 27"/>
    <w:basedOn w:val="1"/>
    <w:next w:val="22"/>
    <w:qFormat/>
    <w:uiPriority w:val="0"/>
    <w:pPr>
      <w:ind w:firstLine="420"/>
    </w:pPr>
    <w:rPr>
      <w:szCs w:val="20"/>
    </w:rPr>
  </w:style>
  <w:style w:type="paragraph" w:customStyle="1" w:styleId="1436">
    <w:name w:val="_Style 46"/>
    <w:basedOn w:val="1"/>
    <w:next w:val="22"/>
    <w:qFormat/>
    <w:uiPriority w:val="0"/>
    <w:pPr>
      <w:ind w:firstLine="200" w:firstLineChars="200"/>
    </w:pPr>
    <w:rPr>
      <w:szCs w:val="20"/>
    </w:rPr>
  </w:style>
  <w:style w:type="paragraph" w:customStyle="1" w:styleId="1437">
    <w:name w:val="_Style 38"/>
    <w:basedOn w:val="1"/>
    <w:next w:val="22"/>
    <w:qFormat/>
    <w:uiPriority w:val="0"/>
    <w:pPr>
      <w:ind w:firstLine="200" w:firstLineChars="200"/>
    </w:pPr>
    <w:rPr>
      <w:szCs w:val="20"/>
    </w:rPr>
  </w:style>
  <w:style w:type="paragraph" w:customStyle="1" w:styleId="1438">
    <w:name w:val="_Style 48"/>
    <w:basedOn w:val="1"/>
    <w:next w:val="81"/>
    <w:qFormat/>
    <w:uiPriority w:val="0"/>
    <w:pPr>
      <w:widowControl/>
      <w:spacing w:before="100" w:beforeAutospacing="1" w:after="100" w:afterAutospacing="1"/>
      <w:jc w:val="left"/>
    </w:pPr>
    <w:rPr>
      <w:rFonts w:hint="eastAsia" w:ascii="宋体"/>
      <w:color w:val="000000"/>
      <w:kern w:val="0"/>
      <w:sz w:val="24"/>
      <w:szCs w:val="20"/>
    </w:rPr>
  </w:style>
  <w:style w:type="paragraph" w:customStyle="1" w:styleId="1439">
    <w:name w:val="bgt"/>
    <w:basedOn w:val="1"/>
    <w:next w:val="1"/>
    <w:qFormat/>
    <w:uiPriority w:val="0"/>
    <w:pPr>
      <w:spacing w:line="360" w:lineRule="auto"/>
      <w:ind w:right="480"/>
      <w:jc w:val="center"/>
    </w:pPr>
    <w:rPr>
      <w:rFonts w:ascii="宋体" w:hAnsi="宋体"/>
      <w:b/>
      <w:color w:val="000000"/>
      <w:sz w:val="24"/>
    </w:rPr>
  </w:style>
  <w:style w:type="character" w:customStyle="1" w:styleId="1440">
    <w:name w:val="要点 Char"/>
    <w:qFormat/>
    <w:uiPriority w:val="0"/>
    <w:rPr>
      <w:rFonts w:ascii="Times New Roman" w:eastAsia="宋体"/>
      <w:b/>
      <w:color w:val="000000"/>
      <w:spacing w:val="0"/>
      <w:w w:val="100"/>
      <w:sz w:val="21"/>
      <w:u w:val="none" w:color="000000"/>
      <w:vertAlign w:val="baseline"/>
      <w:lang w:val="en-US" w:eastAsia="zh-CN"/>
    </w:rPr>
  </w:style>
  <w:style w:type="character" w:customStyle="1" w:styleId="1441">
    <w:name w:val="11dpi1"/>
    <w:qFormat/>
    <w:uiPriority w:val="0"/>
    <w:rPr>
      <w:sz w:val="22"/>
      <w:szCs w:val="22"/>
    </w:rPr>
  </w:style>
  <w:style w:type="character" w:customStyle="1" w:styleId="1442">
    <w:name w:val="contents1"/>
    <w:qFormat/>
    <w:uiPriority w:val="0"/>
    <w:rPr>
      <w:rFonts w:hint="default" w:ascii="Verdana" w:hAnsi="Verdana"/>
      <w:color w:val="000000"/>
      <w:sz w:val="21"/>
      <w:szCs w:val="21"/>
    </w:rPr>
  </w:style>
  <w:style w:type="character" w:customStyle="1" w:styleId="1443">
    <w:name w:val="中远正文 Char"/>
    <w:qFormat/>
    <w:uiPriority w:val="0"/>
    <w:rPr>
      <w:rFonts w:eastAsia="宋体" w:cs="宋体"/>
      <w:snapToGrid w:val="0"/>
      <w:color w:val="000000"/>
      <w:kern w:val="24"/>
      <w:sz w:val="24"/>
      <w:lang w:val="en-US" w:eastAsia="zh-CN" w:bidi="ar-SA"/>
    </w:rPr>
  </w:style>
  <w:style w:type="paragraph" w:customStyle="1" w:styleId="1444">
    <w:name w:val="正文 + 宋体 小四"/>
    <w:basedOn w:val="1"/>
    <w:qFormat/>
    <w:uiPriority w:val="0"/>
    <w:pPr>
      <w:adjustRightInd w:val="0"/>
      <w:snapToGrid w:val="0"/>
      <w:spacing w:line="360" w:lineRule="auto"/>
      <w:textAlignment w:val="baseline"/>
    </w:pPr>
    <w:rPr>
      <w:rFonts w:ascii="宋体" w:hAnsi="宋体" w:cs="华文行楷"/>
      <w:snapToGrid w:val="0"/>
      <w:kern w:val="0"/>
      <w:sz w:val="24"/>
      <w:szCs w:val="20"/>
    </w:rPr>
  </w:style>
  <w:style w:type="paragraph" w:customStyle="1" w:styleId="1445">
    <w:name w:val="Char Char Char1 Char Char Char Char Char Char Char Char Char Char Char Char Char Char Char Char Char Char Char Char Char Char Char Char Char Char Char"/>
    <w:basedOn w:val="1"/>
    <w:semiHidden/>
    <w:qFormat/>
    <w:uiPriority w:val="0"/>
    <w:pPr>
      <w:spacing w:line="360" w:lineRule="auto"/>
      <w:jc w:val="left"/>
    </w:pPr>
    <w:rPr>
      <w:sz w:val="24"/>
    </w:rPr>
  </w:style>
  <w:style w:type="paragraph" w:customStyle="1" w:styleId="1446">
    <w:name w:val="样式 样式4 + 首行缩进:  0.75 字符"/>
    <w:basedOn w:val="698"/>
    <w:qFormat/>
    <w:uiPriority w:val="0"/>
    <w:pPr>
      <w:keepNext w:val="0"/>
      <w:keepLines w:val="0"/>
      <w:spacing w:before="0" w:after="0" w:line="480" w:lineRule="exact"/>
      <w:ind w:firstLine="480" w:firstLineChars="200"/>
      <w:outlineLvl w:val="9"/>
    </w:pPr>
    <w:rPr>
      <w:rFonts w:ascii="Times New Roman" w:eastAsia="新宋体"/>
      <w:bCs w:val="0"/>
      <w:sz w:val="24"/>
      <w:szCs w:val="24"/>
    </w:rPr>
  </w:style>
  <w:style w:type="paragraph" w:customStyle="1" w:styleId="1447">
    <w:name w:val="正文(首行缩进2字)"/>
    <w:basedOn w:val="1"/>
    <w:qFormat/>
    <w:uiPriority w:val="0"/>
    <w:pPr>
      <w:overflowPunct w:val="0"/>
      <w:autoSpaceDE w:val="0"/>
      <w:autoSpaceDN w:val="0"/>
      <w:adjustRightInd w:val="0"/>
      <w:snapToGrid w:val="0"/>
      <w:spacing w:before="60" w:after="60" w:line="300" w:lineRule="auto"/>
      <w:ind w:firstLine="200" w:firstLineChars="200"/>
      <w:textAlignment w:val="baseline"/>
    </w:pPr>
    <w:rPr>
      <w:kern w:val="0"/>
      <w:sz w:val="24"/>
      <w:szCs w:val="20"/>
    </w:rPr>
  </w:style>
  <w:style w:type="paragraph" w:customStyle="1" w:styleId="1448">
    <w:name w:val="样式 样式 样式 样式 样式4 + 首行缩进:  0.75 字符 + 首行缩进:  2 字符 + 首行缩进:  2 字符 + 首..."/>
    <w:basedOn w:val="1"/>
    <w:qFormat/>
    <w:uiPriority w:val="0"/>
    <w:pPr>
      <w:adjustRightInd w:val="0"/>
      <w:snapToGrid w:val="0"/>
      <w:spacing w:line="480" w:lineRule="exact"/>
      <w:ind w:firstLine="480" w:firstLineChars="200"/>
    </w:pPr>
    <w:rPr>
      <w:rFonts w:ascii="华文中宋" w:hAnsi="华文中宋" w:eastAsia="华文中宋"/>
      <w:sz w:val="24"/>
    </w:rPr>
  </w:style>
  <w:style w:type="paragraph" w:customStyle="1" w:styleId="1449">
    <w:name w:val="表1"/>
    <w:basedOn w:val="1"/>
    <w:link w:val="1450"/>
    <w:qFormat/>
    <w:uiPriority w:val="0"/>
    <w:pPr>
      <w:keepNext/>
      <w:overflowPunct w:val="0"/>
      <w:autoSpaceDE w:val="0"/>
      <w:adjustRightInd w:val="0"/>
      <w:snapToGrid w:val="0"/>
      <w:spacing w:beforeLines="50" w:line="360" w:lineRule="atLeast"/>
      <w:jc w:val="center"/>
      <w:textAlignment w:val="center"/>
    </w:pPr>
    <w:rPr>
      <w:rFonts w:eastAsia="华文中宋"/>
      <w:kern w:val="0"/>
      <w:sz w:val="24"/>
    </w:rPr>
  </w:style>
  <w:style w:type="character" w:customStyle="1" w:styleId="1450">
    <w:name w:val="表1 Char"/>
    <w:link w:val="1449"/>
    <w:qFormat/>
    <w:uiPriority w:val="0"/>
    <w:rPr>
      <w:rFonts w:ascii="Times New Roman" w:hAnsi="Times New Roman" w:eastAsia="华文中宋" w:cs="Times New Roman"/>
      <w:kern w:val="0"/>
      <w:sz w:val="24"/>
      <w:szCs w:val="24"/>
    </w:rPr>
  </w:style>
  <w:style w:type="paragraph" w:customStyle="1" w:styleId="1451">
    <w:name w:val="正文说明"/>
    <w:basedOn w:val="1"/>
    <w:qFormat/>
    <w:uiPriority w:val="0"/>
    <w:pPr>
      <w:adjustRightInd w:val="0"/>
      <w:spacing w:beforeLines="25" w:line="360" w:lineRule="auto"/>
      <w:ind w:firstLine="756"/>
    </w:pPr>
    <w:rPr>
      <w:rFonts w:ascii="宋体" w:hAnsi="宋体"/>
      <w:color w:val="FF0000"/>
      <w:kern w:val="0"/>
      <w:sz w:val="36"/>
      <w:szCs w:val="36"/>
      <w:bdr w:val="single" w:color="auto" w:sz="4" w:space="0"/>
    </w:rPr>
  </w:style>
  <w:style w:type="paragraph" w:customStyle="1" w:styleId="1452">
    <w:name w:val="样式 纯文本 + (符号) 宋体 居中"/>
    <w:basedOn w:val="45"/>
    <w:qFormat/>
    <w:uiPriority w:val="0"/>
    <w:pPr>
      <w:spacing w:line="240" w:lineRule="auto"/>
      <w:jc w:val="center"/>
    </w:pPr>
    <w:rPr>
      <w:rFonts w:hAnsi="宋体" w:cs="宋体"/>
      <w:kern w:val="0"/>
      <w:szCs w:val="21"/>
    </w:rPr>
  </w:style>
  <w:style w:type="paragraph" w:customStyle="1" w:styleId="1453">
    <w:name w:val="样式 纯文本 + (符号) 宋体 加粗 居中"/>
    <w:basedOn w:val="45"/>
    <w:qFormat/>
    <w:uiPriority w:val="0"/>
    <w:pPr>
      <w:spacing w:line="240" w:lineRule="auto"/>
      <w:jc w:val="center"/>
    </w:pPr>
    <w:rPr>
      <w:rFonts w:hAnsi="宋体" w:cs="宋体"/>
      <w:b/>
      <w:bCs/>
      <w:kern w:val="0"/>
      <w:szCs w:val="21"/>
    </w:rPr>
  </w:style>
  <w:style w:type="paragraph" w:customStyle="1" w:styleId="1454">
    <w:name w:val="样式 标题 3条标题1.1.1ReHead 3 WSAh3BSH-3H3b33rd levell3CT标题..."/>
    <w:basedOn w:val="6"/>
    <w:qFormat/>
    <w:uiPriority w:val="0"/>
    <w:pPr>
      <w:keepNext w:val="0"/>
      <w:keepLines w:val="0"/>
      <w:spacing w:before="120" w:after="120" w:line="240" w:lineRule="auto"/>
    </w:pPr>
    <w:rPr>
      <w:b/>
      <w:sz w:val="28"/>
    </w:rPr>
  </w:style>
  <w:style w:type="character" w:customStyle="1" w:styleId="1455">
    <w:name w:val="1正文段落 Char"/>
    <w:link w:val="653"/>
    <w:qFormat/>
    <w:uiPriority w:val="0"/>
    <w:rPr>
      <w:rFonts w:ascii="Times New Roman" w:hAnsi="Times New Roman" w:eastAsia="宋体" w:cs="Times New Roman"/>
      <w:snapToGrid w:val="0"/>
      <w:kern w:val="0"/>
      <w:sz w:val="24"/>
      <w:szCs w:val="24"/>
    </w:rPr>
  </w:style>
  <w:style w:type="character" w:customStyle="1" w:styleId="1456">
    <w:name w:val="表头 Char2"/>
    <w:link w:val="202"/>
    <w:qFormat/>
    <w:uiPriority w:val="0"/>
    <w:rPr>
      <w:rFonts w:ascii="Times New Roman" w:hAnsi="Times New Roman" w:eastAsia="黑体" w:cs="Times New Roman"/>
      <w:spacing w:val="-10"/>
      <w:kern w:val="0"/>
      <w:szCs w:val="11"/>
    </w:rPr>
  </w:style>
  <w:style w:type="character" w:customStyle="1" w:styleId="1457">
    <w:name w:val="f9"/>
    <w:qFormat/>
    <w:uiPriority w:val="0"/>
  </w:style>
  <w:style w:type="character" w:customStyle="1" w:styleId="1458">
    <w:name w:val="正文(首行缩进) Char1"/>
    <w:qFormat/>
    <w:uiPriority w:val="0"/>
    <w:rPr>
      <w:rFonts w:eastAsia="宋体"/>
      <w:snapToGrid w:val="0"/>
      <w:color w:val="000000"/>
      <w:sz w:val="24"/>
      <w:szCs w:val="24"/>
      <w:lang w:val="en-US" w:eastAsia="zh-CN" w:bidi="ar-SA"/>
    </w:rPr>
  </w:style>
  <w:style w:type="paragraph" w:customStyle="1" w:styleId="1459">
    <w:name w:val="a封面－项目名称"/>
    <w:basedOn w:val="1"/>
    <w:next w:val="1"/>
    <w:qFormat/>
    <w:uiPriority w:val="0"/>
    <w:pPr>
      <w:spacing w:beforeLines="50" w:afterLines="50" w:line="360" w:lineRule="auto"/>
      <w:jc w:val="center"/>
    </w:pPr>
    <w:rPr>
      <w:rFonts w:eastAsia="黑体"/>
      <w:b/>
      <w:sz w:val="48"/>
    </w:rPr>
  </w:style>
  <w:style w:type="character" w:customStyle="1" w:styleId="1460">
    <w:name w:val="caption1 Char"/>
    <w:link w:val="1461"/>
    <w:qFormat/>
    <w:uiPriority w:val="0"/>
    <w:rPr>
      <w:rFonts w:ascii="宋体"/>
      <w:sz w:val="24"/>
    </w:rPr>
  </w:style>
  <w:style w:type="paragraph" w:customStyle="1" w:styleId="1461">
    <w:name w:val="caption1"/>
    <w:basedOn w:val="1"/>
    <w:next w:val="1"/>
    <w:link w:val="1460"/>
    <w:qFormat/>
    <w:uiPriority w:val="0"/>
    <w:pPr>
      <w:adjustRightInd w:val="0"/>
      <w:spacing w:line="360" w:lineRule="atLeast"/>
      <w:jc w:val="center"/>
      <w:textAlignment w:val="baseline"/>
    </w:pPr>
    <w:rPr>
      <w:rFonts w:ascii="宋体" w:hAnsi="Calibri"/>
      <w:sz w:val="24"/>
      <w:szCs w:val="22"/>
    </w:rPr>
  </w:style>
  <w:style w:type="paragraph" w:customStyle="1" w:styleId="1462">
    <w:name w:val="样式 首行缩进:  0.77 厘米 行距: 固定值 20 磅"/>
    <w:basedOn w:val="1"/>
    <w:qFormat/>
    <w:uiPriority w:val="0"/>
    <w:pPr>
      <w:spacing w:line="360" w:lineRule="auto"/>
      <w:ind w:firstLine="480" w:firstLineChars="200"/>
    </w:pPr>
    <w:rPr>
      <w:rFonts w:ascii="宋体" w:cs="宋体"/>
      <w:kern w:val="0"/>
      <w:sz w:val="24"/>
    </w:rPr>
  </w:style>
  <w:style w:type="paragraph" w:customStyle="1" w:styleId="1463">
    <w:name w:val="表格（居中）"/>
    <w:basedOn w:val="1"/>
    <w:next w:val="1"/>
    <w:qFormat/>
    <w:uiPriority w:val="0"/>
    <w:pPr>
      <w:adjustRightInd w:val="0"/>
      <w:snapToGrid w:val="0"/>
      <w:spacing w:before="24" w:after="24" w:line="360" w:lineRule="auto"/>
      <w:ind w:left="15" w:hanging="99"/>
      <w:jc w:val="center"/>
    </w:pPr>
    <w:rPr>
      <w:szCs w:val="21"/>
    </w:rPr>
  </w:style>
  <w:style w:type="character" w:customStyle="1" w:styleId="1464">
    <w:name w:val="Part Char"/>
    <w:qFormat/>
    <w:uiPriority w:val="0"/>
    <w:rPr>
      <w:rFonts w:ascii="宋体" w:eastAsia="宋体"/>
      <w:b/>
      <w:bCs/>
      <w:kern w:val="44"/>
      <w:sz w:val="36"/>
      <w:szCs w:val="36"/>
      <w:lang w:val="en-US" w:eastAsia="zh-CN" w:bidi="ar-SA"/>
    </w:rPr>
  </w:style>
  <w:style w:type="paragraph" w:customStyle="1" w:styleId="1465">
    <w:name w:val="表内5"/>
    <w:basedOn w:val="8"/>
    <w:qFormat/>
    <w:uiPriority w:val="0"/>
    <w:pPr>
      <w:keepNext w:val="0"/>
      <w:keepLines w:val="0"/>
      <w:numPr>
        <w:ilvl w:val="0"/>
        <w:numId w:val="0"/>
      </w:numPr>
      <w:tabs>
        <w:tab w:val="left" w:pos="4305"/>
      </w:tabs>
      <w:snapToGrid w:val="0"/>
      <w:spacing w:before="0" w:after="0" w:line="240" w:lineRule="auto"/>
      <w:ind w:left="-51" w:leftChars="-51" w:right="-107" w:rightChars="-51" w:hanging="107" w:hangingChars="51"/>
      <w:jc w:val="center"/>
      <w:textAlignment w:val="auto"/>
      <w:outlineLvl w:val="9"/>
    </w:pPr>
    <w:rPr>
      <w:b w:val="0"/>
      <w:bCs w:val="0"/>
      <w:kern w:val="2"/>
      <w:sz w:val="21"/>
      <w:szCs w:val="21"/>
    </w:rPr>
  </w:style>
  <w:style w:type="paragraph" w:customStyle="1" w:styleId="1466">
    <w:name w:val="CM110"/>
    <w:basedOn w:val="165"/>
    <w:next w:val="165"/>
    <w:qFormat/>
    <w:uiPriority w:val="0"/>
    <w:pPr>
      <w:spacing w:after="115"/>
    </w:pPr>
    <w:rPr>
      <w:rFonts w:ascii="黑体" w:eastAsia="黑体"/>
      <w:color w:val="auto"/>
      <w:szCs w:val="20"/>
    </w:rPr>
  </w:style>
  <w:style w:type="paragraph" w:customStyle="1" w:styleId="1467">
    <w:name w:val="杠式表格"/>
    <w:basedOn w:val="1"/>
    <w:qFormat/>
    <w:uiPriority w:val="0"/>
    <w:pPr>
      <w:adjustRightInd w:val="0"/>
      <w:spacing w:after="60" w:line="312" w:lineRule="atLeast"/>
      <w:jc w:val="center"/>
      <w:textAlignment w:val="baseline"/>
    </w:pPr>
    <w:rPr>
      <w:kern w:val="0"/>
      <w:szCs w:val="20"/>
    </w:rPr>
  </w:style>
  <w:style w:type="paragraph" w:customStyle="1" w:styleId="1468">
    <w:name w:val="CM11"/>
    <w:basedOn w:val="165"/>
    <w:next w:val="165"/>
    <w:qFormat/>
    <w:uiPriority w:val="0"/>
    <w:pPr>
      <w:spacing w:line="468" w:lineRule="atLeast"/>
    </w:pPr>
    <w:rPr>
      <w:rFonts w:ascii="宋体"/>
      <w:color w:val="auto"/>
      <w:szCs w:val="20"/>
    </w:rPr>
  </w:style>
  <w:style w:type="paragraph" w:customStyle="1" w:styleId="1469">
    <w:name w:val="CM10"/>
    <w:basedOn w:val="165"/>
    <w:next w:val="165"/>
    <w:qFormat/>
    <w:uiPriority w:val="0"/>
    <w:pPr>
      <w:spacing w:line="468" w:lineRule="atLeast"/>
    </w:pPr>
    <w:rPr>
      <w:rFonts w:ascii="宋体"/>
      <w:color w:val="auto"/>
      <w:szCs w:val="20"/>
    </w:rPr>
  </w:style>
  <w:style w:type="paragraph" w:customStyle="1" w:styleId="1470">
    <w:name w:val="河石管道 表格文字小五"/>
    <w:qFormat/>
    <w:uiPriority w:val="0"/>
    <w:pPr>
      <w:tabs>
        <w:tab w:val="left" w:pos="277"/>
        <w:tab w:val="left" w:pos="600"/>
        <w:tab w:val="left" w:pos="780"/>
        <w:tab w:val="left" w:pos="2517"/>
      </w:tabs>
      <w:adjustRightInd w:val="0"/>
      <w:jc w:val="both"/>
      <w:textAlignment w:val="baseline"/>
    </w:pPr>
    <w:rPr>
      <w:rFonts w:ascii="Times New Roman" w:hAnsi="Times New Roman" w:eastAsia="宋体" w:cs="Times New Roman"/>
      <w:sz w:val="18"/>
      <w:szCs w:val="21"/>
      <w:lang w:val="en-US" w:eastAsia="zh-CN" w:bidi="ar-SA"/>
    </w:rPr>
  </w:style>
  <w:style w:type="paragraph" w:customStyle="1" w:styleId="1471">
    <w:name w:val="图题"/>
    <w:basedOn w:val="73"/>
    <w:next w:val="1"/>
    <w:link w:val="1472"/>
    <w:qFormat/>
    <w:uiPriority w:val="0"/>
    <w:pPr>
      <w:ind w:left="0" w:firstLine="0"/>
      <w:jc w:val="center"/>
    </w:pPr>
    <w:rPr>
      <w:rFonts w:ascii="方正大标宋简体" w:eastAsia="方正大标宋简体"/>
      <w:smallCaps w:val="0"/>
      <w:sz w:val="24"/>
      <w:szCs w:val="24"/>
    </w:rPr>
  </w:style>
  <w:style w:type="character" w:customStyle="1" w:styleId="1472">
    <w:name w:val="图题 Char"/>
    <w:link w:val="1471"/>
    <w:qFormat/>
    <w:uiPriority w:val="0"/>
    <w:rPr>
      <w:rFonts w:ascii="方正大标宋简体" w:hAnsi="Times New Roman" w:eastAsia="方正大标宋简体" w:cs="Times New Roman"/>
      <w:sz w:val="24"/>
      <w:szCs w:val="24"/>
    </w:rPr>
  </w:style>
  <w:style w:type="paragraph" w:customStyle="1" w:styleId="1473">
    <w:name w:val="样式 首行缩进:  0.77 厘米 行距: 固定值 20 磅41"/>
    <w:basedOn w:val="1"/>
    <w:qFormat/>
    <w:uiPriority w:val="0"/>
    <w:pPr>
      <w:spacing w:line="360" w:lineRule="auto"/>
      <w:ind w:firstLine="468" w:firstLineChars="195"/>
      <w:jc w:val="left"/>
    </w:pPr>
    <w:rPr>
      <w:sz w:val="24"/>
      <w:szCs w:val="20"/>
    </w:rPr>
  </w:style>
  <w:style w:type="paragraph" w:customStyle="1" w:styleId="1474">
    <w:name w:val="正文格式1"/>
    <w:basedOn w:val="1"/>
    <w:qFormat/>
    <w:uiPriority w:val="0"/>
    <w:pPr>
      <w:spacing w:line="360" w:lineRule="auto"/>
      <w:ind w:firstLine="482"/>
    </w:pPr>
    <w:rPr>
      <w:rFonts w:ascii="宋体" w:cs="宋体"/>
      <w:sz w:val="24"/>
    </w:rPr>
  </w:style>
  <w:style w:type="paragraph" w:customStyle="1" w:styleId="1475">
    <w:name w:val="图题1"/>
    <w:basedOn w:val="73"/>
    <w:next w:val="1"/>
    <w:qFormat/>
    <w:uiPriority w:val="0"/>
    <w:pPr>
      <w:ind w:left="0" w:firstLine="0"/>
      <w:jc w:val="center"/>
    </w:pPr>
    <w:rPr>
      <w:rFonts w:ascii="方正大标宋简体" w:eastAsia="方正大标宋简体"/>
      <w:smallCaps w:val="0"/>
      <w:sz w:val="24"/>
      <w:szCs w:val="24"/>
    </w:rPr>
  </w:style>
  <w:style w:type="paragraph" w:customStyle="1" w:styleId="1476">
    <w:name w:val="表格内字体1"/>
    <w:basedOn w:val="1"/>
    <w:qFormat/>
    <w:uiPriority w:val="0"/>
    <w:pPr>
      <w:jc w:val="center"/>
    </w:pPr>
    <w:rPr>
      <w:rFonts w:ascii="宋体" w:cs="宋体"/>
      <w:szCs w:val="20"/>
    </w:rPr>
  </w:style>
  <w:style w:type="paragraph" w:customStyle="1" w:styleId="1477">
    <w:name w:val="In Table"/>
    <w:basedOn w:val="1"/>
    <w:qFormat/>
    <w:uiPriority w:val="0"/>
    <w:pPr>
      <w:tabs>
        <w:tab w:val="left" w:pos="3960"/>
        <w:tab w:val="left" w:pos="5280"/>
      </w:tabs>
      <w:adjustRightInd w:val="0"/>
      <w:snapToGrid w:val="0"/>
      <w:spacing w:before="96" w:after="96" w:line="0" w:lineRule="atLeast"/>
      <w:jc w:val="center"/>
      <w:textAlignment w:val="baseline"/>
    </w:pPr>
    <w:rPr>
      <w:rFonts w:ascii="Tahoma" w:hAnsi="Tahoma" w:eastAsia="华文中宋"/>
      <w:kern w:val="0"/>
      <w:szCs w:val="20"/>
    </w:rPr>
  </w:style>
  <w:style w:type="paragraph" w:customStyle="1" w:styleId="1478">
    <w:name w:val="样式 正文段落 + 首行缩进:  2 字符"/>
    <w:basedOn w:val="1"/>
    <w:qFormat/>
    <w:uiPriority w:val="0"/>
    <w:pPr>
      <w:widowControl/>
      <w:tabs>
        <w:tab w:val="left" w:pos="227"/>
      </w:tabs>
      <w:overflowPunct w:val="0"/>
      <w:autoSpaceDE w:val="0"/>
      <w:autoSpaceDN w:val="0"/>
      <w:adjustRightInd w:val="0"/>
      <w:spacing w:before="100" w:beforeAutospacing="1" w:after="100" w:afterAutospacing="1" w:line="360" w:lineRule="auto"/>
      <w:ind w:firstLine="480" w:firstLineChars="200"/>
      <w:textAlignment w:val="baseline"/>
    </w:pPr>
    <w:rPr>
      <w:rFonts w:eastAsia="仿宋_GB2312"/>
      <w:kern w:val="0"/>
      <w:sz w:val="24"/>
      <w:szCs w:val="20"/>
    </w:rPr>
  </w:style>
  <w:style w:type="character" w:customStyle="1" w:styleId="1479">
    <w:name w:val="font4"/>
    <w:qFormat/>
    <w:uiPriority w:val="0"/>
  </w:style>
  <w:style w:type="character" w:customStyle="1" w:styleId="1480">
    <w:name w:val="style91"/>
    <w:qFormat/>
    <w:uiPriority w:val="0"/>
    <w:rPr>
      <w:color w:val="000000"/>
      <w:sz w:val="14"/>
      <w:szCs w:val="14"/>
      <w:u w:val="none"/>
    </w:rPr>
  </w:style>
  <w:style w:type="paragraph" w:customStyle="1" w:styleId="1481">
    <w:name w:val="样式 首行缩进:  1.71 字符6"/>
    <w:basedOn w:val="1"/>
    <w:qFormat/>
    <w:uiPriority w:val="0"/>
    <w:pPr>
      <w:spacing w:line="360" w:lineRule="auto"/>
      <w:ind w:right="25" w:rightChars="12" w:firstLine="540" w:firstLineChars="225"/>
    </w:pPr>
    <w:rPr>
      <w:kern w:val="0"/>
      <w:sz w:val="24"/>
      <w:szCs w:val="20"/>
    </w:rPr>
  </w:style>
  <w:style w:type="paragraph" w:customStyle="1" w:styleId="1482">
    <w:name w:val="样式 正文首行缩进 + 首行缩进:  1 字符3"/>
    <w:basedOn w:val="86"/>
    <w:qFormat/>
    <w:uiPriority w:val="0"/>
    <w:pPr>
      <w:spacing w:line="500" w:lineRule="exact"/>
      <w:ind w:firstLine="200"/>
      <w:textAlignment w:val="center"/>
    </w:pPr>
    <w:rPr>
      <w:rFonts w:ascii="宋体" w:hAnsi="宋体" w:cs="宋体"/>
      <w:snapToGrid/>
      <w:kern w:val="0"/>
    </w:rPr>
  </w:style>
  <w:style w:type="character" w:customStyle="1" w:styleId="1483">
    <w:name w:val="表名 Char Char"/>
    <w:qFormat/>
    <w:uiPriority w:val="0"/>
    <w:rPr>
      <w:rFonts w:ascii="Arial" w:hAnsi="Arial" w:eastAsia="宋体"/>
      <w:b/>
      <w:snapToGrid w:val="0"/>
      <w:sz w:val="24"/>
      <w:szCs w:val="18"/>
      <w:lang w:val="en-US" w:eastAsia="zh-CN" w:bidi="ar-SA"/>
    </w:rPr>
  </w:style>
  <w:style w:type="paragraph" w:customStyle="1" w:styleId="1484">
    <w:name w:val="样式 首行缩进:  0.77 厘米 行距: 固定值 20 磅43"/>
    <w:basedOn w:val="1"/>
    <w:qFormat/>
    <w:uiPriority w:val="0"/>
    <w:pPr>
      <w:spacing w:line="360" w:lineRule="auto"/>
      <w:ind w:firstLine="480" w:firstLineChars="200"/>
    </w:pPr>
    <w:rPr>
      <w:rFonts w:cs="宋体"/>
      <w:sz w:val="24"/>
      <w:szCs w:val="20"/>
    </w:rPr>
  </w:style>
  <w:style w:type="paragraph" w:customStyle="1" w:styleId="1485">
    <w:name w:val="图题3"/>
    <w:basedOn w:val="73"/>
    <w:next w:val="1"/>
    <w:qFormat/>
    <w:uiPriority w:val="0"/>
    <w:pPr>
      <w:ind w:left="0" w:firstLine="0"/>
      <w:jc w:val="center"/>
    </w:pPr>
    <w:rPr>
      <w:rFonts w:ascii="方正大标宋简体" w:eastAsia="方正大标宋简体"/>
      <w:smallCaps w:val="0"/>
      <w:sz w:val="24"/>
      <w:szCs w:val="24"/>
    </w:rPr>
  </w:style>
  <w:style w:type="paragraph" w:customStyle="1" w:styleId="1486">
    <w:name w:val="样式 (符号) 宋体 行距: 最小值 12 磅2"/>
    <w:basedOn w:val="1"/>
    <w:qFormat/>
    <w:uiPriority w:val="0"/>
    <w:rPr>
      <w:rFonts w:hAnsi="宋体" w:cs="宋体"/>
      <w:color w:val="000000"/>
      <w:sz w:val="18"/>
      <w:szCs w:val="18"/>
    </w:rPr>
  </w:style>
  <w:style w:type="paragraph" w:customStyle="1" w:styleId="1487">
    <w:name w:val="表格内字体3"/>
    <w:basedOn w:val="1"/>
    <w:qFormat/>
    <w:uiPriority w:val="0"/>
    <w:pPr>
      <w:jc w:val="center"/>
    </w:pPr>
    <w:rPr>
      <w:rFonts w:ascii="宋体" w:cs="宋体"/>
      <w:szCs w:val="20"/>
    </w:rPr>
  </w:style>
  <w:style w:type="paragraph" w:customStyle="1" w:styleId="1488">
    <w:name w:val="表题3"/>
    <w:basedOn w:val="1"/>
    <w:qFormat/>
    <w:uiPriority w:val="0"/>
    <w:pPr>
      <w:adjustRightInd w:val="0"/>
      <w:snapToGrid w:val="0"/>
      <w:spacing w:before="180" w:after="60"/>
      <w:jc w:val="center"/>
    </w:pPr>
    <w:rPr>
      <w:b/>
      <w:kern w:val="0"/>
      <w:szCs w:val="20"/>
    </w:rPr>
  </w:style>
  <w:style w:type="paragraph" w:customStyle="1" w:styleId="1489">
    <w:name w:val="正文文本21"/>
    <w:basedOn w:val="1"/>
    <w:semiHidden/>
    <w:qFormat/>
    <w:uiPriority w:val="0"/>
    <w:pPr>
      <w:spacing w:line="360" w:lineRule="auto"/>
      <w:ind w:firstLine="480" w:firstLineChars="200"/>
    </w:pPr>
    <w:rPr>
      <w:rFonts w:ascii="宋体" w:cs="宋体"/>
      <w:sz w:val="24"/>
      <w:szCs w:val="20"/>
    </w:rPr>
  </w:style>
  <w:style w:type="character" w:customStyle="1" w:styleId="1490">
    <w:name w:val="正文格式 Char"/>
    <w:link w:val="1192"/>
    <w:qFormat/>
    <w:uiPriority w:val="0"/>
    <w:rPr>
      <w:rFonts w:ascii="Times New Roman" w:hAnsi="Times New Roman" w:eastAsia="宋体" w:cs="Times New Roman"/>
      <w:sz w:val="24"/>
    </w:rPr>
  </w:style>
  <w:style w:type="paragraph" w:customStyle="1" w:styleId="1491">
    <w:name w:val="表格内字体"/>
    <w:basedOn w:val="1"/>
    <w:next w:val="76"/>
    <w:link w:val="1492"/>
    <w:qFormat/>
    <w:uiPriority w:val="0"/>
    <w:pPr>
      <w:jc w:val="center"/>
    </w:pPr>
    <w:rPr>
      <w:rFonts w:ascii="宋体" w:cs="宋体"/>
      <w:szCs w:val="21"/>
    </w:rPr>
  </w:style>
  <w:style w:type="character" w:customStyle="1" w:styleId="1492">
    <w:name w:val="表格内字体 Char"/>
    <w:link w:val="1491"/>
    <w:qFormat/>
    <w:uiPriority w:val="0"/>
    <w:rPr>
      <w:rFonts w:ascii="宋体" w:hAnsi="Times New Roman" w:eastAsia="宋体" w:cs="宋体"/>
      <w:szCs w:val="21"/>
    </w:rPr>
  </w:style>
  <w:style w:type="paragraph" w:customStyle="1" w:styleId="1493">
    <w:name w:val="12点"/>
    <w:basedOn w:val="1"/>
    <w:qFormat/>
    <w:uiPriority w:val="0"/>
    <w:pPr>
      <w:adjustRightInd w:val="0"/>
      <w:snapToGrid w:val="0"/>
      <w:spacing w:line="300" w:lineRule="auto"/>
      <w:ind w:firstLine="560" w:firstLineChars="200"/>
    </w:pPr>
    <w:rPr>
      <w:rFonts w:ascii="宋体" w:hAnsi="宋体"/>
      <w:sz w:val="28"/>
      <w:szCs w:val="28"/>
    </w:rPr>
  </w:style>
  <w:style w:type="paragraph" w:customStyle="1" w:styleId="1494">
    <w:name w:val="样式 首行缩进:  0.77 厘米 行距: 固定值 20 磅48"/>
    <w:basedOn w:val="1"/>
    <w:qFormat/>
    <w:uiPriority w:val="0"/>
    <w:pPr>
      <w:spacing w:line="360" w:lineRule="auto"/>
      <w:ind w:firstLine="360" w:firstLineChars="150"/>
      <w:jc w:val="left"/>
    </w:pPr>
    <w:rPr>
      <w:rFonts w:cs="宋体"/>
      <w:color w:val="FF0000"/>
      <w:sz w:val="24"/>
      <w:szCs w:val="20"/>
    </w:rPr>
  </w:style>
  <w:style w:type="paragraph" w:customStyle="1" w:styleId="1495">
    <w:name w:val="样式 首行缩进:  0.77 厘米 行距: 固定值 20 磅47"/>
    <w:basedOn w:val="1"/>
    <w:qFormat/>
    <w:uiPriority w:val="0"/>
    <w:pPr>
      <w:spacing w:line="360" w:lineRule="auto"/>
      <w:ind w:firstLine="480" w:firstLineChars="200"/>
      <w:jc w:val="left"/>
    </w:pPr>
    <w:rPr>
      <w:rFonts w:cs="宋体"/>
      <w:sz w:val="24"/>
      <w:szCs w:val="20"/>
    </w:rPr>
  </w:style>
  <w:style w:type="paragraph" w:customStyle="1" w:styleId="1496">
    <w:name w:val="表格内字体7"/>
    <w:basedOn w:val="1"/>
    <w:qFormat/>
    <w:uiPriority w:val="0"/>
    <w:pPr>
      <w:jc w:val="center"/>
    </w:pPr>
    <w:rPr>
      <w:rFonts w:ascii="宋体" w:cs="宋体"/>
      <w:szCs w:val="20"/>
    </w:rPr>
  </w:style>
  <w:style w:type="paragraph" w:customStyle="1" w:styleId="1497">
    <w:name w:val="表题7"/>
    <w:basedOn w:val="1"/>
    <w:qFormat/>
    <w:uiPriority w:val="0"/>
    <w:pPr>
      <w:adjustRightInd w:val="0"/>
      <w:snapToGrid w:val="0"/>
      <w:spacing w:before="180" w:after="60"/>
      <w:jc w:val="center"/>
    </w:pPr>
    <w:rPr>
      <w:b/>
      <w:kern w:val="0"/>
      <w:szCs w:val="20"/>
    </w:rPr>
  </w:style>
  <w:style w:type="paragraph" w:customStyle="1" w:styleId="1498">
    <w:name w:val="居中四号"/>
    <w:qFormat/>
    <w:uiPriority w:val="0"/>
    <w:pPr>
      <w:spacing w:line="300" w:lineRule="auto"/>
      <w:jc w:val="center"/>
    </w:pPr>
    <w:rPr>
      <w:rFonts w:ascii="Times New Roman" w:hAnsi="Times New Roman" w:eastAsia="宋体" w:cs="Times New Roman"/>
      <w:sz w:val="28"/>
      <w:lang w:val="en-US" w:eastAsia="zh-CN" w:bidi="ar-SA"/>
    </w:rPr>
  </w:style>
  <w:style w:type="paragraph" w:customStyle="1" w:styleId="1499">
    <w:name w:val="表格内部"/>
    <w:basedOn w:val="1"/>
    <w:qFormat/>
    <w:uiPriority w:val="0"/>
    <w:pPr>
      <w:adjustRightInd w:val="0"/>
      <w:snapToGrid w:val="0"/>
      <w:spacing w:line="240" w:lineRule="atLeast"/>
      <w:jc w:val="center"/>
      <w:textAlignment w:val="baseline"/>
    </w:pPr>
    <w:rPr>
      <w:rFonts w:ascii="Arial" w:hAnsi="Arial" w:cs="Arial"/>
      <w:kern w:val="0"/>
      <w:szCs w:val="20"/>
    </w:rPr>
  </w:style>
  <w:style w:type="paragraph" w:customStyle="1" w:styleId="1500">
    <w:name w:val="样式 首行缩进:  1.71 字符7"/>
    <w:basedOn w:val="1"/>
    <w:qFormat/>
    <w:uiPriority w:val="0"/>
    <w:pPr>
      <w:spacing w:line="360" w:lineRule="auto"/>
      <w:ind w:right="210" w:rightChars="100" w:firstLine="540" w:firstLineChars="225"/>
    </w:pPr>
    <w:rPr>
      <w:rFonts w:ascii="宋体" w:hAnsi="宋体" w:cs="宋体"/>
      <w:sz w:val="24"/>
      <w:szCs w:val="20"/>
    </w:rPr>
  </w:style>
  <w:style w:type="paragraph" w:customStyle="1" w:styleId="1501">
    <w:name w:val="表格内字体4"/>
    <w:basedOn w:val="1192"/>
    <w:qFormat/>
    <w:uiPriority w:val="0"/>
    <w:pPr>
      <w:spacing w:line="240" w:lineRule="auto"/>
      <w:ind w:firstLine="0" w:firstLineChars="0"/>
      <w:jc w:val="center"/>
    </w:pPr>
    <w:rPr>
      <w:rFonts w:ascii="宋体" w:cs="宋体"/>
      <w:sz w:val="21"/>
      <w:szCs w:val="20"/>
    </w:rPr>
  </w:style>
  <w:style w:type="paragraph" w:customStyle="1" w:styleId="1502">
    <w:name w:val="样式 首行缩进:  1.71 字符14"/>
    <w:basedOn w:val="86"/>
    <w:qFormat/>
    <w:uiPriority w:val="0"/>
    <w:pPr>
      <w:spacing w:line="360" w:lineRule="auto"/>
      <w:ind w:firstLine="410" w:firstLineChars="171"/>
    </w:pPr>
    <w:rPr>
      <w:rFonts w:cs="宋体"/>
      <w:snapToGrid/>
      <w:szCs w:val="20"/>
    </w:rPr>
  </w:style>
  <w:style w:type="character" w:customStyle="1" w:styleId="1503">
    <w:name w:val="节标题 Char2"/>
    <w:qFormat/>
    <w:uiPriority w:val="0"/>
    <w:rPr>
      <w:rFonts w:ascii="Arial" w:hAnsi="Arial" w:eastAsia="黑体"/>
      <w:b/>
      <w:bCs/>
      <w:kern w:val="2"/>
      <w:sz w:val="32"/>
      <w:szCs w:val="32"/>
      <w:lang w:val="en-US" w:eastAsia="zh-CN" w:bidi="ar-SA"/>
    </w:rPr>
  </w:style>
  <w:style w:type="paragraph" w:customStyle="1" w:styleId="1504">
    <w:name w:val="样式 首行缩进:  1.71 字符19"/>
    <w:basedOn w:val="1"/>
    <w:qFormat/>
    <w:uiPriority w:val="0"/>
    <w:pPr>
      <w:spacing w:line="360" w:lineRule="auto"/>
    </w:pPr>
    <w:rPr>
      <w:rFonts w:cs="宋体"/>
      <w:color w:val="FF0000"/>
      <w:sz w:val="24"/>
    </w:rPr>
  </w:style>
  <w:style w:type="paragraph" w:customStyle="1" w:styleId="1505">
    <w:name w:val="表格内字体10"/>
    <w:basedOn w:val="1"/>
    <w:qFormat/>
    <w:uiPriority w:val="0"/>
    <w:pPr>
      <w:jc w:val="center"/>
    </w:pPr>
    <w:rPr>
      <w:rFonts w:ascii="宋体" w:cs="宋体"/>
      <w:szCs w:val="20"/>
    </w:rPr>
  </w:style>
  <w:style w:type="paragraph" w:customStyle="1" w:styleId="1506">
    <w:name w:val="表题10"/>
    <w:basedOn w:val="1"/>
    <w:qFormat/>
    <w:uiPriority w:val="0"/>
    <w:pPr>
      <w:adjustRightInd w:val="0"/>
      <w:snapToGrid w:val="0"/>
      <w:spacing w:before="180" w:after="60"/>
      <w:jc w:val="center"/>
    </w:pPr>
    <w:rPr>
      <w:b/>
      <w:kern w:val="0"/>
      <w:szCs w:val="20"/>
    </w:rPr>
  </w:style>
  <w:style w:type="paragraph" w:customStyle="1" w:styleId="1507">
    <w:name w:val="样式 首行缩进:  0.77 厘米 行距: 固定值 20 磅415"/>
    <w:basedOn w:val="1"/>
    <w:qFormat/>
    <w:uiPriority w:val="0"/>
    <w:pPr>
      <w:spacing w:line="360" w:lineRule="auto"/>
      <w:ind w:firstLine="480" w:firstLineChars="200"/>
    </w:pPr>
    <w:rPr>
      <w:rFonts w:cs="宋体"/>
      <w:sz w:val="24"/>
      <w:szCs w:val="20"/>
    </w:rPr>
  </w:style>
  <w:style w:type="paragraph" w:customStyle="1" w:styleId="1508">
    <w:name w:val="表格内字体11"/>
    <w:basedOn w:val="1"/>
    <w:qFormat/>
    <w:uiPriority w:val="0"/>
    <w:pPr>
      <w:jc w:val="center"/>
    </w:pPr>
    <w:rPr>
      <w:rFonts w:ascii="宋体" w:cs="宋体"/>
      <w:szCs w:val="20"/>
    </w:rPr>
  </w:style>
  <w:style w:type="paragraph" w:customStyle="1" w:styleId="1509">
    <w:name w:val="样式 黑色13"/>
    <w:basedOn w:val="1"/>
    <w:qFormat/>
    <w:uiPriority w:val="0"/>
    <w:pPr>
      <w:spacing w:line="360" w:lineRule="auto"/>
      <w:ind w:firstLine="359" w:firstLineChars="171"/>
    </w:pPr>
    <w:rPr>
      <w:rFonts w:cs="宋体"/>
      <w:color w:val="000000"/>
      <w:sz w:val="24"/>
      <w:szCs w:val="20"/>
    </w:rPr>
  </w:style>
  <w:style w:type="paragraph" w:customStyle="1" w:styleId="1510">
    <w:name w:val="图题注"/>
    <w:basedOn w:val="23"/>
    <w:link w:val="3053"/>
    <w:qFormat/>
    <w:uiPriority w:val="0"/>
    <w:pPr>
      <w:spacing w:line="240" w:lineRule="auto"/>
      <w:ind w:firstLine="0" w:firstLineChars="0"/>
      <w:jc w:val="center"/>
    </w:pPr>
    <w:rPr>
      <w:rFonts w:ascii="黑体" w:cs="宋体"/>
      <w:b/>
      <w:bCs/>
      <w:snapToGrid/>
      <w:kern w:val="2"/>
      <w:sz w:val="24"/>
      <w:szCs w:val="24"/>
    </w:rPr>
  </w:style>
  <w:style w:type="paragraph" w:customStyle="1" w:styleId="1511">
    <w:name w:val="表格内字体5"/>
    <w:basedOn w:val="1192"/>
    <w:qFormat/>
    <w:uiPriority w:val="0"/>
    <w:pPr>
      <w:spacing w:line="240" w:lineRule="auto"/>
      <w:ind w:firstLine="0" w:firstLineChars="0"/>
      <w:jc w:val="center"/>
    </w:pPr>
    <w:rPr>
      <w:rFonts w:ascii="宋体" w:cs="宋体"/>
      <w:sz w:val="21"/>
      <w:szCs w:val="20"/>
    </w:rPr>
  </w:style>
  <w:style w:type="paragraph" w:customStyle="1" w:styleId="1512">
    <w:name w:val="样式 黑色14"/>
    <w:basedOn w:val="1"/>
    <w:qFormat/>
    <w:uiPriority w:val="0"/>
    <w:pPr>
      <w:spacing w:line="360" w:lineRule="auto"/>
      <w:ind w:firstLine="359" w:firstLineChars="171"/>
    </w:pPr>
    <w:rPr>
      <w:rFonts w:cs="宋体"/>
      <w:color w:val="000000"/>
      <w:sz w:val="24"/>
      <w:szCs w:val="20"/>
    </w:rPr>
  </w:style>
  <w:style w:type="paragraph" w:customStyle="1" w:styleId="1513">
    <w:name w:val="表题5"/>
    <w:basedOn w:val="1"/>
    <w:qFormat/>
    <w:uiPriority w:val="0"/>
    <w:pPr>
      <w:adjustRightInd w:val="0"/>
      <w:snapToGrid w:val="0"/>
      <w:spacing w:before="180" w:after="60"/>
      <w:jc w:val="center"/>
    </w:pPr>
    <w:rPr>
      <w:b/>
      <w:kern w:val="0"/>
      <w:szCs w:val="20"/>
    </w:rPr>
  </w:style>
  <w:style w:type="paragraph" w:customStyle="1" w:styleId="1514">
    <w:name w:val="样式 样式 首行缩进:  1.71 字符31 + 左 首行缩进:  1.71 字符"/>
    <w:basedOn w:val="1"/>
    <w:next w:val="1"/>
    <w:link w:val="1515"/>
    <w:qFormat/>
    <w:uiPriority w:val="0"/>
    <w:pPr>
      <w:spacing w:line="360" w:lineRule="auto"/>
      <w:ind w:firstLine="410"/>
      <w:jc w:val="left"/>
    </w:pPr>
    <w:rPr>
      <w:rFonts w:cs="宋体"/>
      <w:sz w:val="24"/>
      <w:szCs w:val="20"/>
    </w:rPr>
  </w:style>
  <w:style w:type="character" w:customStyle="1" w:styleId="1515">
    <w:name w:val="样式 样式 首行缩进:  1.71 字符31 + 左 首行缩进:  1.71 字符 Char"/>
    <w:link w:val="1514"/>
    <w:qFormat/>
    <w:uiPriority w:val="0"/>
    <w:rPr>
      <w:rFonts w:ascii="Times New Roman" w:hAnsi="Times New Roman" w:eastAsia="宋体" w:cs="宋体"/>
      <w:sz w:val="24"/>
      <w:szCs w:val="20"/>
    </w:rPr>
  </w:style>
  <w:style w:type="paragraph" w:customStyle="1" w:styleId="1516">
    <w:name w:val="样式 首行缩进:  0.77 厘米 行距: 固定值 20 磅46"/>
    <w:basedOn w:val="1"/>
    <w:qFormat/>
    <w:uiPriority w:val="0"/>
    <w:pPr>
      <w:spacing w:line="360" w:lineRule="auto"/>
      <w:ind w:right="25" w:rightChars="12" w:firstLine="480" w:firstLineChars="200"/>
    </w:pPr>
    <w:rPr>
      <w:rFonts w:cs="宋体"/>
      <w:kern w:val="0"/>
      <w:sz w:val="24"/>
      <w:szCs w:val="20"/>
    </w:rPr>
  </w:style>
  <w:style w:type="paragraph" w:customStyle="1" w:styleId="1517">
    <w:name w:val="表格内字体6"/>
    <w:basedOn w:val="1"/>
    <w:qFormat/>
    <w:uiPriority w:val="0"/>
    <w:pPr>
      <w:jc w:val="center"/>
    </w:pPr>
    <w:rPr>
      <w:rFonts w:ascii="宋体" w:cs="宋体"/>
      <w:szCs w:val="20"/>
    </w:rPr>
  </w:style>
  <w:style w:type="paragraph" w:customStyle="1" w:styleId="1518">
    <w:name w:val="表题6"/>
    <w:basedOn w:val="1"/>
    <w:qFormat/>
    <w:uiPriority w:val="0"/>
    <w:pPr>
      <w:adjustRightInd w:val="0"/>
      <w:snapToGrid w:val="0"/>
      <w:spacing w:before="180" w:after="60"/>
      <w:jc w:val="center"/>
    </w:pPr>
    <w:rPr>
      <w:b/>
      <w:kern w:val="0"/>
      <w:szCs w:val="20"/>
    </w:rPr>
  </w:style>
  <w:style w:type="paragraph" w:customStyle="1" w:styleId="1519">
    <w:name w:val="样式 首行缩进:  1.71 字符"/>
    <w:basedOn w:val="1"/>
    <w:qFormat/>
    <w:uiPriority w:val="0"/>
    <w:pPr>
      <w:spacing w:line="360" w:lineRule="auto"/>
    </w:pPr>
    <w:rPr>
      <w:rFonts w:cs="宋体"/>
      <w:color w:val="FF0000"/>
      <w:sz w:val="24"/>
    </w:rPr>
  </w:style>
  <w:style w:type="paragraph" w:customStyle="1" w:styleId="1520">
    <w:name w:val="表芯"/>
    <w:basedOn w:val="1"/>
    <w:next w:val="1"/>
    <w:qFormat/>
    <w:uiPriority w:val="0"/>
    <w:pPr>
      <w:keepNext/>
      <w:adjustRightInd w:val="0"/>
      <w:spacing w:before="20" w:line="0" w:lineRule="atLeast"/>
      <w:jc w:val="center"/>
      <w:textAlignment w:val="baseline"/>
    </w:pPr>
    <w:rPr>
      <w:kern w:val="21"/>
      <w:szCs w:val="20"/>
    </w:rPr>
  </w:style>
  <w:style w:type="paragraph" w:customStyle="1" w:styleId="1521">
    <w:name w:val="Char Char Char Char Char1 Char"/>
    <w:basedOn w:val="1"/>
    <w:semiHidden/>
    <w:qFormat/>
    <w:uiPriority w:val="0"/>
  </w:style>
  <w:style w:type="paragraph" w:customStyle="1" w:styleId="1522">
    <w:name w:val="样式 首行缩进:  0.77 厘米 行距: 固定值 20 磅6"/>
    <w:basedOn w:val="1"/>
    <w:qFormat/>
    <w:uiPriority w:val="0"/>
    <w:pPr>
      <w:spacing w:line="360" w:lineRule="auto"/>
      <w:ind w:firstLine="435"/>
    </w:pPr>
    <w:rPr>
      <w:rFonts w:cs="宋体"/>
      <w:sz w:val="24"/>
      <w:szCs w:val="20"/>
    </w:rPr>
  </w:style>
  <w:style w:type="paragraph" w:customStyle="1" w:styleId="1523">
    <w:name w:val="样式 首行缩进:  0.77 厘米 行距: 固定值 20 磅32"/>
    <w:basedOn w:val="1"/>
    <w:qFormat/>
    <w:uiPriority w:val="0"/>
    <w:pPr>
      <w:spacing w:line="360" w:lineRule="auto"/>
      <w:ind w:firstLine="435"/>
    </w:pPr>
    <w:rPr>
      <w:rFonts w:cs="宋体"/>
      <w:sz w:val="24"/>
      <w:szCs w:val="20"/>
    </w:rPr>
  </w:style>
  <w:style w:type="paragraph" w:customStyle="1" w:styleId="1524">
    <w:name w:val="表格文字3"/>
    <w:basedOn w:val="1"/>
    <w:qFormat/>
    <w:uiPriority w:val="0"/>
    <w:pPr>
      <w:autoSpaceDE w:val="0"/>
      <w:autoSpaceDN w:val="0"/>
      <w:adjustRightInd w:val="0"/>
      <w:jc w:val="center"/>
    </w:pPr>
    <w:rPr>
      <w:rFonts w:ascii="宋体" w:hAnsi="宋体"/>
      <w:snapToGrid w:val="0"/>
      <w:kern w:val="0"/>
      <w:szCs w:val="20"/>
    </w:rPr>
  </w:style>
  <w:style w:type="character" w:customStyle="1" w:styleId="1525">
    <w:name w:val="defaultfont"/>
    <w:qFormat/>
    <w:uiPriority w:val="0"/>
  </w:style>
  <w:style w:type="paragraph" w:customStyle="1" w:styleId="1526">
    <w:name w:val="样式 行距: 最小值 12 磅3"/>
    <w:basedOn w:val="1"/>
    <w:qFormat/>
    <w:uiPriority w:val="0"/>
    <w:pPr>
      <w:spacing w:line="360" w:lineRule="auto"/>
      <w:ind w:firstLine="480" w:firstLineChars="200"/>
    </w:pPr>
    <w:rPr>
      <w:rFonts w:ascii="宋体" w:hAnsi="宋体"/>
      <w:sz w:val="24"/>
      <w:szCs w:val="20"/>
    </w:rPr>
  </w:style>
  <w:style w:type="paragraph" w:customStyle="1" w:styleId="1527">
    <w:name w:val="样式 首行缩进:  0.77 厘米 行距: 固定值 20 磅7"/>
    <w:basedOn w:val="1"/>
    <w:qFormat/>
    <w:uiPriority w:val="0"/>
    <w:pPr>
      <w:spacing w:line="360" w:lineRule="auto"/>
      <w:ind w:firstLine="480" w:firstLineChars="200"/>
    </w:pPr>
    <w:rPr>
      <w:sz w:val="24"/>
    </w:rPr>
  </w:style>
  <w:style w:type="paragraph" w:customStyle="1" w:styleId="1528">
    <w:name w:val="样式 首行缩进:  1.71 字符13"/>
    <w:basedOn w:val="86"/>
    <w:qFormat/>
    <w:uiPriority w:val="0"/>
    <w:pPr>
      <w:spacing w:line="360" w:lineRule="auto"/>
      <w:ind w:firstLine="359" w:firstLineChars="171"/>
    </w:pPr>
    <w:rPr>
      <w:rFonts w:cs="宋体"/>
      <w:snapToGrid/>
      <w:szCs w:val="20"/>
    </w:rPr>
  </w:style>
  <w:style w:type="paragraph" w:customStyle="1" w:styleId="1529">
    <w:name w:val="样式 首行缩进:  1.71 字符32"/>
    <w:basedOn w:val="1"/>
    <w:qFormat/>
    <w:uiPriority w:val="0"/>
    <w:pPr>
      <w:spacing w:line="360" w:lineRule="auto"/>
      <w:ind w:firstLine="480" w:firstLineChars="200"/>
    </w:pPr>
    <w:rPr>
      <w:sz w:val="24"/>
    </w:rPr>
  </w:style>
  <w:style w:type="paragraph" w:customStyle="1" w:styleId="1530">
    <w:name w:val="表格正文1"/>
    <w:basedOn w:val="1"/>
    <w:qFormat/>
    <w:uiPriority w:val="0"/>
    <w:pPr>
      <w:spacing w:line="360" w:lineRule="auto"/>
      <w:ind w:firstLine="480" w:firstLineChars="200"/>
      <w:jc w:val="center"/>
    </w:pPr>
    <w:rPr>
      <w:sz w:val="24"/>
    </w:rPr>
  </w:style>
  <w:style w:type="paragraph" w:customStyle="1" w:styleId="1531">
    <w:name w:val="样式 首行缩进:  1.71 字符11"/>
    <w:basedOn w:val="1"/>
    <w:qFormat/>
    <w:uiPriority w:val="0"/>
    <w:pPr>
      <w:spacing w:line="360" w:lineRule="auto"/>
      <w:ind w:firstLine="359" w:firstLineChars="171"/>
    </w:pPr>
    <w:rPr>
      <w:rFonts w:cs="宋体"/>
      <w:sz w:val="24"/>
      <w:szCs w:val="20"/>
    </w:rPr>
  </w:style>
  <w:style w:type="paragraph" w:customStyle="1" w:styleId="1532">
    <w:name w:val="表内文字小1"/>
    <w:basedOn w:val="1"/>
    <w:qFormat/>
    <w:uiPriority w:val="0"/>
    <w:pPr>
      <w:adjustRightInd w:val="0"/>
      <w:snapToGrid w:val="0"/>
      <w:jc w:val="center"/>
    </w:pPr>
    <w:rPr>
      <w:rFonts w:ascii="宋体" w:hAnsi="Times"/>
      <w:szCs w:val="20"/>
    </w:rPr>
  </w:style>
  <w:style w:type="paragraph" w:customStyle="1" w:styleId="1533">
    <w:name w:val="style3"/>
    <w:basedOn w:val="1"/>
    <w:semiHidden/>
    <w:qFormat/>
    <w:uiPriority w:val="0"/>
    <w:pPr>
      <w:widowControl/>
      <w:spacing w:before="100" w:beforeAutospacing="1" w:after="100" w:afterAutospacing="1" w:line="360" w:lineRule="auto"/>
      <w:ind w:firstLine="360"/>
      <w:jc w:val="left"/>
    </w:pPr>
    <w:rPr>
      <w:rFonts w:ascii="宋体" w:hAnsi="宋体" w:cs="宋体"/>
      <w:color w:val="FFFFFF"/>
      <w:kern w:val="0"/>
      <w:sz w:val="18"/>
      <w:szCs w:val="18"/>
    </w:rPr>
  </w:style>
  <w:style w:type="paragraph" w:customStyle="1" w:styleId="1534">
    <w:name w:val="样式 首行缩进:  0.77 厘米 行距: 固定值 20 磅416"/>
    <w:basedOn w:val="1"/>
    <w:qFormat/>
    <w:uiPriority w:val="0"/>
    <w:pPr>
      <w:spacing w:line="360" w:lineRule="auto"/>
      <w:ind w:firstLine="480" w:firstLineChars="200"/>
    </w:pPr>
    <w:rPr>
      <w:sz w:val="24"/>
    </w:rPr>
  </w:style>
  <w:style w:type="paragraph" w:customStyle="1" w:styleId="1535">
    <w:name w:val="表格内字体12"/>
    <w:basedOn w:val="1192"/>
    <w:qFormat/>
    <w:uiPriority w:val="0"/>
    <w:pPr>
      <w:spacing w:line="240" w:lineRule="auto"/>
      <w:ind w:firstLine="0" w:firstLineChars="0"/>
      <w:jc w:val="center"/>
    </w:pPr>
    <w:rPr>
      <w:rFonts w:ascii="宋体" w:cs="宋体"/>
      <w:sz w:val="21"/>
      <w:szCs w:val="20"/>
    </w:rPr>
  </w:style>
  <w:style w:type="paragraph" w:customStyle="1" w:styleId="1536">
    <w:name w:val="河石管道 表头84"/>
    <w:qFormat/>
    <w:uiPriority w:val="0"/>
    <w:pPr>
      <w:spacing w:line="0" w:lineRule="atLeast"/>
      <w:jc w:val="both"/>
    </w:pPr>
    <w:rPr>
      <w:rFonts w:ascii="Times New Roman" w:hAnsi="Times New Roman" w:eastAsia="宋体" w:cs="Times New Roman"/>
      <w:b/>
      <w:bCs/>
      <w:sz w:val="18"/>
      <w:lang w:val="en-US" w:eastAsia="zh-CN" w:bidi="ar-SA"/>
    </w:rPr>
  </w:style>
  <w:style w:type="paragraph" w:customStyle="1" w:styleId="1537">
    <w:name w:val="河石管道 表格正文54"/>
    <w:qFormat/>
    <w:uiPriority w:val="0"/>
    <w:pPr>
      <w:spacing w:line="0" w:lineRule="atLeast"/>
      <w:jc w:val="both"/>
    </w:pPr>
    <w:rPr>
      <w:rFonts w:ascii="Times New Roman" w:hAnsi="Times New Roman" w:eastAsia="宋体" w:cs="Times New Roman"/>
      <w:kern w:val="2"/>
      <w:sz w:val="18"/>
      <w:lang w:val="en-US" w:eastAsia="zh-CN" w:bidi="ar-SA"/>
    </w:rPr>
  </w:style>
  <w:style w:type="paragraph" w:customStyle="1" w:styleId="1538">
    <w:name w:val="样式 首行缩进:  0.77 厘米 行距: 固定值 20 磅49"/>
    <w:basedOn w:val="1"/>
    <w:qFormat/>
    <w:uiPriority w:val="0"/>
    <w:pPr>
      <w:spacing w:line="360" w:lineRule="auto"/>
      <w:ind w:firstLine="360" w:firstLineChars="150"/>
      <w:jc w:val="left"/>
    </w:pPr>
    <w:rPr>
      <w:color w:val="FF0000"/>
      <w:sz w:val="24"/>
      <w:szCs w:val="20"/>
    </w:rPr>
  </w:style>
  <w:style w:type="paragraph" w:customStyle="1" w:styleId="1539">
    <w:name w:val="表内文字小13"/>
    <w:basedOn w:val="1"/>
    <w:qFormat/>
    <w:uiPriority w:val="0"/>
    <w:pPr>
      <w:adjustRightInd w:val="0"/>
      <w:snapToGrid w:val="0"/>
      <w:jc w:val="center"/>
    </w:pPr>
    <w:rPr>
      <w:rFonts w:ascii="宋体" w:hAnsi="Times"/>
      <w:szCs w:val="20"/>
    </w:rPr>
  </w:style>
  <w:style w:type="paragraph" w:customStyle="1" w:styleId="1540">
    <w:name w:val="表格内字体9"/>
    <w:basedOn w:val="1"/>
    <w:qFormat/>
    <w:uiPriority w:val="0"/>
    <w:pPr>
      <w:jc w:val="center"/>
    </w:pPr>
    <w:rPr>
      <w:rFonts w:ascii="宋体"/>
      <w:szCs w:val="20"/>
    </w:rPr>
  </w:style>
  <w:style w:type="character" w:customStyle="1" w:styleId="1541">
    <w:name w:val="HTML 地址 Char"/>
    <w:link w:val="41"/>
    <w:qFormat/>
    <w:uiPriority w:val="0"/>
    <w:rPr>
      <w:rFonts w:ascii="Times New Roman" w:hAnsi="Times New Roman" w:eastAsia="宋体" w:cs="Times New Roman"/>
      <w:i/>
      <w:iCs/>
      <w:szCs w:val="20"/>
    </w:rPr>
  </w:style>
  <w:style w:type="character" w:customStyle="1" w:styleId="1542">
    <w:name w:val="电子邮件签名 Char"/>
    <w:link w:val="20"/>
    <w:qFormat/>
    <w:uiPriority w:val="0"/>
    <w:rPr>
      <w:rFonts w:ascii="Times New Roman" w:hAnsi="Times New Roman" w:eastAsia="宋体" w:cs="Times New Roman"/>
      <w:szCs w:val="20"/>
    </w:rPr>
  </w:style>
  <w:style w:type="character" w:customStyle="1" w:styleId="1543">
    <w:name w:val="结束语 Char"/>
    <w:link w:val="33"/>
    <w:qFormat/>
    <w:uiPriority w:val="0"/>
    <w:rPr>
      <w:rFonts w:ascii="Times New Roman" w:hAnsi="Times New Roman" w:eastAsia="宋体" w:cs="Times New Roman"/>
      <w:szCs w:val="20"/>
    </w:rPr>
  </w:style>
  <w:style w:type="character" w:customStyle="1" w:styleId="1544">
    <w:name w:val="尾注文本 Char"/>
    <w:link w:val="52"/>
    <w:qFormat/>
    <w:uiPriority w:val="0"/>
    <w:rPr>
      <w:rFonts w:ascii="Times New Roman" w:hAnsi="Times New Roman" w:eastAsia="宋体" w:cs="Times New Roman"/>
      <w:szCs w:val="20"/>
    </w:rPr>
  </w:style>
  <w:style w:type="character" w:customStyle="1" w:styleId="1545">
    <w:name w:val="信息标题 Char"/>
    <w:link w:val="79"/>
    <w:qFormat/>
    <w:uiPriority w:val="0"/>
    <w:rPr>
      <w:rFonts w:ascii="Arial" w:hAnsi="Arial" w:eastAsia="宋体" w:cs="Arial"/>
      <w:sz w:val="24"/>
      <w:szCs w:val="24"/>
      <w:shd w:val="pct20" w:color="auto" w:fill="auto"/>
    </w:rPr>
  </w:style>
  <w:style w:type="paragraph" w:customStyle="1" w:styleId="1546">
    <w:name w:val="图号"/>
    <w:basedOn w:val="1"/>
    <w:qFormat/>
    <w:uiPriority w:val="0"/>
    <w:pPr>
      <w:spacing w:line="520" w:lineRule="exact"/>
      <w:jc w:val="center"/>
    </w:pPr>
    <w:rPr>
      <w:rFonts w:eastAsia="黑体"/>
      <w:snapToGrid w:val="0"/>
      <w:color w:val="000000"/>
      <w:kern w:val="0"/>
      <w:sz w:val="24"/>
    </w:rPr>
  </w:style>
  <w:style w:type="paragraph" w:customStyle="1" w:styleId="1547">
    <w:name w:val="表格内容（新）"/>
    <w:basedOn w:val="1"/>
    <w:qFormat/>
    <w:uiPriority w:val="0"/>
    <w:pPr>
      <w:jc w:val="center"/>
    </w:pPr>
    <w:rPr>
      <w:rFonts w:cs="宋体"/>
      <w:color w:val="339966"/>
      <w:sz w:val="18"/>
      <w:szCs w:val="18"/>
    </w:rPr>
  </w:style>
  <w:style w:type="paragraph" w:customStyle="1" w:styleId="1548">
    <w:name w:val="正文仿宋小四"/>
    <w:basedOn w:val="1"/>
    <w:qFormat/>
    <w:uiPriority w:val="0"/>
    <w:pPr>
      <w:adjustRightInd w:val="0"/>
      <w:snapToGrid w:val="0"/>
      <w:spacing w:line="360" w:lineRule="auto"/>
      <w:ind w:firstLine="480" w:firstLineChars="200"/>
    </w:pPr>
    <w:rPr>
      <w:rFonts w:eastAsia="仿宋_GB2312"/>
      <w:sz w:val="24"/>
    </w:rPr>
  </w:style>
  <w:style w:type="paragraph" w:customStyle="1" w:styleId="1549">
    <w:name w:val="正文图五"/>
    <w:basedOn w:val="1"/>
    <w:qFormat/>
    <w:uiPriority w:val="0"/>
    <w:pPr>
      <w:adjustRightInd w:val="0"/>
      <w:snapToGrid w:val="0"/>
      <w:jc w:val="center"/>
    </w:pPr>
    <w:rPr>
      <w:rFonts w:eastAsia="仿宋_GB2312"/>
      <w:snapToGrid w:val="0"/>
      <w:spacing w:val="6"/>
      <w:szCs w:val="20"/>
    </w:rPr>
  </w:style>
  <w:style w:type="character" w:customStyle="1" w:styleId="1550">
    <w:name w:val="样式 正文A + (中文) PMingLiU Char Char"/>
    <w:qFormat/>
    <w:uiPriority w:val="0"/>
    <w:rPr>
      <w:rFonts w:hint="eastAsia" w:ascii="宋体" w:hAnsi="宋体" w:eastAsia="宋体" w:cs="宋体"/>
      <w:kern w:val="2"/>
      <w:sz w:val="24"/>
      <w:szCs w:val="24"/>
      <w:lang w:val="en-US" w:eastAsia="zh-CN" w:bidi="ar-SA"/>
    </w:rPr>
  </w:style>
  <w:style w:type="paragraph" w:customStyle="1" w:styleId="1551">
    <w:name w:val="可研标题1"/>
    <w:basedOn w:val="4"/>
    <w:link w:val="1552"/>
    <w:qFormat/>
    <w:uiPriority w:val="0"/>
    <w:rPr>
      <w:rFonts w:ascii="黑体"/>
      <w:b/>
      <w:sz w:val="32"/>
      <w:szCs w:val="30"/>
    </w:rPr>
  </w:style>
  <w:style w:type="character" w:customStyle="1" w:styleId="1552">
    <w:name w:val="可研标题1 Char"/>
    <w:link w:val="1551"/>
    <w:qFormat/>
    <w:uiPriority w:val="0"/>
    <w:rPr>
      <w:rFonts w:ascii="黑体" w:hAnsi="Times New Roman" w:eastAsia="黑体"/>
      <w:b/>
      <w:bCs/>
      <w:kern w:val="44"/>
      <w:sz w:val="32"/>
      <w:szCs w:val="30"/>
    </w:rPr>
  </w:style>
  <w:style w:type="paragraph" w:customStyle="1" w:styleId="1553">
    <w:name w:val="可研标题2"/>
    <w:basedOn w:val="5"/>
    <w:qFormat/>
    <w:uiPriority w:val="0"/>
    <w:pPr>
      <w:keepLines w:val="0"/>
      <w:widowControl/>
    </w:pPr>
    <w:rPr>
      <w:rFonts w:ascii="仿宋_GB2312" w:eastAsia="仿宋_GB2312"/>
      <w:bCs w:val="0"/>
      <w:kern w:val="0"/>
    </w:rPr>
  </w:style>
  <w:style w:type="character" w:customStyle="1" w:styleId="1554">
    <w:name w:val="t_tag"/>
    <w:qFormat/>
    <w:uiPriority w:val="0"/>
  </w:style>
  <w:style w:type="paragraph" w:customStyle="1" w:styleId="1555">
    <w:name w:val="Char Char Char Char Char Char Char Char Char1 Char Char Char Char Char Char Char Char Char Char"/>
    <w:basedOn w:val="1"/>
    <w:semiHidden/>
    <w:qFormat/>
    <w:uiPriority w:val="0"/>
    <w:rPr>
      <w:szCs w:val="21"/>
    </w:rPr>
  </w:style>
  <w:style w:type="paragraph" w:customStyle="1" w:styleId="1556">
    <w:name w:val="Char Char1 Char Char Char Char1"/>
    <w:basedOn w:val="1"/>
    <w:semiHidden/>
    <w:qFormat/>
    <w:uiPriority w:val="0"/>
    <w:rPr>
      <w:szCs w:val="20"/>
    </w:rPr>
  </w:style>
  <w:style w:type="character" w:customStyle="1" w:styleId="1557">
    <w:name w:val="表头1 Char"/>
    <w:link w:val="403"/>
    <w:qFormat/>
    <w:uiPriority w:val="0"/>
    <w:rPr>
      <w:rFonts w:ascii="Times New Roman" w:hAnsi="Times New Roman" w:eastAsia="黑体" w:cs="Times New Roman"/>
      <w:sz w:val="24"/>
      <w:szCs w:val="24"/>
    </w:rPr>
  </w:style>
  <w:style w:type="paragraph" w:customStyle="1" w:styleId="1558">
    <w:name w:val="广西炼油"/>
    <w:basedOn w:val="22"/>
    <w:qFormat/>
    <w:uiPriority w:val="0"/>
    <w:pPr>
      <w:spacing w:before="5" w:line="360" w:lineRule="auto"/>
      <w:ind w:firstLine="480" w:firstLineChars="0"/>
    </w:pPr>
    <w:rPr>
      <w:sz w:val="24"/>
      <w:szCs w:val="28"/>
    </w:rPr>
  </w:style>
  <w:style w:type="character" w:customStyle="1" w:styleId="1559">
    <w:name w:val="a页脚 Char Char"/>
    <w:qFormat/>
    <w:uiPriority w:val="0"/>
    <w:rPr>
      <w:rFonts w:eastAsia="宋体"/>
      <w:kern w:val="2"/>
      <w:sz w:val="18"/>
      <w:szCs w:val="18"/>
      <w:lang w:val="en-US" w:eastAsia="zh-CN" w:bidi="ar-SA"/>
    </w:rPr>
  </w:style>
  <w:style w:type="paragraph" w:customStyle="1" w:styleId="1560">
    <w:name w:val="Char Char Char Char Char Char Char Char Char Char Char Char Char Char Char Char Char Char Char Char Char Char3"/>
    <w:basedOn w:val="1"/>
    <w:next w:val="1"/>
    <w:semiHidden/>
    <w:qFormat/>
    <w:uiPriority w:val="0"/>
    <w:pPr>
      <w:spacing w:line="360" w:lineRule="auto"/>
      <w:ind w:firstLine="200" w:firstLineChars="200"/>
      <w:jc w:val="center"/>
    </w:pPr>
    <w:rPr>
      <w:rFonts w:eastAsia="黑体"/>
      <w:szCs w:val="20"/>
    </w:rPr>
  </w:style>
  <w:style w:type="paragraph" w:customStyle="1" w:styleId="1561">
    <w:name w:val="Char3 Char Char Char1 Char Char1 Char"/>
    <w:basedOn w:val="1"/>
    <w:semiHidden/>
    <w:qFormat/>
    <w:uiPriority w:val="0"/>
    <w:rPr>
      <w:szCs w:val="21"/>
    </w:rPr>
  </w:style>
  <w:style w:type="paragraph" w:customStyle="1" w:styleId="1562">
    <w:name w:val="_Style 35"/>
    <w:basedOn w:val="1"/>
    <w:qFormat/>
    <w:uiPriority w:val="0"/>
    <w:rPr>
      <w:szCs w:val="20"/>
    </w:rPr>
  </w:style>
  <w:style w:type="paragraph" w:customStyle="1" w:styleId="1563">
    <w:name w:val="Char Char3 Char"/>
    <w:basedOn w:val="1"/>
    <w:next w:val="1"/>
    <w:semiHidden/>
    <w:qFormat/>
    <w:uiPriority w:val="0"/>
    <w:pPr>
      <w:spacing w:line="360" w:lineRule="auto"/>
      <w:ind w:firstLine="200" w:firstLineChars="200"/>
      <w:jc w:val="center"/>
    </w:pPr>
    <w:rPr>
      <w:rFonts w:eastAsia="黑体"/>
      <w:szCs w:val="20"/>
    </w:rPr>
  </w:style>
  <w:style w:type="paragraph" w:customStyle="1" w:styleId="1564">
    <w:name w:val="Char1 Char Char Char Char Char"/>
    <w:basedOn w:val="1"/>
    <w:next w:val="1"/>
    <w:semiHidden/>
    <w:qFormat/>
    <w:uiPriority w:val="0"/>
    <w:pPr>
      <w:spacing w:line="360" w:lineRule="auto"/>
      <w:ind w:firstLine="200" w:firstLineChars="200"/>
      <w:jc w:val="center"/>
    </w:pPr>
    <w:rPr>
      <w:rFonts w:eastAsia="黑体"/>
      <w:szCs w:val="20"/>
    </w:rPr>
  </w:style>
  <w:style w:type="character" w:customStyle="1" w:styleId="1565">
    <w:name w:val="正文文字缩进 3 Char Char"/>
    <w:qFormat/>
    <w:uiPriority w:val="0"/>
    <w:rPr>
      <w:rFonts w:ascii="宋体" w:hAnsi="宋体"/>
      <w:color w:val="008000"/>
      <w:kern w:val="2"/>
      <w:sz w:val="24"/>
      <w:szCs w:val="24"/>
    </w:rPr>
  </w:style>
  <w:style w:type="paragraph" w:customStyle="1" w:styleId="1566">
    <w:name w:val="样式 标题 1 + 段前: 6 磅 段后: 6 磅"/>
    <w:basedOn w:val="4"/>
    <w:qFormat/>
    <w:uiPriority w:val="0"/>
    <w:pPr>
      <w:spacing w:before="120" w:after="120" w:line="560" w:lineRule="exact"/>
      <w:jc w:val="center"/>
    </w:pPr>
    <w:rPr>
      <w:rFonts w:cs="宋体"/>
      <w:szCs w:val="20"/>
    </w:rPr>
  </w:style>
  <w:style w:type="paragraph" w:customStyle="1" w:styleId="1567">
    <w:name w:val="标题  3"/>
    <w:basedOn w:val="6"/>
    <w:qFormat/>
    <w:uiPriority w:val="0"/>
    <w:pPr>
      <w:spacing w:before="480" w:after="480" w:line="500" w:lineRule="exact"/>
      <w:ind w:firstLine="721" w:firstLineChars="200"/>
      <w:jc w:val="center"/>
    </w:pPr>
    <w:rPr>
      <w:rFonts w:ascii="华文仿宋" w:hAnsi="华文仿宋" w:eastAsia="华文仿宋" w:cs="宋体"/>
      <w:b/>
      <w:bCs w:val="0"/>
      <w:sz w:val="36"/>
      <w:szCs w:val="20"/>
    </w:rPr>
  </w:style>
  <w:style w:type="paragraph" w:customStyle="1" w:styleId="1568">
    <w:name w:val="1 Char Char Char Char Char Char Char"/>
    <w:basedOn w:val="1"/>
    <w:semiHidden/>
    <w:qFormat/>
    <w:uiPriority w:val="0"/>
  </w:style>
  <w:style w:type="paragraph" w:customStyle="1" w:styleId="1569">
    <w:name w:val="Char Char Char Char Char Char1 Char3"/>
    <w:basedOn w:val="1"/>
    <w:semiHidden/>
    <w:qFormat/>
    <w:uiPriority w:val="0"/>
    <w:pPr>
      <w:spacing w:line="360" w:lineRule="auto"/>
      <w:ind w:firstLine="200" w:firstLineChars="200"/>
    </w:pPr>
    <w:rPr>
      <w:rFonts w:ascii="宋体" w:hAnsi="宋体" w:cs="宋体"/>
      <w:sz w:val="24"/>
    </w:rPr>
  </w:style>
  <w:style w:type="character" w:customStyle="1" w:styleId="1570">
    <w:name w:val="Char Char Char14"/>
    <w:semiHidden/>
    <w:qFormat/>
    <w:uiPriority w:val="0"/>
  </w:style>
  <w:style w:type="character" w:customStyle="1" w:styleId="1571">
    <w:name w:val="Char Char9"/>
    <w:qFormat/>
    <w:uiPriority w:val="0"/>
    <w:rPr>
      <w:rFonts w:ascii="宋体" w:hAnsi="宋体" w:eastAsia="宋体"/>
      <w:sz w:val="24"/>
      <w:lang w:val="en-US" w:eastAsia="zh-CN" w:bidi="ar-SA"/>
    </w:rPr>
  </w:style>
  <w:style w:type="character" w:customStyle="1" w:styleId="1572">
    <w:name w:val="Char Char Char Char Char4"/>
    <w:semiHidden/>
    <w:qFormat/>
    <w:uiPriority w:val="0"/>
    <w:rPr>
      <w:rFonts w:eastAsia="宋体"/>
      <w:kern w:val="2"/>
      <w:sz w:val="24"/>
      <w:szCs w:val="24"/>
      <w:lang w:val="en-US" w:eastAsia="zh-CN" w:bidi="ar-SA"/>
    </w:rPr>
  </w:style>
  <w:style w:type="character" w:customStyle="1" w:styleId="1573">
    <w:name w:val="Char Char7"/>
    <w:qFormat/>
    <w:uiPriority w:val="0"/>
    <w:rPr>
      <w:rFonts w:ascii="宋体" w:hAnsi="宋体" w:eastAsia="宋体"/>
      <w:sz w:val="24"/>
      <w:lang w:val="en-US" w:eastAsia="zh-CN" w:bidi="ar-SA"/>
    </w:rPr>
  </w:style>
  <w:style w:type="character" w:customStyle="1" w:styleId="1574">
    <w:name w:val="Char Char5"/>
    <w:qFormat/>
    <w:uiPriority w:val="0"/>
    <w:rPr>
      <w:rFonts w:ascii="宋体" w:hAnsi="宋体" w:eastAsia="宋体"/>
      <w:kern w:val="2"/>
      <w:sz w:val="21"/>
      <w:szCs w:val="24"/>
      <w:lang w:val="en-US" w:eastAsia="zh-CN" w:bidi="ar-SA"/>
    </w:rPr>
  </w:style>
  <w:style w:type="character" w:customStyle="1" w:styleId="1575">
    <w:name w:val="Char Char8"/>
    <w:qFormat/>
    <w:uiPriority w:val="0"/>
    <w:rPr>
      <w:rFonts w:ascii="宋体" w:hAnsi="宋体" w:eastAsia="宋体"/>
      <w:kern w:val="2"/>
      <w:sz w:val="28"/>
      <w:szCs w:val="24"/>
      <w:lang w:val="en-US" w:eastAsia="zh-CN" w:bidi="ar-SA"/>
    </w:rPr>
  </w:style>
  <w:style w:type="character" w:customStyle="1" w:styleId="1576">
    <w:name w:val="Char Char6"/>
    <w:qFormat/>
    <w:uiPriority w:val="0"/>
    <w:rPr>
      <w:rFonts w:ascii="宋体" w:hAnsi="宋体" w:eastAsia="宋体"/>
      <w:snapToGrid w:val="0"/>
      <w:sz w:val="18"/>
      <w:szCs w:val="18"/>
      <w:lang w:val="en-US" w:eastAsia="zh-CN" w:bidi="ar-SA"/>
    </w:rPr>
  </w:style>
  <w:style w:type="paragraph" w:customStyle="1" w:styleId="1577">
    <w:name w:val="Char Char Char Char Char Char Char Char Char3"/>
    <w:basedOn w:val="1"/>
    <w:semiHidden/>
    <w:qFormat/>
    <w:uiPriority w:val="0"/>
    <w:pPr>
      <w:spacing w:line="360" w:lineRule="auto"/>
      <w:ind w:firstLine="200" w:firstLineChars="200"/>
    </w:pPr>
    <w:rPr>
      <w:rFonts w:ascii="宋体" w:hAnsi="宋体" w:cs="宋体"/>
      <w:sz w:val="24"/>
    </w:rPr>
  </w:style>
  <w:style w:type="paragraph" w:customStyle="1" w:styleId="1578">
    <w:name w:val="Char Char Char Char Char Char Char Char Char Char Char Char Char Char Char Char Char Char Char Char Char Char Char Char Char Char Char Char Char Char Char Char Char Char Char Char Char Char Char Char3"/>
    <w:basedOn w:val="1"/>
    <w:semiHidden/>
    <w:qFormat/>
    <w:uiPriority w:val="0"/>
    <w:rPr>
      <w:sz w:val="24"/>
    </w:rPr>
  </w:style>
  <w:style w:type="paragraph" w:customStyle="1" w:styleId="1579">
    <w:name w:val="Char Char Char Char Char Char Char Char Char1 Char Char Char Char3"/>
    <w:basedOn w:val="1"/>
    <w:semiHidden/>
    <w:qFormat/>
    <w:uiPriority w:val="0"/>
    <w:rPr>
      <w:szCs w:val="21"/>
    </w:rPr>
  </w:style>
  <w:style w:type="paragraph" w:customStyle="1" w:styleId="1580">
    <w:name w:val="Char Char Char Char Char Char Char Char1 Char Char Char Char Char Char Char Char Char Char Char Char1 Char3"/>
    <w:basedOn w:val="1"/>
    <w:semiHidden/>
    <w:qFormat/>
    <w:uiPriority w:val="0"/>
    <w:rPr>
      <w:sz w:val="24"/>
    </w:rPr>
  </w:style>
  <w:style w:type="paragraph" w:customStyle="1" w:styleId="1581">
    <w:name w:val="Char Char Char Char1 Char Char Char Char Char Char3"/>
    <w:basedOn w:val="1"/>
    <w:next w:val="1"/>
    <w:semiHidden/>
    <w:qFormat/>
    <w:uiPriority w:val="0"/>
    <w:pPr>
      <w:spacing w:line="360" w:lineRule="auto"/>
      <w:ind w:firstLine="200" w:firstLineChars="200"/>
    </w:pPr>
    <w:rPr>
      <w:rFonts w:ascii="宋体" w:hAnsi="宋体" w:cs="宋体"/>
      <w:sz w:val="24"/>
    </w:rPr>
  </w:style>
  <w:style w:type="paragraph" w:customStyle="1" w:styleId="1582">
    <w:name w:val="Char Char Char1 Char3"/>
    <w:basedOn w:val="1"/>
    <w:semiHidden/>
    <w:qFormat/>
    <w:uiPriority w:val="0"/>
    <w:rPr>
      <w:sz w:val="24"/>
    </w:rPr>
  </w:style>
  <w:style w:type="paragraph" w:customStyle="1" w:styleId="1583">
    <w:name w:val="Char Char Char1 Char Char Char Char Char Char Char Char Char Char Char3"/>
    <w:basedOn w:val="1"/>
    <w:semiHidden/>
    <w:qFormat/>
    <w:uiPriority w:val="0"/>
  </w:style>
  <w:style w:type="paragraph" w:customStyle="1" w:styleId="1584">
    <w:name w:val="Char Char1 Char Char Char Char4"/>
    <w:basedOn w:val="1"/>
    <w:semiHidden/>
    <w:qFormat/>
    <w:uiPriority w:val="0"/>
    <w:rPr>
      <w:sz w:val="24"/>
    </w:rPr>
  </w:style>
  <w:style w:type="paragraph" w:customStyle="1" w:styleId="1585">
    <w:name w:val="Char1 Char Char3"/>
    <w:basedOn w:val="1"/>
    <w:semiHidden/>
    <w:qFormat/>
    <w:uiPriority w:val="0"/>
  </w:style>
  <w:style w:type="paragraph" w:customStyle="1" w:styleId="1586">
    <w:name w:val="Char1 Char Char Char4"/>
    <w:basedOn w:val="1"/>
    <w:semiHidden/>
    <w:qFormat/>
    <w:uiPriority w:val="0"/>
  </w:style>
  <w:style w:type="paragraph" w:customStyle="1" w:styleId="1587">
    <w:name w:val="Char1 Char Char Char Char Char Char4"/>
    <w:basedOn w:val="1"/>
    <w:semiHidden/>
    <w:qFormat/>
    <w:uiPriority w:val="0"/>
  </w:style>
  <w:style w:type="paragraph" w:customStyle="1" w:styleId="1588">
    <w:name w:val="Char1 Char Char Char Char Char Char Char Char Char Char Char Char3"/>
    <w:basedOn w:val="1"/>
    <w:semiHidden/>
    <w:qFormat/>
    <w:uiPriority w:val="0"/>
  </w:style>
  <w:style w:type="paragraph" w:customStyle="1" w:styleId="1589">
    <w:name w:val="Char2 Char Char Char Char Char Char Char Char Char Char Char Char Char Char Char Char Char Char Char Char Char3"/>
    <w:basedOn w:val="1"/>
    <w:semiHidden/>
    <w:qFormat/>
    <w:uiPriority w:val="0"/>
    <w:pPr>
      <w:spacing w:line="360" w:lineRule="auto"/>
      <w:ind w:firstLine="200" w:firstLineChars="200"/>
    </w:pPr>
    <w:rPr>
      <w:rFonts w:eastAsia="黑体"/>
      <w:sz w:val="28"/>
      <w:szCs w:val="28"/>
    </w:rPr>
  </w:style>
  <w:style w:type="paragraph" w:customStyle="1" w:styleId="1590">
    <w:name w:val="Char4 Char Char Char3"/>
    <w:basedOn w:val="1"/>
    <w:semiHidden/>
    <w:qFormat/>
    <w:uiPriority w:val="0"/>
    <w:rPr>
      <w:sz w:val="24"/>
    </w:rPr>
  </w:style>
  <w:style w:type="paragraph" w:customStyle="1" w:styleId="1591">
    <w:name w:val="字元 字元3"/>
    <w:basedOn w:val="1"/>
    <w:semiHidden/>
    <w:qFormat/>
    <w:uiPriority w:val="0"/>
    <w:rPr>
      <w:sz w:val="24"/>
    </w:rPr>
  </w:style>
  <w:style w:type="paragraph" w:customStyle="1" w:styleId="1592">
    <w:name w:val="Char4 Char Char Char Char Char Char Char Char Char Char Char Char Char Char Char Char Char1 Char Char Char Char Char Char1 Char Char Char Char Char Char Char Char Char Char Char Char Char Char Char Char Char Char Char3"/>
    <w:basedOn w:val="1"/>
    <w:semiHidden/>
    <w:qFormat/>
    <w:uiPriority w:val="0"/>
    <w:pPr>
      <w:spacing w:line="240" w:lineRule="exact"/>
      <w:ind w:firstLine="200" w:firstLineChars="200"/>
    </w:pPr>
    <w:rPr>
      <w:sz w:val="28"/>
      <w:szCs w:val="28"/>
    </w:rPr>
  </w:style>
  <w:style w:type="paragraph" w:customStyle="1" w:styleId="1593">
    <w:name w:val="Char1 Char Char Char Char Char Char Char Char3"/>
    <w:basedOn w:val="1"/>
    <w:semiHidden/>
    <w:qFormat/>
    <w:uiPriority w:val="0"/>
    <w:rPr>
      <w:sz w:val="24"/>
    </w:rPr>
  </w:style>
  <w:style w:type="paragraph" w:customStyle="1" w:styleId="1594">
    <w:name w:val="Char3 Char Char Char Char Char Char3"/>
    <w:basedOn w:val="1"/>
    <w:semiHidden/>
    <w:qFormat/>
    <w:uiPriority w:val="0"/>
    <w:rPr>
      <w:szCs w:val="21"/>
    </w:rPr>
  </w:style>
  <w:style w:type="paragraph" w:customStyle="1" w:styleId="1595">
    <w:name w:val="Char Char Char2 Char Char Char Char Char Char Char Char Char Char3"/>
    <w:basedOn w:val="1"/>
    <w:semiHidden/>
    <w:qFormat/>
    <w:uiPriority w:val="0"/>
    <w:rPr>
      <w:szCs w:val="21"/>
    </w:rPr>
  </w:style>
  <w:style w:type="paragraph" w:customStyle="1" w:styleId="1596">
    <w:name w:val="字元13"/>
    <w:basedOn w:val="1"/>
    <w:semiHidden/>
    <w:qFormat/>
    <w:uiPriority w:val="0"/>
    <w:rPr>
      <w:szCs w:val="21"/>
    </w:rPr>
  </w:style>
  <w:style w:type="paragraph" w:customStyle="1" w:styleId="1597">
    <w:name w:val="Char Char Char Char Char Char Char Char Char1 Char4"/>
    <w:basedOn w:val="1"/>
    <w:semiHidden/>
    <w:qFormat/>
    <w:uiPriority w:val="0"/>
    <w:rPr>
      <w:sz w:val="24"/>
    </w:rPr>
  </w:style>
  <w:style w:type="paragraph" w:customStyle="1" w:styleId="1598">
    <w:name w:val="Char Char Char1 Char Char Char Char Char Char Char3"/>
    <w:basedOn w:val="1"/>
    <w:semiHidden/>
    <w:qFormat/>
    <w:uiPriority w:val="0"/>
    <w:rPr>
      <w:rFonts w:ascii="Tahoma" w:hAnsi="Tahoma"/>
      <w:sz w:val="24"/>
      <w:szCs w:val="20"/>
    </w:rPr>
  </w:style>
  <w:style w:type="paragraph" w:customStyle="1" w:styleId="1599">
    <w:name w:val="Char1 Char Char Char13"/>
    <w:basedOn w:val="1"/>
    <w:semiHidden/>
    <w:qFormat/>
    <w:uiPriority w:val="0"/>
    <w:rPr>
      <w:sz w:val="24"/>
    </w:rPr>
  </w:style>
  <w:style w:type="paragraph" w:customStyle="1" w:styleId="1600">
    <w:name w:val="Char Char Char Char Char1"/>
    <w:basedOn w:val="1"/>
    <w:semiHidden/>
    <w:qFormat/>
    <w:uiPriority w:val="0"/>
    <w:rPr>
      <w:sz w:val="24"/>
      <w:szCs w:val="20"/>
    </w:rPr>
  </w:style>
  <w:style w:type="paragraph" w:customStyle="1" w:styleId="1601">
    <w:name w:val="Char Char1 Char3"/>
    <w:basedOn w:val="1"/>
    <w:semiHidden/>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602">
    <w:name w:val="Char1 Char Char Char Char Char Char Char Char Char1 Char Char Char Char Char Char3"/>
    <w:basedOn w:val="1"/>
    <w:semiHidden/>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1603">
    <w:name w:val="Char Char Char Char Char Char Char Char Char Char Char3"/>
    <w:basedOn w:val="1"/>
    <w:semiHidden/>
    <w:qFormat/>
    <w:uiPriority w:val="0"/>
    <w:rPr>
      <w:sz w:val="24"/>
    </w:rPr>
  </w:style>
  <w:style w:type="paragraph" w:customStyle="1" w:styleId="1604">
    <w:name w:val="Char2 Char Char Char Char Char Char3"/>
    <w:basedOn w:val="1"/>
    <w:semiHidden/>
    <w:qFormat/>
    <w:uiPriority w:val="0"/>
    <w:rPr>
      <w:sz w:val="24"/>
    </w:rPr>
  </w:style>
  <w:style w:type="paragraph" w:customStyle="1" w:styleId="1605">
    <w:name w:val="Char43"/>
    <w:basedOn w:val="1"/>
    <w:qFormat/>
    <w:uiPriority w:val="0"/>
    <w:rPr>
      <w:rFonts w:ascii="宋体" w:hAnsi="宋体" w:cs="宋体"/>
      <w:color w:val="000000"/>
      <w:kern w:val="0"/>
      <w:sz w:val="24"/>
    </w:rPr>
  </w:style>
  <w:style w:type="paragraph" w:customStyle="1" w:styleId="1606">
    <w:name w:val="Char Char Char1 Char Char Char Char Char Char Char Char Char Char Char Char Char3"/>
    <w:basedOn w:val="1"/>
    <w:semiHidden/>
    <w:qFormat/>
    <w:uiPriority w:val="0"/>
    <w:rPr>
      <w:sz w:val="24"/>
    </w:rPr>
  </w:style>
  <w:style w:type="paragraph" w:customStyle="1" w:styleId="1607">
    <w:name w:val="Char4 Char Char Char Char Char Char Char Char Char3"/>
    <w:basedOn w:val="1"/>
    <w:semiHidden/>
    <w:qFormat/>
    <w:uiPriority w:val="0"/>
    <w:rPr>
      <w:sz w:val="24"/>
    </w:rPr>
  </w:style>
  <w:style w:type="paragraph" w:customStyle="1" w:styleId="1608">
    <w:name w:val="Char Char Char Char Char Char Char Char Char1 Char Char Char Char Char Char Char3"/>
    <w:basedOn w:val="1"/>
    <w:semiHidden/>
    <w:qFormat/>
    <w:uiPriority w:val="0"/>
    <w:pPr>
      <w:snapToGrid w:val="0"/>
      <w:spacing w:line="360" w:lineRule="auto"/>
      <w:ind w:firstLine="200" w:firstLineChars="200"/>
    </w:pPr>
    <w:rPr>
      <w:rFonts w:eastAsia="仿宋_GB2312"/>
      <w:sz w:val="24"/>
    </w:rPr>
  </w:style>
  <w:style w:type="paragraph" w:customStyle="1" w:styleId="1609">
    <w:name w:val="Char Char Char1 Char Char3"/>
    <w:basedOn w:val="1"/>
    <w:semiHidden/>
    <w:qFormat/>
    <w:uiPriority w:val="0"/>
    <w:rPr>
      <w:rFonts w:ascii="宋体" w:hAnsi="宋体" w:cs="宋体"/>
      <w:color w:val="000000"/>
      <w:kern w:val="0"/>
      <w:sz w:val="24"/>
    </w:rPr>
  </w:style>
  <w:style w:type="paragraph" w:customStyle="1" w:styleId="1610">
    <w:name w:val="(文字) (文字)3"/>
    <w:basedOn w:val="1"/>
    <w:semiHidden/>
    <w:qFormat/>
    <w:uiPriority w:val="0"/>
    <w:rPr>
      <w:sz w:val="24"/>
    </w:rPr>
  </w:style>
  <w:style w:type="paragraph" w:customStyle="1" w:styleId="1611">
    <w:name w:val="Char2 Char Char Char3"/>
    <w:basedOn w:val="1"/>
    <w:semiHidden/>
    <w:qFormat/>
    <w:uiPriority w:val="0"/>
    <w:rPr>
      <w:sz w:val="24"/>
    </w:rPr>
  </w:style>
  <w:style w:type="paragraph" w:customStyle="1" w:styleId="1612">
    <w:name w:val="Char2 Char Char1 Char Char Char Char Char Char Char Char Char Char3"/>
    <w:basedOn w:val="1"/>
    <w:semiHidden/>
    <w:qFormat/>
    <w:uiPriority w:val="0"/>
    <w:rPr>
      <w:sz w:val="24"/>
    </w:rPr>
  </w:style>
  <w:style w:type="paragraph" w:customStyle="1" w:styleId="1613">
    <w:name w:val="Char2 Char Char3"/>
    <w:basedOn w:val="1"/>
    <w:semiHidden/>
    <w:qFormat/>
    <w:uiPriority w:val="0"/>
    <w:rPr>
      <w:sz w:val="24"/>
    </w:rPr>
  </w:style>
  <w:style w:type="paragraph" w:customStyle="1" w:styleId="1614">
    <w:name w:val="Char2 Char Char1 Char Char Char3"/>
    <w:basedOn w:val="1"/>
    <w:semiHidden/>
    <w:qFormat/>
    <w:uiPriority w:val="0"/>
    <w:rPr>
      <w:sz w:val="24"/>
    </w:rPr>
  </w:style>
  <w:style w:type="paragraph" w:customStyle="1" w:styleId="1615">
    <w:name w:val="Char4 Char Char Char Char Char3"/>
    <w:basedOn w:val="1"/>
    <w:semiHidden/>
    <w:qFormat/>
    <w:uiPriority w:val="0"/>
    <w:rPr>
      <w:sz w:val="24"/>
    </w:rPr>
  </w:style>
  <w:style w:type="paragraph" w:customStyle="1" w:styleId="1616">
    <w:name w:val="Char2 Char Char1 Char Char Char Char3"/>
    <w:basedOn w:val="1"/>
    <w:semiHidden/>
    <w:qFormat/>
    <w:uiPriority w:val="0"/>
    <w:rPr>
      <w:sz w:val="24"/>
    </w:rPr>
  </w:style>
  <w:style w:type="paragraph" w:customStyle="1" w:styleId="1617">
    <w:name w:val="Char Char Char Char Char Char13"/>
    <w:basedOn w:val="1"/>
    <w:semiHidden/>
    <w:qFormat/>
    <w:uiPriority w:val="0"/>
    <w:rPr>
      <w:sz w:val="24"/>
    </w:rPr>
  </w:style>
  <w:style w:type="paragraph" w:customStyle="1" w:styleId="1618">
    <w:name w:val="Char Char Char Char Char Char Char Char Char Char Char Char Char Char Char Char3"/>
    <w:basedOn w:val="27"/>
    <w:semiHidden/>
    <w:qFormat/>
    <w:uiPriority w:val="0"/>
    <w:pPr>
      <w:adjustRightInd w:val="0"/>
      <w:spacing w:line="436" w:lineRule="exact"/>
      <w:ind w:left="357"/>
      <w:jc w:val="left"/>
      <w:outlineLvl w:val="3"/>
    </w:pPr>
    <w:rPr>
      <w:rFonts w:ascii="Tahoma" w:hAnsi="Tahoma"/>
      <w:b/>
      <w:sz w:val="24"/>
    </w:rPr>
  </w:style>
  <w:style w:type="paragraph" w:customStyle="1" w:styleId="1619">
    <w:name w:val="Char Char Char Char1 Char Char Char Char Char Char Char3"/>
    <w:basedOn w:val="1"/>
    <w:semiHidden/>
    <w:qFormat/>
    <w:uiPriority w:val="0"/>
    <w:pPr>
      <w:tabs>
        <w:tab w:val="left" w:pos="360"/>
      </w:tabs>
      <w:snapToGrid w:val="0"/>
      <w:spacing w:line="360" w:lineRule="auto"/>
    </w:pPr>
    <w:rPr>
      <w:rFonts w:eastAsia="仿宋_GB2312" w:cs="宋体"/>
      <w:sz w:val="24"/>
    </w:rPr>
  </w:style>
  <w:style w:type="paragraph" w:customStyle="1" w:styleId="1620">
    <w:name w:val="Char Char Char1 Char Char Char Char Char Char3"/>
    <w:basedOn w:val="1"/>
    <w:semiHidden/>
    <w:qFormat/>
    <w:uiPriority w:val="0"/>
    <w:rPr>
      <w:sz w:val="24"/>
    </w:rPr>
  </w:style>
  <w:style w:type="paragraph" w:customStyle="1" w:styleId="1621">
    <w:name w:val="Char Char Char Char1 Char Char Char3"/>
    <w:basedOn w:val="1"/>
    <w:qFormat/>
    <w:uiPriority w:val="0"/>
    <w:rPr>
      <w:sz w:val="24"/>
    </w:rPr>
  </w:style>
  <w:style w:type="paragraph" w:customStyle="1" w:styleId="1622">
    <w:name w:val="Char Char Char1 Char Char Char Char Char Char Char Char3"/>
    <w:basedOn w:val="1"/>
    <w:semiHidden/>
    <w:qFormat/>
    <w:uiPriority w:val="0"/>
  </w:style>
  <w:style w:type="paragraph" w:customStyle="1" w:styleId="1623">
    <w:name w:val="Char Char Char1 Char Char Char3"/>
    <w:basedOn w:val="1"/>
    <w:semiHidden/>
    <w:qFormat/>
    <w:uiPriority w:val="0"/>
    <w:pPr>
      <w:tabs>
        <w:tab w:val="left" w:pos="0"/>
      </w:tabs>
      <w:jc w:val="left"/>
    </w:pPr>
    <w:rPr>
      <w:sz w:val="24"/>
    </w:rPr>
  </w:style>
  <w:style w:type="paragraph" w:customStyle="1" w:styleId="1624">
    <w:name w:val="Char Char Char Char1 Char Char Char Char Char Char Char Char Char Char Char Char3"/>
    <w:basedOn w:val="1"/>
    <w:semiHidden/>
    <w:qFormat/>
    <w:uiPriority w:val="0"/>
    <w:pPr>
      <w:tabs>
        <w:tab w:val="left" w:pos="0"/>
      </w:tabs>
      <w:jc w:val="left"/>
    </w:pPr>
    <w:rPr>
      <w:sz w:val="24"/>
    </w:rPr>
  </w:style>
  <w:style w:type="paragraph" w:customStyle="1" w:styleId="1625">
    <w:name w:val="Char3 Char Char Char4"/>
    <w:basedOn w:val="1"/>
    <w:semiHidden/>
    <w:qFormat/>
    <w:uiPriority w:val="0"/>
    <w:rPr>
      <w:sz w:val="24"/>
    </w:rPr>
  </w:style>
  <w:style w:type="paragraph" w:customStyle="1" w:styleId="1626">
    <w:name w:val="Char2 Char Char1 Char3"/>
    <w:basedOn w:val="1"/>
    <w:semiHidden/>
    <w:qFormat/>
    <w:uiPriority w:val="0"/>
    <w:rPr>
      <w:sz w:val="24"/>
    </w:rPr>
  </w:style>
  <w:style w:type="paragraph" w:customStyle="1" w:styleId="1627">
    <w:name w:val="Char Char Char11"/>
    <w:basedOn w:val="1"/>
    <w:qFormat/>
    <w:uiPriority w:val="0"/>
    <w:rPr>
      <w:sz w:val="24"/>
      <w:szCs w:val="20"/>
    </w:rPr>
  </w:style>
  <w:style w:type="paragraph" w:customStyle="1" w:styleId="1628">
    <w:name w:val="Char Char Char Char Char Char Char Char Char1 Char Char Char3"/>
    <w:basedOn w:val="1"/>
    <w:semiHidden/>
    <w:qFormat/>
    <w:uiPriority w:val="0"/>
    <w:rPr>
      <w:sz w:val="24"/>
    </w:rPr>
  </w:style>
  <w:style w:type="paragraph" w:customStyle="1" w:styleId="1629">
    <w:name w:val="Char Char Char Char Char Char Char Char Char1 Char Char Char Char Char Char3"/>
    <w:basedOn w:val="1"/>
    <w:semiHidden/>
    <w:qFormat/>
    <w:uiPriority w:val="0"/>
    <w:rPr>
      <w:sz w:val="24"/>
    </w:rPr>
  </w:style>
  <w:style w:type="paragraph" w:customStyle="1" w:styleId="1630">
    <w:name w:val="Char Char16"/>
    <w:basedOn w:val="1"/>
    <w:semiHidden/>
    <w:qFormat/>
    <w:uiPriority w:val="0"/>
    <w:rPr>
      <w:sz w:val="24"/>
    </w:rPr>
  </w:style>
  <w:style w:type="paragraph" w:customStyle="1" w:styleId="1631">
    <w:name w:val="Char1 Char Char Char Char Char Char1 Char Char Char3"/>
    <w:basedOn w:val="1"/>
    <w:next w:val="1"/>
    <w:semiHidden/>
    <w:qFormat/>
    <w:uiPriority w:val="0"/>
    <w:pPr>
      <w:spacing w:line="360" w:lineRule="auto"/>
      <w:ind w:firstLine="200" w:firstLineChars="200"/>
      <w:jc w:val="center"/>
    </w:pPr>
    <w:rPr>
      <w:rFonts w:eastAsia="黑体"/>
      <w:szCs w:val="20"/>
    </w:rPr>
  </w:style>
  <w:style w:type="character" w:customStyle="1" w:styleId="1632">
    <w:name w:val="Char Char Char Char11"/>
    <w:semiHidden/>
    <w:qFormat/>
    <w:uiPriority w:val="0"/>
    <w:rPr>
      <w:rFonts w:hint="eastAsia" w:ascii="宋体" w:hAnsi="宋体" w:eastAsia="宋体"/>
      <w:kern w:val="2"/>
      <w:sz w:val="24"/>
      <w:szCs w:val="24"/>
      <w:lang w:val="en-US" w:eastAsia="zh-CN" w:bidi="ar-SA"/>
    </w:rPr>
  </w:style>
  <w:style w:type="character" w:customStyle="1" w:styleId="1633">
    <w:name w:val="Char Char103"/>
    <w:semiHidden/>
    <w:qFormat/>
    <w:uiPriority w:val="0"/>
    <w:rPr>
      <w:rFonts w:hint="eastAsia" w:ascii="宋体" w:hAnsi="宋体" w:eastAsia="宋体" w:cs="Times New Roman"/>
      <w:snapToGrid w:val="0"/>
      <w:color w:val="000000"/>
      <w:kern w:val="0"/>
      <w:sz w:val="24"/>
      <w:szCs w:val="24"/>
    </w:rPr>
  </w:style>
  <w:style w:type="character" w:customStyle="1" w:styleId="1634">
    <w:name w:val="Char Char123"/>
    <w:qFormat/>
    <w:uiPriority w:val="0"/>
  </w:style>
  <w:style w:type="character" w:customStyle="1" w:styleId="1635">
    <w:name w:val="Char Char173"/>
    <w:semiHidden/>
    <w:qFormat/>
    <w:uiPriority w:val="0"/>
    <w:rPr>
      <w:sz w:val="18"/>
      <w:szCs w:val="18"/>
    </w:rPr>
  </w:style>
  <w:style w:type="character" w:customStyle="1" w:styleId="1636">
    <w:name w:val="Char Char203"/>
    <w:semiHidden/>
    <w:qFormat/>
    <w:uiPriority w:val="0"/>
    <w:rPr>
      <w:rFonts w:hint="default" w:ascii="Arial" w:hAnsi="Arial" w:eastAsia="黑体" w:cs="Arial"/>
      <w:kern w:val="2"/>
      <w:sz w:val="24"/>
      <w:lang w:val="en-US" w:eastAsia="zh-CN" w:bidi="ar-SA"/>
    </w:rPr>
  </w:style>
  <w:style w:type="character" w:customStyle="1" w:styleId="1637">
    <w:name w:val="Char Char223"/>
    <w:semiHidden/>
    <w:qFormat/>
    <w:uiPriority w:val="0"/>
    <w:rPr>
      <w:rFonts w:hint="default" w:ascii="Calibri" w:hAnsi="Calibri" w:eastAsia="宋体"/>
      <w:kern w:val="2"/>
      <w:sz w:val="24"/>
      <w:lang w:val="en-US" w:eastAsia="zh-CN" w:bidi="ar-SA"/>
    </w:rPr>
  </w:style>
  <w:style w:type="character" w:customStyle="1" w:styleId="1638">
    <w:name w:val="Char Char233"/>
    <w:semiHidden/>
    <w:qFormat/>
    <w:uiPriority w:val="0"/>
    <w:rPr>
      <w:rFonts w:hint="eastAsia" w:ascii="宋体" w:hAnsi="宋体" w:eastAsia="宋体"/>
      <w:b/>
      <w:bCs/>
      <w:kern w:val="2"/>
      <w:sz w:val="28"/>
      <w:szCs w:val="28"/>
      <w:lang w:val="en-US" w:eastAsia="zh-CN" w:bidi="ar-SA"/>
    </w:rPr>
  </w:style>
  <w:style w:type="character" w:customStyle="1" w:styleId="1639">
    <w:name w:val="Char Char243"/>
    <w:semiHidden/>
    <w:qFormat/>
    <w:uiPriority w:val="0"/>
    <w:rPr>
      <w:rFonts w:hint="default" w:ascii="Arial" w:hAnsi="Arial" w:eastAsia="黑体" w:cs="Arial"/>
      <w:b/>
      <w:bCs/>
      <w:kern w:val="2"/>
      <w:sz w:val="28"/>
      <w:szCs w:val="28"/>
      <w:lang w:val="en-US" w:eastAsia="zh-CN" w:bidi="ar-SA"/>
    </w:rPr>
  </w:style>
  <w:style w:type="character" w:customStyle="1" w:styleId="1640">
    <w:name w:val="Char Char14"/>
    <w:qFormat/>
    <w:uiPriority w:val="0"/>
    <w:rPr>
      <w:rFonts w:hint="eastAsia" w:ascii="宋体" w:hAnsi="宋体" w:eastAsia="宋体"/>
      <w:kern w:val="2"/>
      <w:sz w:val="21"/>
      <w:szCs w:val="24"/>
      <w:lang w:val="en-US" w:eastAsia="zh-CN" w:bidi="ar-SA"/>
    </w:rPr>
  </w:style>
  <w:style w:type="character" w:customStyle="1" w:styleId="1641">
    <w:name w:val="Char Char15"/>
    <w:qFormat/>
    <w:uiPriority w:val="0"/>
    <w:rPr>
      <w:rFonts w:hint="default" w:ascii="Times New Roman" w:hAnsi="Times New Roman" w:eastAsia="宋体" w:cs="Times New Roman"/>
      <w:b/>
      <w:bCs/>
      <w:sz w:val="32"/>
      <w:szCs w:val="32"/>
    </w:rPr>
  </w:style>
  <w:style w:type="character" w:customStyle="1" w:styleId="1642">
    <w:name w:val="flname"/>
    <w:semiHidden/>
    <w:qFormat/>
    <w:uiPriority w:val="0"/>
  </w:style>
  <w:style w:type="paragraph" w:customStyle="1" w:styleId="1643">
    <w:name w:val="列出段落11"/>
    <w:basedOn w:val="1"/>
    <w:qFormat/>
    <w:uiPriority w:val="0"/>
    <w:pPr>
      <w:ind w:left="480" w:leftChars="200"/>
      <w:jc w:val="left"/>
    </w:pPr>
    <w:rPr>
      <w:rFonts w:ascii="Calibri" w:hAnsi="Calibri" w:eastAsia="PMingLiU"/>
      <w:sz w:val="24"/>
      <w:szCs w:val="22"/>
      <w:lang w:eastAsia="zh-TW"/>
    </w:rPr>
  </w:style>
  <w:style w:type="character" w:customStyle="1" w:styleId="1644">
    <w:name w:val="question-title2"/>
    <w:qFormat/>
    <w:uiPriority w:val="0"/>
  </w:style>
  <w:style w:type="character" w:customStyle="1" w:styleId="1645">
    <w:name w:val="正文（首行缩进两字） Char6"/>
    <w:semiHidden/>
    <w:qFormat/>
    <w:uiPriority w:val="99"/>
    <w:rPr>
      <w:rFonts w:eastAsia="宋体"/>
      <w:kern w:val="2"/>
      <w:sz w:val="21"/>
      <w:szCs w:val="24"/>
      <w:lang w:val="en-US" w:eastAsia="zh-CN" w:bidi="ar-SA"/>
    </w:rPr>
  </w:style>
  <w:style w:type="paragraph" w:customStyle="1" w:styleId="1646">
    <w:name w:val="Char1 Char Char Char Char Char1 Char"/>
    <w:basedOn w:val="1"/>
    <w:semiHidden/>
    <w:qFormat/>
    <w:uiPriority w:val="0"/>
    <w:rPr>
      <w:szCs w:val="21"/>
    </w:rPr>
  </w:style>
  <w:style w:type="character" w:customStyle="1" w:styleId="1647">
    <w:name w:val="页眉1 Char3"/>
    <w:semiHidden/>
    <w:qFormat/>
    <w:uiPriority w:val="0"/>
    <w:rPr>
      <w:rFonts w:eastAsia="宋体"/>
      <w:kern w:val="2"/>
      <w:sz w:val="18"/>
      <w:szCs w:val="18"/>
      <w:lang w:val="en-US" w:eastAsia="zh-CN" w:bidi="ar-SA"/>
    </w:rPr>
  </w:style>
  <w:style w:type="character" w:customStyle="1" w:styleId="1648">
    <w:name w:val="题注 Char Char Char1"/>
    <w:semiHidden/>
    <w:qFormat/>
    <w:uiPriority w:val="0"/>
    <w:rPr>
      <w:rFonts w:ascii="Arial" w:hAnsi="Arial" w:eastAsia="黑体" w:cs="Arial"/>
      <w:snapToGrid w:val="0"/>
      <w:lang w:val="en-US" w:eastAsia="zh-CN" w:bidi="ar-SA"/>
    </w:rPr>
  </w:style>
  <w:style w:type="character" w:customStyle="1" w:styleId="1649">
    <w:name w:val="正文首行缩进 Char Char Char Char2"/>
    <w:semiHidden/>
    <w:qFormat/>
    <w:uiPriority w:val="0"/>
    <w:rPr>
      <w:rFonts w:eastAsia="宋体"/>
      <w:snapToGrid w:val="0"/>
      <w:sz w:val="24"/>
      <w:szCs w:val="24"/>
      <w:lang w:val="en-US" w:eastAsia="zh-CN" w:bidi="ar-SA"/>
    </w:rPr>
  </w:style>
  <w:style w:type="character" w:customStyle="1" w:styleId="1650">
    <w:name w:val="题注1 Char1"/>
    <w:qFormat/>
    <w:uiPriority w:val="0"/>
    <w:rPr>
      <w:rFonts w:eastAsia="宋体"/>
      <w:kern w:val="2"/>
      <w:sz w:val="21"/>
      <w:szCs w:val="24"/>
      <w:lang w:val="en-US" w:eastAsia="zh-CN" w:bidi="ar-SA"/>
    </w:rPr>
  </w:style>
  <w:style w:type="character" w:customStyle="1" w:styleId="1651">
    <w:name w:val="question-title"/>
    <w:semiHidden/>
    <w:qFormat/>
    <w:uiPriority w:val="0"/>
  </w:style>
  <w:style w:type="paragraph" w:customStyle="1" w:styleId="1652">
    <w:name w:val="1 Char Char Char"/>
    <w:next w:val="87"/>
    <w:qFormat/>
    <w:uiPriority w:val="0"/>
    <w:pPr>
      <w:snapToGrid w:val="0"/>
      <w:spacing w:line="360" w:lineRule="auto"/>
      <w:ind w:firstLine="200" w:firstLineChars="200"/>
    </w:pPr>
    <w:rPr>
      <w:rFonts w:ascii="Times New Roman" w:hAnsi="Times New Roman" w:eastAsia="宋体" w:cs="Times New Roman"/>
      <w:lang w:val="en-US" w:eastAsia="zh-CN" w:bidi="ar-SA"/>
    </w:rPr>
  </w:style>
  <w:style w:type="paragraph" w:customStyle="1" w:styleId="1653">
    <w:name w:val="正文格式42"/>
    <w:basedOn w:val="1"/>
    <w:qFormat/>
    <w:uiPriority w:val="0"/>
    <w:pPr>
      <w:spacing w:line="360" w:lineRule="auto"/>
      <w:ind w:firstLine="482"/>
    </w:pPr>
    <w:rPr>
      <w:rFonts w:ascii="宋体" w:hAnsi="宋体"/>
      <w:sz w:val="24"/>
    </w:rPr>
  </w:style>
  <w:style w:type="paragraph" w:customStyle="1" w:styleId="1654">
    <w:name w:val="清單段落1"/>
    <w:basedOn w:val="1"/>
    <w:semiHidden/>
    <w:qFormat/>
    <w:uiPriority w:val="0"/>
    <w:pPr>
      <w:ind w:left="480" w:leftChars="200"/>
      <w:jc w:val="left"/>
    </w:pPr>
    <w:rPr>
      <w:rFonts w:ascii="Calibri" w:hAnsi="Calibri" w:eastAsia="PMingLiU"/>
      <w:sz w:val="24"/>
      <w:szCs w:val="22"/>
      <w:lang w:eastAsia="zh-TW"/>
    </w:rPr>
  </w:style>
  <w:style w:type="paragraph" w:customStyle="1" w:styleId="1655">
    <w:name w:val="样式 标题 2 + 宋体 段前: 0.5 行 段后: 0.5 行"/>
    <w:basedOn w:val="165"/>
    <w:next w:val="165"/>
    <w:semiHidden/>
    <w:qFormat/>
    <w:uiPriority w:val="99"/>
    <w:pPr>
      <w:spacing w:before="120" w:after="120"/>
    </w:pPr>
    <w:rPr>
      <w:rFonts w:ascii="宋体"/>
      <w:color w:val="auto"/>
    </w:rPr>
  </w:style>
  <w:style w:type="paragraph" w:customStyle="1" w:styleId="1656">
    <w:name w:val="0图表标题"/>
    <w:basedOn w:val="1"/>
    <w:next w:val="1"/>
    <w:qFormat/>
    <w:uiPriority w:val="99"/>
    <w:pPr>
      <w:adjustRightInd w:val="0"/>
      <w:snapToGrid w:val="0"/>
      <w:spacing w:line="360" w:lineRule="auto"/>
      <w:jc w:val="center"/>
    </w:pPr>
    <w:rPr>
      <w:b/>
      <w:sz w:val="24"/>
      <w:szCs w:val="22"/>
    </w:rPr>
  </w:style>
  <w:style w:type="paragraph" w:customStyle="1" w:styleId="1657">
    <w:name w:val="0表格格式"/>
    <w:basedOn w:val="1"/>
    <w:qFormat/>
    <w:uiPriority w:val="99"/>
    <w:pPr>
      <w:widowControl/>
      <w:jc w:val="center"/>
    </w:pPr>
    <w:rPr>
      <w:kern w:val="0"/>
      <w:szCs w:val="21"/>
    </w:rPr>
  </w:style>
  <w:style w:type="character" w:customStyle="1" w:styleId="1658">
    <w:name w:val="报告 Char"/>
    <w:link w:val="763"/>
    <w:qFormat/>
    <w:uiPriority w:val="0"/>
    <w:rPr>
      <w:rFonts w:ascii="TimesNewRoman" w:hAnsi="TimesNewRoman" w:eastAsia="宋体" w:cs="Times New Roman"/>
      <w:kern w:val="0"/>
      <w:sz w:val="24"/>
      <w:szCs w:val="24"/>
    </w:rPr>
  </w:style>
  <w:style w:type="paragraph" w:customStyle="1" w:styleId="1659">
    <w:name w:val="0正文"/>
    <w:basedOn w:val="1192"/>
    <w:qFormat/>
    <w:uiPriority w:val="0"/>
    <w:pPr>
      <w:ind w:firstLine="480"/>
    </w:pPr>
  </w:style>
  <w:style w:type="character" w:customStyle="1" w:styleId="1660">
    <w:name w:val="Char Char110"/>
    <w:semiHidden/>
    <w:qFormat/>
    <w:uiPriority w:val="0"/>
    <w:rPr>
      <w:rFonts w:ascii="仿宋_GB2312" w:eastAsia="仿宋_GB2312"/>
      <w:b/>
      <w:bCs/>
      <w:kern w:val="44"/>
      <w:sz w:val="32"/>
      <w:szCs w:val="44"/>
      <w:lang w:val="en-US" w:eastAsia="zh-CN" w:bidi="ar-SA"/>
    </w:rPr>
  </w:style>
  <w:style w:type="character" w:customStyle="1" w:styleId="1661">
    <w:name w:val="正文缩进4"/>
    <w:semiHidden/>
    <w:qFormat/>
    <w:uiPriority w:val="0"/>
    <w:rPr>
      <w:rFonts w:ascii="仿宋_GB2312" w:eastAsia="仿宋_GB2312"/>
      <w:kern w:val="2"/>
      <w:sz w:val="28"/>
      <w:lang w:val="en-US" w:eastAsia="zh-CN"/>
    </w:rPr>
  </w:style>
  <w:style w:type="character" w:customStyle="1" w:styleId="1662">
    <w:name w:val="正文首行缩进 2 Char1"/>
    <w:link w:val="87"/>
    <w:qFormat/>
    <w:uiPriority w:val="0"/>
    <w:rPr>
      <w:rFonts w:ascii="宋体" w:hAnsi="Times New Roman" w:eastAsia="宋体" w:cs="Times New Roman"/>
      <w:sz w:val="28"/>
      <w:szCs w:val="20"/>
    </w:rPr>
  </w:style>
  <w:style w:type="character" w:customStyle="1" w:styleId="1663">
    <w:name w:val="标题 2 Char Char Char Char Char2"/>
    <w:semiHidden/>
    <w:qFormat/>
    <w:uiPriority w:val="0"/>
    <w:rPr>
      <w:rFonts w:ascii="宋体" w:hAnsi="宋体" w:eastAsia="宋体"/>
      <w:b/>
      <w:bCs/>
      <w:kern w:val="2"/>
      <w:sz w:val="32"/>
      <w:szCs w:val="32"/>
      <w:lang w:val="en-US" w:eastAsia="zh-CN" w:bidi="ar-SA"/>
    </w:rPr>
  </w:style>
  <w:style w:type="character" w:customStyle="1" w:styleId="1664">
    <w:name w:val="Char Char143"/>
    <w:semiHidden/>
    <w:qFormat/>
    <w:uiPriority w:val="0"/>
    <w:rPr>
      <w:rFonts w:eastAsia="宋体"/>
      <w:kern w:val="2"/>
      <w:sz w:val="21"/>
      <w:szCs w:val="24"/>
      <w:lang w:val="en-US" w:eastAsia="zh-CN" w:bidi="ar-SA"/>
    </w:rPr>
  </w:style>
  <w:style w:type="character" w:customStyle="1" w:styleId="1665">
    <w:name w:val="Char Char35"/>
    <w:qFormat/>
    <w:uiPriority w:val="0"/>
    <w:rPr>
      <w:rFonts w:eastAsia="宋体"/>
      <w:sz w:val="24"/>
      <w:lang w:val="en-US" w:eastAsia="zh-CN" w:bidi="ar-SA"/>
    </w:rPr>
  </w:style>
  <w:style w:type="character" w:customStyle="1" w:styleId="1666">
    <w:name w:val="Char Char153"/>
    <w:semiHidden/>
    <w:qFormat/>
    <w:uiPriority w:val="0"/>
    <w:rPr>
      <w:rFonts w:ascii="Times New Roman" w:hAnsi="Times New Roman" w:eastAsia="宋体" w:cs="Times New Roman"/>
      <w:b/>
      <w:bCs/>
      <w:sz w:val="32"/>
      <w:szCs w:val="32"/>
    </w:rPr>
  </w:style>
  <w:style w:type="character" w:customStyle="1" w:styleId="1667">
    <w:name w:val="正文（首行缩进两字） Char2"/>
    <w:qFormat/>
    <w:uiPriority w:val="0"/>
    <w:rPr>
      <w:rFonts w:ascii="仿宋_GB2312" w:eastAsia="仿宋_GB2312"/>
      <w:kern w:val="2"/>
      <w:sz w:val="28"/>
      <w:szCs w:val="24"/>
      <w:lang w:val="en-US" w:eastAsia="zh-CN" w:bidi="ar-SA"/>
    </w:rPr>
  </w:style>
  <w:style w:type="paragraph" w:customStyle="1" w:styleId="1668">
    <w:name w:val="Char Char163"/>
    <w:basedOn w:val="1"/>
    <w:semiHidden/>
    <w:qFormat/>
    <w:uiPriority w:val="0"/>
    <w:rPr>
      <w:sz w:val="24"/>
    </w:rPr>
  </w:style>
  <w:style w:type="character" w:customStyle="1" w:styleId="1669">
    <w:name w:val="正文文字 2 Char Char"/>
    <w:qFormat/>
    <w:uiPriority w:val="0"/>
    <w:rPr>
      <w:rFonts w:ascii="宋体" w:eastAsia="宋体"/>
      <w:kern w:val="2"/>
      <w:sz w:val="30"/>
      <w:lang w:val="en-US" w:eastAsia="zh-CN" w:bidi="ar-SA"/>
    </w:rPr>
  </w:style>
  <w:style w:type="character" w:customStyle="1" w:styleId="1670">
    <w:name w:val="无页眉 Char Char1"/>
    <w:semiHidden/>
    <w:qFormat/>
    <w:uiPriority w:val="0"/>
    <w:rPr>
      <w:rFonts w:eastAsia="宋体"/>
      <w:kern w:val="2"/>
      <w:sz w:val="18"/>
      <w:szCs w:val="18"/>
      <w:lang w:val="en-US" w:eastAsia="zh-CN" w:bidi="ar-SA"/>
    </w:rPr>
  </w:style>
  <w:style w:type="character" w:customStyle="1" w:styleId="1671">
    <w:name w:val="正文1 Char Char"/>
    <w:semiHidden/>
    <w:qFormat/>
    <w:uiPriority w:val="0"/>
    <w:rPr>
      <w:rFonts w:eastAsia="宋体"/>
      <w:snapToGrid w:val="0"/>
      <w:sz w:val="24"/>
      <w:szCs w:val="24"/>
      <w:lang w:val="en-US" w:eastAsia="zh-CN" w:bidi="ar-SA"/>
    </w:rPr>
  </w:style>
  <w:style w:type="paragraph" w:customStyle="1" w:styleId="1672">
    <w:name w:val="样式 标题 2节标题 1.1H2（一）Underrubrik1prop2Heading 2 HiddenHeadi..."/>
    <w:basedOn w:val="5"/>
    <w:semiHidden/>
    <w:qFormat/>
    <w:uiPriority w:val="0"/>
    <w:pPr>
      <w:numPr>
        <w:ilvl w:val="0"/>
        <w:numId w:val="0"/>
      </w:numPr>
      <w:adjustRightInd/>
      <w:snapToGrid/>
      <w:spacing w:beforeLines="0" w:afterLines="0" w:line="360" w:lineRule="auto"/>
      <w:jc w:val="both"/>
    </w:pPr>
    <w:rPr>
      <w:b/>
      <w:sz w:val="30"/>
      <w:szCs w:val="30"/>
    </w:rPr>
  </w:style>
  <w:style w:type="paragraph" w:customStyle="1" w:styleId="1673">
    <w:name w:val="Char Char34"/>
    <w:basedOn w:val="1"/>
    <w:semiHidden/>
    <w:qFormat/>
    <w:uiPriority w:val="0"/>
    <w:rPr>
      <w:sz w:val="24"/>
    </w:rPr>
  </w:style>
  <w:style w:type="paragraph" w:customStyle="1" w:styleId="1674">
    <w:name w:val="样式 标题 1H1Section HeadHeader1h11st levell1Heading 0Fab-1..."/>
    <w:basedOn w:val="4"/>
    <w:semiHidden/>
    <w:qFormat/>
    <w:uiPriority w:val="0"/>
    <w:pPr>
      <w:numPr>
        <w:numId w:val="0"/>
      </w:numPr>
      <w:adjustRightInd/>
      <w:snapToGrid/>
      <w:spacing w:beforeLines="0" w:afterLines="0" w:line="498" w:lineRule="exact"/>
      <w:jc w:val="both"/>
    </w:pPr>
    <w:rPr>
      <w:rFonts w:ascii="黑体" w:hAnsi="黑体"/>
      <w:color w:val="000000"/>
    </w:rPr>
  </w:style>
  <w:style w:type="paragraph" w:customStyle="1" w:styleId="1675">
    <w:name w:val="样式 标题 2H2（一）Underrubrik1prop2Heading 2 HiddenHeading 2 CCB..."/>
    <w:basedOn w:val="5"/>
    <w:semiHidden/>
    <w:qFormat/>
    <w:uiPriority w:val="0"/>
    <w:pPr>
      <w:numPr>
        <w:ilvl w:val="0"/>
        <w:numId w:val="0"/>
      </w:numPr>
      <w:adjustRightInd/>
      <w:snapToGrid/>
      <w:spacing w:beforeLines="0" w:afterLines="0" w:line="498" w:lineRule="exact"/>
      <w:jc w:val="both"/>
    </w:pPr>
    <w:rPr>
      <w:rFonts w:cs="宋体"/>
      <w:b/>
      <w:sz w:val="30"/>
      <w:szCs w:val="20"/>
    </w:rPr>
  </w:style>
  <w:style w:type="paragraph" w:customStyle="1" w:styleId="1676">
    <w:name w:val="封面标准名称"/>
    <w:semiHidden/>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677">
    <w:name w:val="封面标准号2"/>
    <w:basedOn w:val="1"/>
    <w:semiHidden/>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1678">
    <w:name w:val="图目录"/>
    <w:basedOn w:val="11"/>
    <w:semiHidden/>
    <w:qFormat/>
    <w:uiPriority w:val="0"/>
    <w:pPr>
      <w:keepNext w:val="0"/>
      <w:keepLines w:val="0"/>
      <w:numPr>
        <w:ilvl w:val="0"/>
        <w:numId w:val="0"/>
      </w:numPr>
      <w:adjustRightInd/>
      <w:spacing w:beforeLines="50" w:after="0" w:line="240" w:lineRule="auto"/>
      <w:jc w:val="center"/>
      <w:textAlignment w:val="auto"/>
      <w:outlineLvl w:val="5"/>
    </w:pPr>
    <w:rPr>
      <w:rFonts w:ascii="宋体" w:hAnsi="Times New Roman" w:eastAsia="宋体"/>
      <w:kern w:val="2"/>
      <w:sz w:val="21"/>
    </w:rPr>
  </w:style>
  <w:style w:type="character" w:customStyle="1" w:styleId="1679">
    <w:name w:val="图目录 Char"/>
    <w:semiHidden/>
    <w:qFormat/>
    <w:uiPriority w:val="0"/>
    <w:rPr>
      <w:rFonts w:ascii="宋体" w:eastAsia="宋体"/>
      <w:kern w:val="2"/>
      <w:sz w:val="21"/>
      <w:szCs w:val="24"/>
      <w:lang w:val="en-US" w:eastAsia="zh-CN" w:bidi="ar-SA"/>
    </w:rPr>
  </w:style>
  <w:style w:type="paragraph" w:customStyle="1" w:styleId="1680">
    <w:name w:val="表目录"/>
    <w:basedOn w:val="1"/>
    <w:semiHidden/>
    <w:qFormat/>
    <w:uiPriority w:val="0"/>
    <w:pPr>
      <w:adjustRightInd w:val="0"/>
      <w:snapToGrid w:val="0"/>
      <w:spacing w:beforeLines="50"/>
      <w:jc w:val="center"/>
    </w:pPr>
    <w:rPr>
      <w:rFonts w:ascii="宋体"/>
    </w:rPr>
  </w:style>
  <w:style w:type="paragraph" w:customStyle="1" w:styleId="1681">
    <w:name w:val="条目"/>
    <w:basedOn w:val="45"/>
    <w:next w:val="2"/>
    <w:semiHidden/>
    <w:qFormat/>
    <w:uiPriority w:val="0"/>
    <w:pPr>
      <w:spacing w:line="240" w:lineRule="auto"/>
      <w:ind w:firstLine="567"/>
      <w:outlineLvl w:val="4"/>
    </w:pPr>
    <w:rPr>
      <w:sz w:val="24"/>
      <w:szCs w:val="20"/>
    </w:rPr>
  </w:style>
  <w:style w:type="character" w:customStyle="1" w:styleId="1682">
    <w:name w:val="black1"/>
    <w:semiHidden/>
    <w:qFormat/>
    <w:uiPriority w:val="0"/>
    <w:rPr>
      <w:color w:val="000000"/>
      <w:sz w:val="18"/>
      <w:szCs w:val="18"/>
      <w:u w:val="none"/>
    </w:rPr>
  </w:style>
  <w:style w:type="paragraph" w:customStyle="1" w:styleId="1683">
    <w:name w:val="表 头"/>
    <w:basedOn w:val="1"/>
    <w:semiHidden/>
    <w:qFormat/>
    <w:uiPriority w:val="0"/>
    <w:pPr>
      <w:adjustRightInd w:val="0"/>
      <w:spacing w:before="120" w:after="120" w:line="360" w:lineRule="atLeast"/>
      <w:jc w:val="center"/>
    </w:pPr>
    <w:rPr>
      <w:rFonts w:eastAsia="黑体"/>
      <w:spacing w:val="10"/>
      <w:kern w:val="0"/>
      <w:sz w:val="24"/>
      <w:szCs w:val="20"/>
    </w:rPr>
  </w:style>
  <w:style w:type="paragraph" w:customStyle="1" w:styleId="1684">
    <w:name w:val="框图-1"/>
    <w:basedOn w:val="1"/>
    <w:semiHidden/>
    <w:qFormat/>
    <w:uiPriority w:val="0"/>
    <w:pPr>
      <w:jc w:val="center"/>
    </w:pPr>
    <w:rPr>
      <w:rFonts w:eastAsia="仿宋_GB2312" w:cs="宋体"/>
      <w:snapToGrid w:val="0"/>
      <w:kern w:val="0"/>
      <w:szCs w:val="20"/>
    </w:rPr>
  </w:style>
  <w:style w:type="paragraph" w:customStyle="1" w:styleId="1685">
    <w:name w:val="样式（大表格）"/>
    <w:basedOn w:val="194"/>
    <w:semiHidden/>
    <w:qFormat/>
    <w:uiPriority w:val="0"/>
    <w:pPr>
      <w:jc w:val="both"/>
    </w:pPr>
    <w:rPr>
      <w:color w:val="FF0000"/>
      <w:sz w:val="24"/>
      <w:szCs w:val="24"/>
    </w:rPr>
  </w:style>
  <w:style w:type="character" w:customStyle="1" w:styleId="1686">
    <w:name w:val="newscontent"/>
    <w:semiHidden/>
    <w:qFormat/>
    <w:uiPriority w:val="0"/>
  </w:style>
  <w:style w:type="character" w:customStyle="1" w:styleId="1687">
    <w:name w:val="正文（首行缩进两字）1 Char"/>
    <w:qFormat/>
    <w:uiPriority w:val="0"/>
    <w:rPr>
      <w:rFonts w:ascii="仿宋_GB2312" w:eastAsia="长城仿宋体"/>
      <w:kern w:val="2"/>
      <w:sz w:val="28"/>
      <w:lang w:val="en-US" w:eastAsia="zh-CN" w:bidi="ar-SA"/>
    </w:rPr>
  </w:style>
  <w:style w:type="character" w:customStyle="1" w:styleId="1688">
    <w:name w:val="new_content1"/>
    <w:semiHidden/>
    <w:qFormat/>
    <w:uiPriority w:val="0"/>
    <w:rPr>
      <w:rFonts w:hint="default" w:ascii="ˎ̥" w:hAnsi="ˎ̥"/>
      <w:color w:val="000000"/>
      <w:sz w:val="21"/>
      <w:szCs w:val="21"/>
    </w:rPr>
  </w:style>
  <w:style w:type="character" w:customStyle="1" w:styleId="1689">
    <w:name w:val="ev_content1"/>
    <w:semiHidden/>
    <w:qFormat/>
    <w:uiPriority w:val="0"/>
    <w:rPr>
      <w:color w:val="495766"/>
      <w:sz w:val="21"/>
      <w:szCs w:val="21"/>
    </w:rPr>
  </w:style>
  <w:style w:type="paragraph" w:customStyle="1" w:styleId="1690">
    <w:name w:val="封面标准号1"/>
    <w:semiHidden/>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character" w:customStyle="1" w:styleId="1691">
    <w:name w:val="p9l1"/>
    <w:semiHidden/>
    <w:qFormat/>
    <w:uiPriority w:val="0"/>
    <w:rPr>
      <w:sz w:val="18"/>
      <w:szCs w:val="18"/>
      <w:u w:val="none"/>
    </w:rPr>
  </w:style>
  <w:style w:type="character" w:customStyle="1" w:styleId="1692">
    <w:name w:val="题1 Char"/>
    <w:link w:val="1263"/>
    <w:semiHidden/>
    <w:qFormat/>
    <w:uiPriority w:val="0"/>
    <w:rPr>
      <w:rFonts w:ascii="Times New Roman" w:hAnsi="Times New Roman" w:eastAsia="黑体"/>
      <w:b/>
      <w:bCs/>
      <w:kern w:val="44"/>
      <w:sz w:val="32"/>
      <w:szCs w:val="32"/>
    </w:rPr>
  </w:style>
  <w:style w:type="paragraph" w:customStyle="1" w:styleId="1693">
    <w:name w:val="样式 题1 + 段前: 0.5 行 段后: 0.5 行"/>
    <w:basedOn w:val="1263"/>
    <w:semiHidden/>
    <w:qFormat/>
    <w:uiPriority w:val="0"/>
    <w:pPr>
      <w:numPr>
        <w:numId w:val="0"/>
      </w:numPr>
      <w:spacing w:before="156" w:after="156"/>
      <w:jc w:val="both"/>
    </w:pPr>
    <w:rPr>
      <w:rFonts w:ascii="宋体" w:hAnsi="宋体" w:eastAsia="宋体" w:cs="宋体"/>
      <w:b w:val="0"/>
      <w:bCs w:val="0"/>
      <w:szCs w:val="20"/>
    </w:rPr>
  </w:style>
  <w:style w:type="character" w:customStyle="1" w:styleId="1694">
    <w:name w:val="题3 Char"/>
    <w:link w:val="1265"/>
    <w:semiHidden/>
    <w:qFormat/>
    <w:uiPriority w:val="0"/>
    <w:rPr>
      <w:rFonts w:ascii="Times New Roman" w:hAnsi="Times New Roman" w:eastAsia="黑体"/>
      <w:b/>
      <w:kern w:val="2"/>
      <w:sz w:val="28"/>
      <w:szCs w:val="24"/>
    </w:rPr>
  </w:style>
  <w:style w:type="paragraph" w:customStyle="1" w:styleId="1695">
    <w:name w:val="题4"/>
    <w:basedOn w:val="7"/>
    <w:semiHidden/>
    <w:qFormat/>
    <w:uiPriority w:val="0"/>
    <w:pPr>
      <w:numPr>
        <w:ilvl w:val="0"/>
        <w:numId w:val="0"/>
      </w:numPr>
      <w:spacing w:beforeLines="50" w:afterLines="50"/>
    </w:pPr>
    <w:rPr>
      <w:rFonts w:eastAsia="宋体"/>
      <w:b/>
      <w:bCs w:val="0"/>
      <w:sz w:val="24"/>
      <w:szCs w:val="24"/>
    </w:rPr>
  </w:style>
  <w:style w:type="paragraph" w:customStyle="1" w:styleId="1696">
    <w:name w:val="小四表文"/>
    <w:link w:val="1697"/>
    <w:semiHidden/>
    <w:qFormat/>
    <w:uiPriority w:val="0"/>
    <w:pPr>
      <w:adjustRightInd w:val="0"/>
      <w:snapToGrid w:val="0"/>
      <w:jc w:val="center"/>
    </w:pPr>
    <w:rPr>
      <w:rFonts w:ascii="宋体" w:hAnsi="宋体" w:eastAsia="宋体" w:cs="宋体"/>
      <w:snapToGrid w:val="0"/>
      <w:sz w:val="24"/>
      <w:szCs w:val="24"/>
      <w:lang w:val="en-US" w:eastAsia="zh-CN" w:bidi="ar-SA"/>
    </w:rPr>
  </w:style>
  <w:style w:type="character" w:customStyle="1" w:styleId="1697">
    <w:name w:val="小四表文 Char"/>
    <w:link w:val="1696"/>
    <w:semiHidden/>
    <w:qFormat/>
    <w:uiPriority w:val="0"/>
    <w:rPr>
      <w:rFonts w:ascii="宋体" w:hAnsi="宋体" w:eastAsia="宋体" w:cs="宋体"/>
      <w:snapToGrid w:val="0"/>
      <w:kern w:val="0"/>
      <w:sz w:val="24"/>
      <w:szCs w:val="24"/>
    </w:rPr>
  </w:style>
  <w:style w:type="paragraph" w:customStyle="1" w:styleId="1698">
    <w:name w:val="小五居左"/>
    <w:basedOn w:val="1"/>
    <w:link w:val="1699"/>
    <w:semiHidden/>
    <w:qFormat/>
    <w:uiPriority w:val="0"/>
    <w:pPr>
      <w:adjustRightInd w:val="0"/>
      <w:snapToGrid w:val="0"/>
    </w:pPr>
    <w:rPr>
      <w:rFonts w:ascii="宋体" w:hAnsi="宋体"/>
      <w:bCs/>
      <w:snapToGrid w:val="0"/>
      <w:kern w:val="0"/>
      <w:szCs w:val="21"/>
      <w:lang w:val="zh-CN"/>
    </w:rPr>
  </w:style>
  <w:style w:type="character" w:customStyle="1" w:styleId="1699">
    <w:name w:val="小五居左 Char"/>
    <w:link w:val="1698"/>
    <w:semiHidden/>
    <w:qFormat/>
    <w:uiPriority w:val="0"/>
    <w:rPr>
      <w:rFonts w:ascii="宋体" w:hAnsi="宋体" w:eastAsia="宋体" w:cs="Times New Roman"/>
      <w:bCs/>
      <w:snapToGrid w:val="0"/>
      <w:kern w:val="0"/>
      <w:szCs w:val="21"/>
      <w:lang w:val="zh-CN"/>
    </w:rPr>
  </w:style>
  <w:style w:type="paragraph" w:customStyle="1" w:styleId="1700">
    <w:name w:val="小四左齐"/>
    <w:basedOn w:val="1"/>
    <w:link w:val="1701"/>
    <w:semiHidden/>
    <w:qFormat/>
    <w:uiPriority w:val="0"/>
    <w:pPr>
      <w:widowControl/>
      <w:tabs>
        <w:tab w:val="left" w:pos="1440"/>
      </w:tabs>
      <w:kinsoku w:val="0"/>
      <w:overflowPunct w:val="0"/>
      <w:autoSpaceDE w:val="0"/>
      <w:autoSpaceDN w:val="0"/>
      <w:adjustRightInd w:val="0"/>
      <w:snapToGrid w:val="0"/>
      <w:ind w:left="2"/>
      <w:jc w:val="left"/>
    </w:pPr>
    <w:rPr>
      <w:rFonts w:ascii="宋体" w:hAnsi="宋体"/>
      <w:snapToGrid w:val="0"/>
      <w:kern w:val="0"/>
      <w:sz w:val="24"/>
      <w:lang w:val="zh-CN"/>
    </w:rPr>
  </w:style>
  <w:style w:type="character" w:customStyle="1" w:styleId="1701">
    <w:name w:val="小四左齐 Char"/>
    <w:link w:val="1700"/>
    <w:semiHidden/>
    <w:qFormat/>
    <w:uiPriority w:val="0"/>
    <w:rPr>
      <w:rFonts w:ascii="宋体" w:hAnsi="宋体" w:eastAsia="宋体" w:cs="Times New Roman"/>
      <w:snapToGrid w:val="0"/>
      <w:kern w:val="0"/>
      <w:sz w:val="24"/>
      <w:szCs w:val="24"/>
      <w:lang w:val="zh-CN"/>
    </w:rPr>
  </w:style>
  <w:style w:type="character" w:customStyle="1" w:styleId="1702">
    <w:name w:val="图 Char Char"/>
    <w:semiHidden/>
    <w:qFormat/>
    <w:uiPriority w:val="0"/>
    <w:rPr>
      <w:rFonts w:ascii="宋体" w:eastAsia="宋体"/>
      <w:kern w:val="2"/>
      <w:sz w:val="24"/>
      <w:szCs w:val="24"/>
      <w:lang w:val="en-US" w:eastAsia="zh-CN" w:bidi="ar-SA"/>
    </w:rPr>
  </w:style>
  <w:style w:type="character" w:customStyle="1" w:styleId="1703">
    <w:name w:val="新正文 Char Char"/>
    <w:qFormat/>
    <w:uiPriority w:val="0"/>
    <w:rPr>
      <w:rFonts w:ascii="仿宋_GB2312" w:eastAsia="仿宋_GB2312"/>
      <w:bCs/>
      <w:sz w:val="28"/>
      <w:lang w:val="en-US" w:eastAsia="zh-CN" w:bidi="ar-SA"/>
    </w:rPr>
  </w:style>
  <w:style w:type="character" w:customStyle="1" w:styleId="1704">
    <w:name w:val="图目录 Char Char"/>
    <w:semiHidden/>
    <w:qFormat/>
    <w:uiPriority w:val="0"/>
    <w:rPr>
      <w:rFonts w:ascii="宋体" w:eastAsia="宋体"/>
      <w:kern w:val="2"/>
      <w:sz w:val="21"/>
      <w:szCs w:val="24"/>
      <w:lang w:val="en-US" w:eastAsia="zh-CN" w:bidi="ar-SA"/>
    </w:rPr>
  </w:style>
  <w:style w:type="paragraph" w:customStyle="1" w:styleId="1705">
    <w:name w:val="xl6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kern w:val="0"/>
      <w:sz w:val="15"/>
      <w:szCs w:val="15"/>
    </w:rPr>
  </w:style>
  <w:style w:type="paragraph" w:customStyle="1" w:styleId="1706">
    <w:name w:val="xl70"/>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kern w:val="0"/>
      <w:sz w:val="16"/>
      <w:szCs w:val="16"/>
    </w:rPr>
  </w:style>
  <w:style w:type="paragraph" w:customStyle="1" w:styleId="1707">
    <w:name w:val="xl7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kern w:val="0"/>
      <w:sz w:val="16"/>
      <w:szCs w:val="16"/>
    </w:rPr>
  </w:style>
  <w:style w:type="paragraph" w:customStyle="1" w:styleId="1708">
    <w:name w:val="xl72"/>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top"/>
    </w:pPr>
    <w:rPr>
      <w:kern w:val="0"/>
      <w:sz w:val="16"/>
      <w:szCs w:val="16"/>
    </w:rPr>
  </w:style>
  <w:style w:type="paragraph" w:customStyle="1" w:styleId="1709">
    <w:name w:val="xl73"/>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kern w:val="0"/>
      <w:sz w:val="15"/>
      <w:szCs w:val="15"/>
    </w:rPr>
  </w:style>
  <w:style w:type="paragraph" w:customStyle="1" w:styleId="1710">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kern w:val="0"/>
      <w:sz w:val="15"/>
      <w:szCs w:val="15"/>
    </w:rPr>
  </w:style>
  <w:style w:type="paragraph" w:customStyle="1" w:styleId="1711">
    <w:name w:val="xl7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kern w:val="0"/>
      <w:sz w:val="15"/>
      <w:szCs w:val="15"/>
    </w:rPr>
  </w:style>
  <w:style w:type="paragraph" w:customStyle="1" w:styleId="1712">
    <w:name w:val="xl76"/>
    <w:basedOn w:val="1"/>
    <w:qFormat/>
    <w:uiPriority w:val="0"/>
    <w:pPr>
      <w:widowControl/>
      <w:spacing w:before="100" w:beforeAutospacing="1" w:after="100" w:afterAutospacing="1"/>
      <w:jc w:val="left"/>
    </w:pPr>
    <w:rPr>
      <w:kern w:val="0"/>
      <w:sz w:val="15"/>
      <w:szCs w:val="15"/>
    </w:rPr>
  </w:style>
  <w:style w:type="character" w:customStyle="1" w:styleId="1713">
    <w:name w:val="表格文字 Char1"/>
    <w:semiHidden/>
    <w:qFormat/>
    <w:uiPriority w:val="0"/>
    <w:rPr>
      <w:rFonts w:ascii="仿宋_GB2312" w:hAnsi="Arial Black" w:eastAsia="仿宋_GB2312"/>
      <w:kern w:val="44"/>
      <w:sz w:val="24"/>
      <w:lang w:val="en-US" w:eastAsia="zh-CN" w:bidi="ar-SA"/>
    </w:rPr>
  </w:style>
  <w:style w:type="paragraph" w:customStyle="1" w:styleId="1714">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1715">
    <w:name w:val="xl82"/>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716">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17">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18">
    <w:name w:val="xl85"/>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19">
    <w:name w:val="xl8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0">
    <w:name w:val="xl87"/>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1">
    <w:name w:val="xl8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2">
    <w:name w:val="xl89"/>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3">
    <w:name w:val="xl90"/>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4">
    <w:name w:val="xl91"/>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5">
    <w:name w:val="xl92"/>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6">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27">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28">
    <w:name w:val="xl95"/>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29">
    <w:name w:val="xl96"/>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3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1731">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32">
    <w:name w:val="xl99"/>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33">
    <w:name w:val="xl10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73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35">
    <w:name w:val="xl10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36">
    <w:name w:val="xl103"/>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737">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18"/>
      <w:szCs w:val="18"/>
    </w:rPr>
  </w:style>
  <w:style w:type="paragraph" w:customStyle="1" w:styleId="173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739">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CCFFFF"/>
      <w:spacing w:before="100" w:beforeAutospacing="1" w:after="100" w:afterAutospacing="1"/>
      <w:jc w:val="center"/>
    </w:pPr>
    <w:rPr>
      <w:rFonts w:ascii="宋体" w:hAnsi="宋体" w:cs="宋体"/>
      <w:color w:val="000000"/>
      <w:kern w:val="0"/>
      <w:sz w:val="18"/>
      <w:szCs w:val="18"/>
    </w:rPr>
  </w:style>
  <w:style w:type="paragraph" w:customStyle="1" w:styleId="1740">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1741">
    <w:name w:val="xl108"/>
    <w:basedOn w:val="1"/>
    <w:qFormat/>
    <w:uiPriority w:val="0"/>
    <w:pPr>
      <w:widowControl/>
      <w:pBdr>
        <w:left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1742">
    <w:name w:val="xl10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color w:val="000000"/>
      <w:kern w:val="0"/>
      <w:sz w:val="18"/>
      <w:szCs w:val="18"/>
    </w:rPr>
  </w:style>
  <w:style w:type="paragraph" w:customStyle="1" w:styleId="1743">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character" w:customStyle="1" w:styleId="1744">
    <w:name w:val="标题 Char1"/>
    <w:qFormat/>
    <w:uiPriority w:val="0"/>
    <w:rPr>
      <w:rFonts w:ascii="Cambria" w:hAnsi="Cambria" w:cs="Times New Roman"/>
      <w:b/>
      <w:bCs/>
      <w:kern w:val="2"/>
      <w:sz w:val="32"/>
      <w:szCs w:val="32"/>
    </w:rPr>
  </w:style>
  <w:style w:type="character" w:customStyle="1" w:styleId="1745">
    <w:name w:val="正文文本 3 Char1"/>
    <w:qFormat/>
    <w:uiPriority w:val="0"/>
    <w:rPr>
      <w:kern w:val="2"/>
      <w:sz w:val="16"/>
      <w:szCs w:val="16"/>
    </w:rPr>
  </w:style>
  <w:style w:type="character" w:customStyle="1" w:styleId="1746">
    <w:name w:val="批注文字 Char1"/>
    <w:qFormat/>
    <w:uiPriority w:val="0"/>
    <w:rPr>
      <w:kern w:val="2"/>
      <w:sz w:val="21"/>
      <w:szCs w:val="24"/>
    </w:rPr>
  </w:style>
  <w:style w:type="character" w:customStyle="1" w:styleId="1747">
    <w:name w:val="文档结构图 Char1"/>
    <w:qFormat/>
    <w:uiPriority w:val="0"/>
    <w:rPr>
      <w:rFonts w:ascii="宋体"/>
      <w:kern w:val="2"/>
      <w:sz w:val="18"/>
      <w:szCs w:val="18"/>
    </w:rPr>
  </w:style>
  <w:style w:type="character" w:customStyle="1" w:styleId="1748">
    <w:name w:val="签名 Char1"/>
    <w:semiHidden/>
    <w:qFormat/>
    <w:uiPriority w:val="0"/>
    <w:rPr>
      <w:kern w:val="2"/>
      <w:sz w:val="21"/>
      <w:szCs w:val="24"/>
    </w:rPr>
  </w:style>
  <w:style w:type="paragraph" w:customStyle="1" w:styleId="1749">
    <w:name w:val="Char1 Char Char Char Char Char Char12"/>
    <w:basedOn w:val="1"/>
    <w:next w:val="1"/>
    <w:semiHidden/>
    <w:qFormat/>
    <w:uiPriority w:val="0"/>
    <w:pPr>
      <w:spacing w:line="360" w:lineRule="auto"/>
      <w:ind w:firstLine="200" w:firstLineChars="200"/>
      <w:jc w:val="center"/>
    </w:pPr>
    <w:rPr>
      <w:rFonts w:eastAsia="黑体"/>
      <w:szCs w:val="20"/>
    </w:rPr>
  </w:style>
  <w:style w:type="paragraph" w:customStyle="1" w:styleId="1750">
    <w:name w:val="Char Char Char1 Char Char Char Char Char Char Char Char Char Char Char Char Char Char Char Char Char Char Char2"/>
    <w:basedOn w:val="1"/>
    <w:semiHidden/>
    <w:qFormat/>
    <w:uiPriority w:val="0"/>
    <w:rPr>
      <w:sz w:val="24"/>
    </w:rPr>
  </w:style>
  <w:style w:type="paragraph" w:customStyle="1" w:styleId="1751">
    <w:name w:val="Char1 Char Char Char Char Char Char Char Char Char Char Char Char Char Char Char2"/>
    <w:basedOn w:val="1"/>
    <w:semiHidden/>
    <w:qFormat/>
    <w:uiPriority w:val="0"/>
  </w:style>
  <w:style w:type="paragraph" w:customStyle="1" w:styleId="1752">
    <w:name w:val="Char Char Char1 Char Char Char Char Char Char Char Char Char Char Char Char Char Char Char Char Char Char Char Char Char Char Char Char Char Char Char2"/>
    <w:basedOn w:val="1"/>
    <w:semiHidden/>
    <w:qFormat/>
    <w:uiPriority w:val="0"/>
    <w:pPr>
      <w:spacing w:line="360" w:lineRule="auto"/>
      <w:jc w:val="left"/>
    </w:pPr>
    <w:rPr>
      <w:sz w:val="24"/>
    </w:rPr>
  </w:style>
  <w:style w:type="paragraph" w:customStyle="1" w:styleId="1753">
    <w:name w:val="Char Char Char Char Char1 Char2"/>
    <w:basedOn w:val="1"/>
    <w:semiHidden/>
    <w:qFormat/>
    <w:uiPriority w:val="0"/>
  </w:style>
  <w:style w:type="paragraph" w:customStyle="1" w:styleId="1754">
    <w:name w:val="Char Char Char Char Char Char Char Char Char1 Char Char Char Char Char Char Char Char Char Char2"/>
    <w:basedOn w:val="1"/>
    <w:semiHidden/>
    <w:qFormat/>
    <w:uiPriority w:val="0"/>
    <w:rPr>
      <w:szCs w:val="21"/>
    </w:rPr>
  </w:style>
  <w:style w:type="paragraph" w:customStyle="1" w:styleId="1755">
    <w:name w:val="Char Char1 Char Char Char Char12"/>
    <w:basedOn w:val="1"/>
    <w:semiHidden/>
    <w:qFormat/>
    <w:uiPriority w:val="0"/>
    <w:rPr>
      <w:szCs w:val="20"/>
    </w:rPr>
  </w:style>
  <w:style w:type="paragraph" w:customStyle="1" w:styleId="1756">
    <w:name w:val="Char3 Char Char Char1 Char Char1 Char2"/>
    <w:basedOn w:val="1"/>
    <w:semiHidden/>
    <w:qFormat/>
    <w:uiPriority w:val="0"/>
    <w:rPr>
      <w:szCs w:val="21"/>
    </w:rPr>
  </w:style>
  <w:style w:type="paragraph" w:customStyle="1" w:styleId="1757">
    <w:name w:val="Char Char3 Char2"/>
    <w:basedOn w:val="1"/>
    <w:next w:val="1"/>
    <w:semiHidden/>
    <w:qFormat/>
    <w:uiPriority w:val="0"/>
    <w:pPr>
      <w:spacing w:line="360" w:lineRule="auto"/>
      <w:ind w:firstLine="200" w:firstLineChars="200"/>
      <w:jc w:val="center"/>
    </w:pPr>
    <w:rPr>
      <w:rFonts w:eastAsia="黑体"/>
      <w:szCs w:val="20"/>
    </w:rPr>
  </w:style>
  <w:style w:type="paragraph" w:customStyle="1" w:styleId="1758">
    <w:name w:val="Char1 Char Char Char Char Char2"/>
    <w:basedOn w:val="1"/>
    <w:next w:val="1"/>
    <w:semiHidden/>
    <w:qFormat/>
    <w:uiPriority w:val="0"/>
    <w:pPr>
      <w:spacing w:line="360" w:lineRule="auto"/>
      <w:ind w:firstLine="200" w:firstLineChars="200"/>
      <w:jc w:val="center"/>
    </w:pPr>
    <w:rPr>
      <w:rFonts w:eastAsia="黑体"/>
      <w:szCs w:val="20"/>
    </w:rPr>
  </w:style>
  <w:style w:type="paragraph" w:customStyle="1" w:styleId="1759">
    <w:name w:val="Char2 Char Char Char Char Char Char Char Char Char Char Char1 Char Char Char Char Char Char Char2"/>
    <w:basedOn w:val="1"/>
    <w:semiHidden/>
    <w:qFormat/>
    <w:uiPriority w:val="0"/>
    <w:rPr>
      <w:sz w:val="24"/>
    </w:rPr>
  </w:style>
  <w:style w:type="character" w:customStyle="1" w:styleId="1760">
    <w:name w:val="副标题 Char1"/>
    <w:semiHidden/>
    <w:qFormat/>
    <w:uiPriority w:val="0"/>
    <w:rPr>
      <w:rFonts w:ascii="Cambria" w:hAnsi="Cambria" w:cs="Times New Roman"/>
      <w:b/>
      <w:bCs/>
      <w:kern w:val="28"/>
      <w:sz w:val="32"/>
      <w:szCs w:val="32"/>
    </w:rPr>
  </w:style>
  <w:style w:type="character" w:customStyle="1" w:styleId="1761">
    <w:name w:val="批注框文本 Char1"/>
    <w:qFormat/>
    <w:uiPriority w:val="0"/>
    <w:rPr>
      <w:kern w:val="2"/>
      <w:sz w:val="18"/>
      <w:szCs w:val="18"/>
    </w:rPr>
  </w:style>
  <w:style w:type="character" w:customStyle="1" w:styleId="1762">
    <w:name w:val="批注主题 Char1"/>
    <w:qFormat/>
    <w:uiPriority w:val="0"/>
    <w:rPr>
      <w:b/>
      <w:bCs/>
      <w:kern w:val="2"/>
      <w:sz w:val="21"/>
      <w:szCs w:val="24"/>
    </w:rPr>
  </w:style>
  <w:style w:type="character" w:customStyle="1" w:styleId="1763">
    <w:name w:val="日期 Char1"/>
    <w:qFormat/>
    <w:uiPriority w:val="0"/>
    <w:rPr>
      <w:kern w:val="2"/>
      <w:sz w:val="21"/>
      <w:szCs w:val="24"/>
    </w:rPr>
  </w:style>
  <w:style w:type="character" w:customStyle="1" w:styleId="1764">
    <w:name w:val="注释标题 Char1"/>
    <w:semiHidden/>
    <w:qFormat/>
    <w:uiPriority w:val="0"/>
    <w:rPr>
      <w:kern w:val="2"/>
      <w:sz w:val="21"/>
      <w:szCs w:val="24"/>
    </w:rPr>
  </w:style>
  <w:style w:type="character" w:customStyle="1" w:styleId="1765">
    <w:name w:val="宏文本 Char1"/>
    <w:semiHidden/>
    <w:qFormat/>
    <w:uiPriority w:val="0"/>
    <w:rPr>
      <w:rFonts w:ascii="Courier New" w:hAnsi="Courier New" w:cs="Courier New"/>
      <w:kern w:val="2"/>
      <w:sz w:val="24"/>
      <w:szCs w:val="24"/>
    </w:rPr>
  </w:style>
  <w:style w:type="character" w:customStyle="1" w:styleId="1766">
    <w:name w:val="称呼 Char1"/>
    <w:qFormat/>
    <w:uiPriority w:val="0"/>
    <w:rPr>
      <w:kern w:val="2"/>
      <w:sz w:val="21"/>
      <w:szCs w:val="24"/>
    </w:rPr>
  </w:style>
  <w:style w:type="character" w:customStyle="1" w:styleId="1767">
    <w:name w:val="电子邮件签名 Char1"/>
    <w:semiHidden/>
    <w:qFormat/>
    <w:uiPriority w:val="0"/>
    <w:rPr>
      <w:kern w:val="2"/>
      <w:sz w:val="21"/>
      <w:szCs w:val="24"/>
    </w:rPr>
  </w:style>
  <w:style w:type="character" w:customStyle="1" w:styleId="1768">
    <w:name w:val="结束语 Char1"/>
    <w:semiHidden/>
    <w:qFormat/>
    <w:uiPriority w:val="0"/>
    <w:rPr>
      <w:kern w:val="2"/>
      <w:sz w:val="21"/>
      <w:szCs w:val="24"/>
    </w:rPr>
  </w:style>
  <w:style w:type="character" w:customStyle="1" w:styleId="1769">
    <w:name w:val="尾注文本 Char1"/>
    <w:semiHidden/>
    <w:qFormat/>
    <w:uiPriority w:val="0"/>
    <w:rPr>
      <w:kern w:val="2"/>
      <w:sz w:val="21"/>
      <w:szCs w:val="24"/>
    </w:rPr>
  </w:style>
  <w:style w:type="character" w:customStyle="1" w:styleId="1770">
    <w:name w:val="信息标题 Char1"/>
    <w:semiHidden/>
    <w:qFormat/>
    <w:uiPriority w:val="0"/>
    <w:rPr>
      <w:rFonts w:ascii="Cambria" w:hAnsi="Cambria" w:eastAsia="宋体" w:cs="Times New Roman"/>
      <w:kern w:val="2"/>
      <w:sz w:val="24"/>
      <w:szCs w:val="24"/>
      <w:shd w:val="pct20" w:color="auto" w:fill="auto"/>
    </w:rPr>
  </w:style>
  <w:style w:type="character" w:customStyle="1" w:styleId="1771">
    <w:name w:val="Char Char Char12"/>
    <w:qFormat/>
    <w:uiPriority w:val="0"/>
  </w:style>
  <w:style w:type="character" w:customStyle="1" w:styleId="1772">
    <w:name w:val="Char Char Char Char Char2"/>
    <w:semiHidden/>
    <w:qFormat/>
    <w:uiPriority w:val="0"/>
    <w:rPr>
      <w:rFonts w:hint="eastAsia" w:ascii="宋体" w:hAnsi="宋体" w:eastAsia="宋体"/>
      <w:kern w:val="2"/>
      <w:sz w:val="24"/>
      <w:szCs w:val="24"/>
      <w:lang w:val="en-US" w:eastAsia="zh-CN" w:bidi="ar-SA"/>
    </w:rPr>
  </w:style>
  <w:style w:type="character" w:customStyle="1" w:styleId="1773">
    <w:name w:val="HTML 预设格式 Char2"/>
    <w:semiHidden/>
    <w:qFormat/>
    <w:uiPriority w:val="0"/>
    <w:rPr>
      <w:rFonts w:ascii="Courier New" w:hAnsi="Courier New" w:cs="Courier New"/>
      <w:kern w:val="2"/>
    </w:rPr>
  </w:style>
  <w:style w:type="paragraph" w:customStyle="1" w:styleId="1774">
    <w:name w:val="样式 纯文本 + (中文) 宋体 首行缩进:  2 字符"/>
    <w:basedOn w:val="45"/>
    <w:semiHidden/>
    <w:qFormat/>
    <w:uiPriority w:val="0"/>
    <w:pPr>
      <w:spacing w:line="520" w:lineRule="exact"/>
      <w:ind w:firstLine="200" w:firstLineChars="200"/>
    </w:pPr>
    <w:rPr>
      <w:rFonts w:cs="宋体"/>
      <w:kern w:val="0"/>
      <w:sz w:val="28"/>
      <w:szCs w:val="20"/>
    </w:rPr>
  </w:style>
  <w:style w:type="character" w:customStyle="1" w:styleId="1775">
    <w:name w:val="1-正文 Char"/>
    <w:link w:val="1312"/>
    <w:qFormat/>
    <w:uiPriority w:val="0"/>
    <w:rPr>
      <w:rFonts w:ascii="宋体" w:hAnsi="宋体" w:eastAsia="宋体" w:cs="Times New Roman"/>
      <w:sz w:val="24"/>
      <w:szCs w:val="24"/>
    </w:rPr>
  </w:style>
  <w:style w:type="character" w:customStyle="1" w:styleId="1776">
    <w:name w:val="Char Char27"/>
    <w:semiHidden/>
    <w:qFormat/>
    <w:uiPriority w:val="0"/>
    <w:rPr>
      <w:rFonts w:ascii="Arial" w:hAnsi="Arial" w:eastAsia="楷体_GB2312" w:cs="Arial"/>
      <w:bCs/>
      <w:snapToGrid w:val="0"/>
      <w:sz w:val="18"/>
      <w:szCs w:val="18"/>
      <w:lang w:val="en-US" w:eastAsia="zh-CN" w:bidi="ar-SA"/>
    </w:rPr>
  </w:style>
  <w:style w:type="character" w:customStyle="1" w:styleId="1777">
    <w:name w:val="Char Char30"/>
    <w:semiHidden/>
    <w:qFormat/>
    <w:uiPriority w:val="0"/>
    <w:rPr>
      <w:rFonts w:ascii="宋体" w:hAnsi="宋体" w:eastAsia="宋体"/>
      <w:kern w:val="2"/>
      <w:sz w:val="21"/>
      <w:szCs w:val="24"/>
      <w:lang w:val="en-US" w:eastAsia="zh-CN" w:bidi="ar-SA"/>
    </w:rPr>
  </w:style>
  <w:style w:type="character" w:customStyle="1" w:styleId="1778">
    <w:name w:val="Char Char26"/>
    <w:semiHidden/>
    <w:qFormat/>
    <w:uiPriority w:val="0"/>
    <w:rPr>
      <w:rFonts w:ascii="Arial" w:hAnsi="Arial" w:eastAsia="黑体" w:cs="Arial"/>
      <w:kern w:val="28"/>
      <w:sz w:val="21"/>
      <w:lang w:val="zh-CN" w:eastAsia="zh-CN" w:bidi="ar-SA"/>
    </w:rPr>
  </w:style>
  <w:style w:type="character" w:customStyle="1" w:styleId="1779">
    <w:name w:val="Char Char32"/>
    <w:qFormat/>
    <w:uiPriority w:val="0"/>
    <w:rPr>
      <w:rFonts w:ascii="宋体" w:hAnsi="宋体" w:eastAsia="宋体"/>
      <w:kern w:val="2"/>
      <w:sz w:val="24"/>
      <w:lang w:val="en-US" w:eastAsia="zh-CN" w:bidi="ar-SA"/>
    </w:rPr>
  </w:style>
  <w:style w:type="character" w:customStyle="1" w:styleId="1780">
    <w:name w:val="Char Char25"/>
    <w:qFormat/>
    <w:uiPriority w:val="0"/>
    <w:rPr>
      <w:rFonts w:ascii="宋体" w:hAnsi="宋体" w:eastAsia="宋体"/>
      <w:kern w:val="2"/>
      <w:sz w:val="28"/>
      <w:lang w:val="zh-CN" w:eastAsia="zh-CN" w:bidi="ar-SA"/>
    </w:rPr>
  </w:style>
  <w:style w:type="character" w:customStyle="1" w:styleId="1781">
    <w:name w:val="Char Char19"/>
    <w:qFormat/>
    <w:uiPriority w:val="0"/>
    <w:rPr>
      <w:rFonts w:ascii="宋体" w:hAnsi="宋体" w:eastAsia="宋体"/>
      <w:kern w:val="2"/>
      <w:sz w:val="21"/>
      <w:szCs w:val="24"/>
      <w:lang w:val="zh-CN" w:eastAsia="zh-CN" w:bidi="ar-SA"/>
    </w:rPr>
  </w:style>
  <w:style w:type="character" w:customStyle="1" w:styleId="1782">
    <w:name w:val="Char Char31"/>
    <w:qFormat/>
    <w:uiPriority w:val="0"/>
    <w:rPr>
      <w:rFonts w:ascii="宋体" w:hAnsi="宋体" w:eastAsia="宋体"/>
      <w:kern w:val="2"/>
      <w:sz w:val="21"/>
      <w:lang w:val="en-US" w:eastAsia="zh-CN" w:bidi="ar-SA"/>
    </w:rPr>
  </w:style>
  <w:style w:type="character" w:customStyle="1" w:styleId="1783">
    <w:name w:val="Char Char29"/>
    <w:semiHidden/>
    <w:qFormat/>
    <w:uiPriority w:val="0"/>
    <w:rPr>
      <w:rFonts w:ascii="宋体" w:hAnsi="宋体" w:eastAsia="宋体"/>
      <w:b/>
      <w:bCs/>
      <w:kern w:val="2"/>
      <w:sz w:val="21"/>
      <w:szCs w:val="24"/>
      <w:lang w:val="en-US" w:eastAsia="zh-CN" w:bidi="ar-SA"/>
    </w:rPr>
  </w:style>
  <w:style w:type="character" w:customStyle="1" w:styleId="1784">
    <w:name w:val="Char Char28"/>
    <w:semiHidden/>
    <w:qFormat/>
    <w:uiPriority w:val="0"/>
    <w:rPr>
      <w:rFonts w:ascii="宋体" w:hAnsi="宋体" w:eastAsia="宋体"/>
      <w:kern w:val="2"/>
      <w:sz w:val="18"/>
      <w:szCs w:val="18"/>
      <w:lang w:val="zh-CN" w:eastAsia="zh-CN" w:bidi="ar-SA"/>
    </w:rPr>
  </w:style>
  <w:style w:type="character" w:customStyle="1" w:styleId="1785">
    <w:name w:val="Char Char33"/>
    <w:qFormat/>
    <w:uiPriority w:val="0"/>
    <w:rPr>
      <w:rFonts w:ascii="Arial" w:hAnsi="Arial" w:eastAsia="宋体" w:cs="Arial"/>
      <w:kern w:val="2"/>
      <w:sz w:val="24"/>
      <w:szCs w:val="24"/>
      <w:lang w:val="en-US" w:eastAsia="zh-CN" w:bidi="ar-SA"/>
    </w:rPr>
  </w:style>
  <w:style w:type="paragraph" w:customStyle="1" w:styleId="1786">
    <w:name w:val="修订1"/>
    <w:hidden/>
    <w:qFormat/>
    <w:uiPriority w:val="0"/>
    <w:rPr>
      <w:rFonts w:ascii="Times New Roman" w:hAnsi="Times New Roman" w:eastAsia="宋体" w:cs="Times New Roman"/>
      <w:kern w:val="2"/>
      <w:sz w:val="21"/>
      <w:szCs w:val="24"/>
      <w:lang w:val="en-US" w:eastAsia="zh-CN" w:bidi="ar-SA"/>
    </w:rPr>
  </w:style>
  <w:style w:type="paragraph" w:customStyle="1" w:styleId="1787">
    <w:name w:val="正文小四首缩1.3行距"/>
    <w:basedOn w:val="1"/>
    <w:link w:val="1788"/>
    <w:semiHidden/>
    <w:qFormat/>
    <w:uiPriority w:val="0"/>
    <w:pPr>
      <w:spacing w:line="312" w:lineRule="auto"/>
      <w:ind w:firstLine="420" w:firstLineChars="200"/>
    </w:pPr>
    <w:rPr>
      <w:sz w:val="24"/>
    </w:rPr>
  </w:style>
  <w:style w:type="character" w:customStyle="1" w:styleId="1788">
    <w:name w:val="正文小四首缩1.3行距 Char"/>
    <w:link w:val="1787"/>
    <w:semiHidden/>
    <w:qFormat/>
    <w:uiPriority w:val="0"/>
    <w:rPr>
      <w:rFonts w:ascii="Times New Roman" w:hAnsi="Times New Roman" w:eastAsia="宋体" w:cs="Times New Roman"/>
      <w:sz w:val="24"/>
      <w:szCs w:val="24"/>
    </w:rPr>
  </w:style>
  <w:style w:type="paragraph" w:customStyle="1" w:styleId="1789">
    <w:name w:val="！正文"/>
    <w:basedOn w:val="1"/>
    <w:link w:val="1790"/>
    <w:semiHidden/>
    <w:qFormat/>
    <w:uiPriority w:val="0"/>
    <w:pPr>
      <w:spacing w:line="360" w:lineRule="auto"/>
      <w:ind w:firstLine="200" w:firstLineChars="200"/>
    </w:pPr>
    <w:rPr>
      <w:kern w:val="0"/>
      <w:sz w:val="24"/>
      <w:szCs w:val="20"/>
      <w:lang w:val="zh-CN"/>
    </w:rPr>
  </w:style>
  <w:style w:type="character" w:customStyle="1" w:styleId="1790">
    <w:name w:val="！正文 Char"/>
    <w:link w:val="1789"/>
    <w:semiHidden/>
    <w:qFormat/>
    <w:uiPriority w:val="0"/>
    <w:rPr>
      <w:rFonts w:ascii="Times New Roman" w:hAnsi="Times New Roman" w:eastAsia="宋体" w:cs="Times New Roman"/>
      <w:kern w:val="0"/>
      <w:sz w:val="24"/>
      <w:szCs w:val="20"/>
      <w:lang w:val="zh-CN" w:eastAsia="zh-CN"/>
    </w:rPr>
  </w:style>
  <w:style w:type="character" w:customStyle="1" w:styleId="1791">
    <w:name w:val="jun"/>
    <w:semiHidden/>
    <w:qFormat/>
    <w:uiPriority w:val="0"/>
  </w:style>
  <w:style w:type="paragraph" w:customStyle="1" w:styleId="1792">
    <w:name w:val="章标题"/>
    <w:next w:val="1"/>
    <w:semiHidden/>
    <w:qFormat/>
    <w:uiPriority w:val="0"/>
    <w:pPr>
      <w:tabs>
        <w:tab w:val="left" w:pos="0"/>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793">
    <w:name w:val="正文文本缩进 31"/>
    <w:basedOn w:val="1"/>
    <w:semiHidden/>
    <w:qFormat/>
    <w:uiPriority w:val="0"/>
    <w:pPr>
      <w:adjustRightInd w:val="0"/>
      <w:spacing w:line="480" w:lineRule="exact"/>
      <w:ind w:firstLine="525"/>
      <w:textAlignment w:val="baseline"/>
    </w:pPr>
    <w:rPr>
      <w:rFonts w:ascii="宋体" w:hAnsi="宋体" w:cs="宋体"/>
      <w:color w:val="000000"/>
      <w:kern w:val="0"/>
      <w:sz w:val="28"/>
      <w:szCs w:val="20"/>
    </w:rPr>
  </w:style>
  <w:style w:type="paragraph" w:customStyle="1" w:styleId="1794">
    <w:name w:val="一级无标题条"/>
    <w:basedOn w:val="1"/>
    <w:semiHidden/>
    <w:qFormat/>
    <w:uiPriority w:val="0"/>
    <w:pPr>
      <w:ind w:left="-488"/>
    </w:pPr>
    <w:rPr>
      <w:rFonts w:ascii="宋体" w:hAnsi="宋体" w:cs="宋体"/>
      <w:color w:val="000000"/>
      <w:kern w:val="0"/>
      <w:sz w:val="24"/>
    </w:rPr>
  </w:style>
  <w:style w:type="paragraph" w:customStyle="1" w:styleId="1795">
    <w:name w:val="正文表标题"/>
    <w:next w:val="1"/>
    <w:semiHidden/>
    <w:qFormat/>
    <w:uiPriority w:val="0"/>
    <w:pPr>
      <w:tabs>
        <w:tab w:val="left" w:pos="180"/>
      </w:tabs>
      <w:ind w:left="180" w:hanging="180"/>
      <w:jc w:val="center"/>
    </w:pPr>
    <w:rPr>
      <w:rFonts w:ascii="黑体" w:hAnsi="Times New Roman" w:eastAsia="黑体" w:cs="Times New Roman"/>
      <w:sz w:val="21"/>
      <w:lang w:val="en-US" w:eastAsia="zh-CN" w:bidi="ar-SA"/>
    </w:rPr>
  </w:style>
  <w:style w:type="paragraph" w:customStyle="1" w:styleId="1796">
    <w:name w:val="正文图标题"/>
    <w:next w:val="1"/>
    <w:semiHidden/>
    <w:qFormat/>
    <w:uiPriority w:val="0"/>
    <w:pPr>
      <w:tabs>
        <w:tab w:val="left" w:pos="270"/>
      </w:tabs>
      <w:ind w:left="270" w:hanging="270"/>
      <w:jc w:val="center"/>
    </w:pPr>
    <w:rPr>
      <w:rFonts w:ascii="黑体" w:hAnsi="Times New Roman" w:eastAsia="黑体" w:cs="Times New Roman"/>
      <w:sz w:val="21"/>
      <w:lang w:val="en-US" w:eastAsia="zh-CN" w:bidi="ar-SA"/>
    </w:rPr>
  </w:style>
  <w:style w:type="paragraph" w:customStyle="1" w:styleId="1797">
    <w:name w:val="注："/>
    <w:next w:val="1"/>
    <w:semiHidden/>
    <w:qFormat/>
    <w:uiPriority w:val="0"/>
    <w:pPr>
      <w:widowControl w:val="0"/>
      <w:autoSpaceDE w:val="0"/>
      <w:autoSpaceDN w:val="0"/>
      <w:ind w:left="1134" w:hanging="567"/>
      <w:jc w:val="both"/>
    </w:pPr>
    <w:rPr>
      <w:rFonts w:ascii="宋体" w:hAnsi="Times New Roman" w:eastAsia="宋体" w:cs="Times New Roman"/>
      <w:sz w:val="18"/>
      <w:lang w:val="en-US" w:eastAsia="zh-CN" w:bidi="ar-SA"/>
    </w:rPr>
  </w:style>
  <w:style w:type="paragraph" w:customStyle="1" w:styleId="1798">
    <w:name w:val="样式 标题 2"/>
    <w:basedOn w:val="6"/>
    <w:semiHidden/>
    <w:qFormat/>
    <w:uiPriority w:val="0"/>
    <w:pPr>
      <w:numPr>
        <w:ilvl w:val="0"/>
        <w:numId w:val="0"/>
      </w:numPr>
      <w:tabs>
        <w:tab w:val="left" w:pos="360"/>
      </w:tabs>
      <w:adjustRightInd/>
      <w:snapToGrid/>
      <w:ind w:left="360" w:hanging="360" w:hangingChars="200"/>
    </w:pPr>
    <w:rPr>
      <w:rFonts w:ascii="仿宋_GB2312" w:hAnsi="仿宋_GB2312" w:eastAsia="仿宋_GB2312" w:cs="宋体"/>
      <w:bCs w:val="0"/>
      <w:color w:val="000000"/>
      <w:kern w:val="21"/>
      <w:sz w:val="28"/>
      <w:szCs w:val="20"/>
    </w:rPr>
  </w:style>
  <w:style w:type="paragraph" w:customStyle="1" w:styleId="1799">
    <w:name w:val="样式 标题 2节 + (符号) Arial Black 小四"/>
    <w:basedOn w:val="6"/>
    <w:semiHidden/>
    <w:qFormat/>
    <w:uiPriority w:val="0"/>
    <w:pPr>
      <w:numPr>
        <w:ilvl w:val="0"/>
        <w:numId w:val="13"/>
      </w:numPr>
      <w:adjustRightInd/>
      <w:snapToGrid/>
    </w:pPr>
    <w:rPr>
      <w:rFonts w:ascii="宋体" w:hAnsi="Arial Black" w:eastAsia="仿宋_GB2312" w:cs="宋体"/>
      <w:bCs w:val="0"/>
      <w:color w:val="000000"/>
      <w:kern w:val="21"/>
      <w:sz w:val="28"/>
      <w:szCs w:val="20"/>
    </w:rPr>
  </w:style>
  <w:style w:type="paragraph" w:customStyle="1" w:styleId="1800">
    <w:name w:val="条1"/>
    <w:basedOn w:val="1"/>
    <w:next w:val="953"/>
    <w:semiHidden/>
    <w:qFormat/>
    <w:uiPriority w:val="0"/>
    <w:pPr>
      <w:outlineLvl w:val="1"/>
    </w:pPr>
    <w:rPr>
      <w:rFonts w:ascii="黑体" w:hAnsi="宋体" w:eastAsia="黑体" w:cs="宋体"/>
      <w:color w:val="000000"/>
      <w:kern w:val="21"/>
      <w:sz w:val="24"/>
      <w:szCs w:val="20"/>
    </w:rPr>
  </w:style>
  <w:style w:type="paragraph" w:customStyle="1" w:styleId="1801">
    <w:name w:val="小五表文"/>
    <w:qFormat/>
    <w:uiPriority w:val="0"/>
    <w:pPr>
      <w:widowControl w:val="0"/>
      <w:jc w:val="center"/>
    </w:pPr>
    <w:rPr>
      <w:rFonts w:ascii="宋体" w:hAnsi="宋体" w:eastAsia="宋体" w:cs="Times New Roman"/>
      <w:color w:val="0000FF"/>
      <w:kern w:val="2"/>
      <w:sz w:val="21"/>
      <w:szCs w:val="24"/>
      <w:lang w:val="en-US" w:eastAsia="zh-CN" w:bidi="ar-SA"/>
    </w:rPr>
  </w:style>
  <w:style w:type="paragraph" w:customStyle="1" w:styleId="1802">
    <w:name w:val="Default Text"/>
    <w:basedOn w:val="1"/>
    <w:qFormat/>
    <w:uiPriority w:val="0"/>
    <w:pPr>
      <w:widowControl/>
      <w:overflowPunct w:val="0"/>
      <w:autoSpaceDE w:val="0"/>
      <w:autoSpaceDN w:val="0"/>
      <w:adjustRightInd w:val="0"/>
      <w:jc w:val="left"/>
      <w:textAlignment w:val="baseline"/>
    </w:pPr>
    <w:rPr>
      <w:rFonts w:ascii="MingLiU" w:hAnsi="宋体" w:eastAsia="MingLiU" w:cs="宋体"/>
      <w:color w:val="000000"/>
      <w:kern w:val="0"/>
      <w:sz w:val="24"/>
      <w:szCs w:val="20"/>
      <w:lang w:eastAsia="zh-TW"/>
    </w:rPr>
  </w:style>
  <w:style w:type="paragraph" w:customStyle="1" w:styleId="1803">
    <w:name w:val="sss"/>
    <w:basedOn w:val="1"/>
    <w:qFormat/>
    <w:uiPriority w:val="0"/>
    <w:pPr>
      <w:numPr>
        <w:ilvl w:val="0"/>
        <w:numId w:val="14"/>
      </w:numPr>
      <w:tabs>
        <w:tab w:val="left" w:pos="480"/>
      </w:tabs>
      <w:autoSpaceDE w:val="0"/>
      <w:autoSpaceDN w:val="0"/>
      <w:adjustRightInd w:val="0"/>
    </w:pPr>
    <w:rPr>
      <w:rFonts w:ascii="Bookman Old Style" w:hAnsi="Bookman Old Style" w:cs="Arial"/>
      <w:bCs/>
      <w:color w:val="000000"/>
      <w:kern w:val="0"/>
      <w:sz w:val="22"/>
      <w:szCs w:val="20"/>
    </w:rPr>
  </w:style>
  <w:style w:type="character" w:customStyle="1" w:styleId="1804">
    <w:name w:val="第一条1"/>
    <w:semiHidden/>
    <w:qFormat/>
    <w:uiPriority w:val="0"/>
    <w:rPr>
      <w:rFonts w:hint="eastAsia" w:ascii="黑体" w:eastAsia="黑体"/>
      <w:sz w:val="24"/>
      <w:szCs w:val="24"/>
    </w:rPr>
  </w:style>
  <w:style w:type="paragraph" w:customStyle="1" w:styleId="1805">
    <w:name w:val="Char3 Char Char"/>
    <w:basedOn w:val="1"/>
    <w:semiHidden/>
    <w:qFormat/>
    <w:uiPriority w:val="0"/>
    <w:rPr>
      <w:rFonts w:ascii="宋体" w:hAnsi="宋体" w:cs="宋体"/>
      <w:color w:val="000000"/>
      <w:kern w:val="0"/>
      <w:sz w:val="24"/>
    </w:rPr>
  </w:style>
  <w:style w:type="character" w:customStyle="1" w:styleId="1806">
    <w:name w:val="ft-hanggao"/>
    <w:semiHidden/>
    <w:qFormat/>
    <w:uiPriority w:val="0"/>
  </w:style>
  <w:style w:type="character" w:customStyle="1" w:styleId="1807">
    <w:name w:val="正文（首行缩进两字） Char Char1 Char Char Char Cha"/>
    <w:semiHidden/>
    <w:qFormat/>
    <w:uiPriority w:val="0"/>
    <w:rPr>
      <w:rFonts w:ascii="仿宋_GB2312" w:eastAsia="仿宋_GB2312"/>
      <w:color w:val="000000"/>
      <w:kern w:val="2"/>
      <w:sz w:val="28"/>
      <w:szCs w:val="24"/>
      <w:lang w:val="en-US" w:eastAsia="zh-CN" w:bidi="ar-SA"/>
    </w:rPr>
  </w:style>
  <w:style w:type="paragraph" w:customStyle="1" w:styleId="1808">
    <w:name w:val="三级无标题条"/>
    <w:basedOn w:val="1"/>
    <w:semiHidden/>
    <w:qFormat/>
    <w:uiPriority w:val="0"/>
  </w:style>
  <w:style w:type="paragraph" w:customStyle="1" w:styleId="1809">
    <w:name w:val="四级无标题条"/>
    <w:basedOn w:val="1"/>
    <w:semiHidden/>
    <w:qFormat/>
    <w:uiPriority w:val="0"/>
  </w:style>
  <w:style w:type="character" w:customStyle="1" w:styleId="1810">
    <w:name w:val="正文（首行缩进两字） Char Char1 Char"/>
    <w:semiHidden/>
    <w:qFormat/>
    <w:uiPriority w:val="0"/>
    <w:rPr>
      <w:rFonts w:ascii="仿宋_GB2312" w:eastAsia="仿宋_GB2312"/>
      <w:color w:val="000000"/>
      <w:kern w:val="2"/>
      <w:sz w:val="28"/>
      <w:szCs w:val="24"/>
      <w:lang w:val="en-US" w:eastAsia="zh-CN" w:bidi="ar-SA"/>
    </w:rPr>
  </w:style>
  <w:style w:type="character" w:customStyle="1" w:styleId="1811">
    <w:name w:val="lh151"/>
    <w:semiHidden/>
    <w:qFormat/>
    <w:uiPriority w:val="0"/>
  </w:style>
  <w:style w:type="character" w:customStyle="1" w:styleId="1812">
    <w:name w:val="a51"/>
    <w:qFormat/>
    <w:uiPriority w:val="0"/>
    <w:rPr>
      <w:color w:val="000000"/>
      <w:sz w:val="18"/>
      <w:szCs w:val="18"/>
      <w:u w:val="none"/>
    </w:rPr>
  </w:style>
  <w:style w:type="character" w:customStyle="1" w:styleId="1813">
    <w:name w:val="正文（首行缩进两字） Char Char Char Char Char Char Char Char Char Char Char Char Char Char Char Char Char Char Char Char Char Char Char Char C"/>
    <w:semiHidden/>
    <w:qFormat/>
    <w:uiPriority w:val="0"/>
    <w:rPr>
      <w:rFonts w:ascii="仿宋_GB2312" w:hAnsi="Arial Black" w:eastAsia="仿宋_GB2312"/>
      <w:kern w:val="2"/>
      <w:sz w:val="28"/>
      <w:lang w:val="en-US" w:eastAsia="zh-CN" w:bidi="ar-SA"/>
    </w:rPr>
  </w:style>
  <w:style w:type="character" w:customStyle="1" w:styleId="1814">
    <w:name w:val="s4 Cha"/>
    <w:semiHidden/>
    <w:qFormat/>
    <w:uiPriority w:val="0"/>
    <w:rPr>
      <w:rFonts w:ascii="仿宋_GB2312" w:eastAsia="仿宋_GB2312"/>
      <w:kern w:val="2"/>
      <w:sz w:val="28"/>
      <w:szCs w:val="24"/>
      <w:lang w:val="en-US" w:eastAsia="zh-CN" w:bidi="ar-SA"/>
    </w:rPr>
  </w:style>
  <w:style w:type="character" w:customStyle="1" w:styleId="1815">
    <w:name w:val="正文（首行缩进两字）4"/>
    <w:semiHidden/>
    <w:qFormat/>
    <w:uiPriority w:val="0"/>
    <w:rPr>
      <w:rFonts w:ascii="仿宋_GB2312" w:eastAsia="仿宋_GB2312"/>
      <w:kern w:val="2"/>
      <w:sz w:val="28"/>
      <w:szCs w:val="24"/>
      <w:lang w:val="en-US" w:eastAsia="zh-CN" w:bidi="ar-SA"/>
    </w:rPr>
  </w:style>
  <w:style w:type="paragraph" w:customStyle="1" w:styleId="1816">
    <w:name w:val="默认段落字体 Para Char Char Char Char Char Char Char Char Char Char Char Char"/>
    <w:basedOn w:val="1"/>
    <w:qFormat/>
    <w:uiPriority w:val="0"/>
    <w:rPr>
      <w:sz w:val="24"/>
    </w:rPr>
  </w:style>
  <w:style w:type="character" w:customStyle="1" w:styleId="1817">
    <w:name w:val="正文（首行缩进两字） Char Char Char Char Char Char Char C"/>
    <w:semiHidden/>
    <w:qFormat/>
    <w:uiPriority w:val="0"/>
    <w:rPr>
      <w:rFonts w:ascii="仿宋_GB2312" w:eastAsia="仿宋_GB2312"/>
      <w:kern w:val="2"/>
      <w:sz w:val="28"/>
      <w:szCs w:val="24"/>
      <w:lang w:val="en-US" w:eastAsia="zh-CN" w:bidi="ar-SA"/>
    </w:rPr>
  </w:style>
  <w:style w:type="paragraph" w:customStyle="1" w:styleId="1818">
    <w:name w:val="样式 正文新 Char + 首行缩进:  2 字符"/>
    <w:basedOn w:val="1"/>
    <w:semiHidden/>
    <w:qFormat/>
    <w:uiPriority w:val="0"/>
    <w:pPr>
      <w:spacing w:line="360" w:lineRule="auto"/>
      <w:ind w:firstLine="480" w:firstLineChars="200"/>
    </w:pPr>
    <w:rPr>
      <w:sz w:val="24"/>
      <w:szCs w:val="20"/>
    </w:rPr>
  </w:style>
  <w:style w:type="character" w:customStyle="1" w:styleId="1819">
    <w:name w:val="ss1"/>
    <w:semiHidden/>
    <w:qFormat/>
    <w:uiPriority w:val="0"/>
    <w:rPr>
      <w:sz w:val="18"/>
      <w:szCs w:val="18"/>
      <w:u w:val="none"/>
    </w:rPr>
  </w:style>
  <w:style w:type="paragraph" w:customStyle="1" w:styleId="1820">
    <w:name w:val="标题12"/>
    <w:basedOn w:val="4"/>
    <w:semiHidden/>
    <w:qFormat/>
    <w:uiPriority w:val="0"/>
    <w:pPr>
      <w:numPr>
        <w:numId w:val="0"/>
      </w:numPr>
      <w:adjustRightInd/>
      <w:snapToGrid/>
      <w:spacing w:beforeLines="0" w:afterLines="0" w:line="500" w:lineRule="exact"/>
      <w:jc w:val="both"/>
    </w:pPr>
    <w:rPr>
      <w:rFonts w:ascii="仿宋_GB2312" w:eastAsia="仿宋_GB2312"/>
      <w:b/>
      <w:sz w:val="28"/>
    </w:rPr>
  </w:style>
  <w:style w:type="character" w:customStyle="1" w:styleId="1821">
    <w:name w:val="unicode1"/>
    <w:semiHidden/>
    <w:qFormat/>
    <w:uiPriority w:val="0"/>
    <w:rPr>
      <w:rFonts w:hint="default" w:ascii="Arial Unicode MS" w:hAnsi="Arial Unicode MS"/>
    </w:rPr>
  </w:style>
  <w:style w:type="paragraph" w:customStyle="1" w:styleId="1822">
    <w:name w:val="Char111"/>
    <w:basedOn w:val="1"/>
    <w:qFormat/>
    <w:uiPriority w:val="0"/>
    <w:pPr>
      <w:widowControl/>
      <w:jc w:val="left"/>
    </w:pPr>
    <w:rPr>
      <w:rFonts w:ascii="宋体" w:hAnsi="宋体" w:cs="宋体"/>
      <w:kern w:val="0"/>
      <w:sz w:val="24"/>
    </w:rPr>
  </w:style>
  <w:style w:type="character" w:customStyle="1" w:styleId="1823">
    <w:name w:val="SA0正文文本 Char Char"/>
    <w:link w:val="1824"/>
    <w:semiHidden/>
    <w:qFormat/>
    <w:uiPriority w:val="0"/>
    <w:rPr>
      <w:sz w:val="24"/>
      <w:szCs w:val="24"/>
    </w:rPr>
  </w:style>
  <w:style w:type="paragraph" w:customStyle="1" w:styleId="1824">
    <w:name w:val="SA0正文文本"/>
    <w:link w:val="1823"/>
    <w:semiHidden/>
    <w:qFormat/>
    <w:uiPriority w:val="0"/>
    <w:pPr>
      <w:spacing w:line="360" w:lineRule="auto"/>
      <w:ind w:firstLine="200" w:firstLineChars="200"/>
      <w:jc w:val="both"/>
    </w:pPr>
    <w:rPr>
      <w:rFonts w:ascii="Calibri" w:hAnsi="Calibri" w:eastAsia="宋体" w:cs="Times New Roman"/>
      <w:kern w:val="2"/>
      <w:sz w:val="24"/>
      <w:szCs w:val="24"/>
      <w:lang w:val="en-US" w:eastAsia="zh-CN" w:bidi="ar-SA"/>
    </w:rPr>
  </w:style>
  <w:style w:type="character" w:customStyle="1" w:styleId="1825">
    <w:name w:val="报告表格 Char"/>
    <w:link w:val="760"/>
    <w:qFormat/>
    <w:uiPriority w:val="0"/>
    <w:rPr>
      <w:rFonts w:ascii="Times New Roman" w:hAnsi="Times New Roman" w:eastAsia="宋体" w:cs="Times New Roman"/>
      <w:kern w:val="0"/>
      <w:szCs w:val="21"/>
    </w:rPr>
  </w:style>
  <w:style w:type="table" w:customStyle="1" w:styleId="1826">
    <w:name w:val="网格型2"/>
    <w:basedOn w:val="88"/>
    <w:qFormat/>
    <w:uiPriority w:val="99"/>
    <w:pPr>
      <w:widowControl w:val="0"/>
      <w:spacing w:before="240" w:after="6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27">
    <w:name w:val="标题000 Char Char Char Char Char Char"/>
    <w:basedOn w:val="1"/>
    <w:qFormat/>
    <w:uiPriority w:val="0"/>
    <w:pPr>
      <w:snapToGrid w:val="0"/>
      <w:spacing w:line="360" w:lineRule="auto"/>
    </w:pPr>
  </w:style>
  <w:style w:type="character" w:customStyle="1" w:styleId="1828">
    <w:name w:val="HTML 预设格式 Char1"/>
    <w:semiHidden/>
    <w:qFormat/>
    <w:uiPriority w:val="0"/>
    <w:rPr>
      <w:rFonts w:ascii="Courier New" w:hAnsi="Courier New" w:cs="Courier New"/>
      <w:kern w:val="24"/>
    </w:rPr>
  </w:style>
  <w:style w:type="paragraph" w:customStyle="1" w:styleId="1829">
    <w:name w:val="自设正文文本"/>
    <w:basedOn w:val="1"/>
    <w:semiHidden/>
    <w:qFormat/>
    <w:uiPriority w:val="99"/>
    <w:pPr>
      <w:spacing w:line="360" w:lineRule="auto"/>
      <w:ind w:firstLine="200" w:firstLineChars="200"/>
    </w:pPr>
    <w:rPr>
      <w:rFonts w:hAnsi="宋体"/>
      <w:color w:val="000000"/>
      <w:kern w:val="24"/>
      <w:sz w:val="24"/>
    </w:rPr>
  </w:style>
  <w:style w:type="paragraph" w:customStyle="1" w:styleId="1830">
    <w:name w:val="样式 样式4 + (西文) Times New Roman 小四 黑色 段前: 0.5 行"/>
    <w:basedOn w:val="1"/>
    <w:semiHidden/>
    <w:qFormat/>
    <w:uiPriority w:val="99"/>
    <w:pPr>
      <w:keepLines/>
      <w:adjustRightInd w:val="0"/>
      <w:snapToGrid w:val="0"/>
      <w:spacing w:before="120" w:after="120" w:line="360" w:lineRule="auto"/>
      <w:outlineLvl w:val="2"/>
    </w:pPr>
    <w:rPr>
      <w:rFonts w:eastAsia="黑体" w:cs="宋体"/>
      <w:color w:val="000000"/>
      <w:kern w:val="0"/>
      <w:sz w:val="30"/>
      <w:lang w:val="zh-CN"/>
    </w:rPr>
  </w:style>
  <w:style w:type="paragraph" w:customStyle="1" w:styleId="1831">
    <w:name w:val="样式 标题 2节H2（一）Underrubrik1prop2Heading 2 HiddenHeading 2 C..."/>
    <w:basedOn w:val="5"/>
    <w:semiHidden/>
    <w:qFormat/>
    <w:uiPriority w:val="99"/>
    <w:pPr>
      <w:numPr>
        <w:ilvl w:val="0"/>
        <w:numId w:val="0"/>
      </w:numPr>
      <w:tabs>
        <w:tab w:val="left" w:pos="606"/>
      </w:tabs>
      <w:spacing w:beforeLines="0" w:afterLines="0" w:line="360" w:lineRule="auto"/>
      <w:ind w:left="606" w:hanging="576"/>
      <w:jc w:val="both"/>
    </w:pPr>
    <w:rPr>
      <w:rFonts w:hAnsi="宋体" w:cs="宋体"/>
      <w:b/>
      <w:color w:val="000000"/>
      <w:kern w:val="24"/>
      <w:szCs w:val="20"/>
    </w:rPr>
  </w:style>
  <w:style w:type="paragraph" w:customStyle="1" w:styleId="1832">
    <w:name w:val="纯文本11"/>
    <w:basedOn w:val="1"/>
    <w:semiHidden/>
    <w:qFormat/>
    <w:uiPriority w:val="99"/>
    <w:pPr>
      <w:adjustRightInd w:val="0"/>
    </w:pPr>
    <w:rPr>
      <w:rFonts w:ascii="宋体" w:hAnsi="Courier New"/>
      <w:kern w:val="24"/>
      <w:sz w:val="24"/>
      <w:szCs w:val="20"/>
    </w:rPr>
  </w:style>
  <w:style w:type="paragraph" w:customStyle="1" w:styleId="1833">
    <w:name w:val="标题41"/>
    <w:basedOn w:val="1"/>
    <w:next w:val="35"/>
    <w:qFormat/>
    <w:uiPriority w:val="0"/>
    <w:pPr>
      <w:widowControl/>
      <w:tabs>
        <w:tab w:val="left" w:pos="780"/>
        <w:tab w:val="left" w:pos="851"/>
      </w:tabs>
      <w:spacing w:line="360" w:lineRule="auto"/>
      <w:ind w:left="780" w:hanging="360"/>
      <w:outlineLvl w:val="3"/>
    </w:pPr>
    <w:rPr>
      <w:rFonts w:eastAsia="创艺简魏碑"/>
      <w:kern w:val="24"/>
      <w:sz w:val="28"/>
      <w:szCs w:val="20"/>
    </w:rPr>
  </w:style>
  <w:style w:type="paragraph" w:customStyle="1" w:styleId="1834">
    <w:name w:val="正文文本缩进 211"/>
    <w:basedOn w:val="1"/>
    <w:semiHidden/>
    <w:qFormat/>
    <w:uiPriority w:val="99"/>
    <w:pPr>
      <w:adjustRightInd w:val="0"/>
      <w:spacing w:line="360" w:lineRule="auto"/>
      <w:ind w:firstLine="580"/>
    </w:pPr>
    <w:rPr>
      <w:rFonts w:ascii="Garamond" w:hAnsi="Garamond"/>
      <w:kern w:val="0"/>
      <w:sz w:val="28"/>
      <w:szCs w:val="20"/>
    </w:rPr>
  </w:style>
  <w:style w:type="paragraph" w:customStyle="1" w:styleId="1835">
    <w:name w:val="普通(网站)11"/>
    <w:basedOn w:val="1"/>
    <w:semiHidden/>
    <w:qFormat/>
    <w:uiPriority w:val="99"/>
    <w:pPr>
      <w:adjustRightInd w:val="0"/>
    </w:pPr>
    <w:rPr>
      <w:kern w:val="24"/>
      <w:sz w:val="24"/>
      <w:szCs w:val="20"/>
    </w:rPr>
  </w:style>
  <w:style w:type="paragraph" w:customStyle="1" w:styleId="1836">
    <w:name w:val="宏文本11"/>
    <w:semiHidden/>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宋体" w:cs="Times New Roman"/>
      <w:kern w:val="24"/>
      <w:sz w:val="24"/>
      <w:lang w:val="en-US" w:eastAsia="zh-CN" w:bidi="ar-SA"/>
    </w:rPr>
  </w:style>
  <w:style w:type="paragraph" w:customStyle="1" w:styleId="1837">
    <w:name w:val="标题 32"/>
    <w:basedOn w:val="1"/>
    <w:next w:val="1"/>
    <w:semiHidden/>
    <w:qFormat/>
    <w:uiPriority w:val="99"/>
    <w:pPr>
      <w:keepNext/>
      <w:keepLines/>
      <w:adjustRightInd w:val="0"/>
      <w:spacing w:before="120" w:after="120" w:line="500" w:lineRule="exact"/>
    </w:pPr>
    <w:rPr>
      <w:rFonts w:ascii="宋体" w:hAnsi="宋体" w:eastAsia="黑体"/>
      <w:kern w:val="24"/>
      <w:sz w:val="30"/>
      <w:szCs w:val="20"/>
    </w:rPr>
  </w:style>
  <w:style w:type="paragraph" w:customStyle="1" w:styleId="1838">
    <w:name w:val="样式 纯文本纯文本 Char Char Char纯文本 Char Char纯文本 Char Char Char Char ..."/>
    <w:basedOn w:val="45"/>
    <w:qFormat/>
    <w:uiPriority w:val="0"/>
    <w:pPr>
      <w:spacing w:line="360" w:lineRule="auto"/>
      <w:ind w:firstLine="200" w:firstLineChars="200"/>
    </w:pPr>
    <w:rPr>
      <w:rFonts w:hint="eastAsia" w:hAnsi="宋体" w:cs="宋体"/>
      <w:kern w:val="24"/>
      <w:sz w:val="24"/>
      <w:szCs w:val="20"/>
    </w:rPr>
  </w:style>
  <w:style w:type="paragraph" w:customStyle="1" w:styleId="1839">
    <w:name w:val="Plain Text3"/>
    <w:basedOn w:val="1"/>
    <w:semiHidden/>
    <w:qFormat/>
    <w:uiPriority w:val="99"/>
    <w:pPr>
      <w:autoSpaceDE w:val="0"/>
      <w:autoSpaceDN w:val="0"/>
      <w:adjustRightInd w:val="0"/>
      <w:snapToGrid w:val="0"/>
      <w:spacing w:line="500" w:lineRule="exact"/>
    </w:pPr>
    <w:rPr>
      <w:rFonts w:ascii="宋体" w:hAnsi="宋体"/>
      <w:kern w:val="0"/>
      <w:sz w:val="24"/>
    </w:rPr>
  </w:style>
  <w:style w:type="paragraph" w:customStyle="1" w:styleId="1840">
    <w:name w:val="样式 标题 2节标题 1.1节H2（一）Underrubrik1prop2Heading 2 HiddenHea...1"/>
    <w:basedOn w:val="5"/>
    <w:semiHidden/>
    <w:qFormat/>
    <w:uiPriority w:val="99"/>
    <w:pPr>
      <w:numPr>
        <w:ilvl w:val="0"/>
        <w:numId w:val="0"/>
      </w:numPr>
      <w:adjustRightInd/>
      <w:snapToGrid/>
      <w:spacing w:beforeLines="0" w:afterLines="0" w:line="412" w:lineRule="auto"/>
      <w:ind w:hanging="360"/>
      <w:jc w:val="both"/>
    </w:pPr>
    <w:rPr>
      <w:rFonts w:ascii="黑体" w:hAnsi="黑体"/>
      <w:b/>
      <w:kern w:val="24"/>
      <w:sz w:val="36"/>
    </w:rPr>
  </w:style>
  <w:style w:type="paragraph" w:customStyle="1" w:styleId="1841">
    <w:name w:val="XYF1"/>
    <w:basedOn w:val="1"/>
    <w:qFormat/>
    <w:uiPriority w:val="0"/>
    <w:pPr>
      <w:tabs>
        <w:tab w:val="left" w:pos="1080"/>
      </w:tabs>
      <w:spacing w:line="440" w:lineRule="exact"/>
      <w:ind w:firstLine="195" w:firstLineChars="195"/>
    </w:pPr>
    <w:rPr>
      <w:kern w:val="24"/>
      <w:sz w:val="24"/>
    </w:rPr>
  </w:style>
  <w:style w:type="paragraph" w:customStyle="1" w:styleId="1842">
    <w:name w:val="样式 标题 3 + 四号"/>
    <w:basedOn w:val="6"/>
    <w:semiHidden/>
    <w:qFormat/>
    <w:uiPriority w:val="99"/>
    <w:pPr>
      <w:keepNext w:val="0"/>
      <w:keepLines w:val="0"/>
      <w:numPr>
        <w:ilvl w:val="0"/>
        <w:numId w:val="0"/>
      </w:numPr>
      <w:adjustRightInd/>
      <w:snapToGrid/>
      <w:spacing w:line="360" w:lineRule="exact"/>
      <w:jc w:val="left"/>
      <w:outlineLvl w:val="9"/>
    </w:pPr>
    <w:rPr>
      <w:rFonts w:eastAsia="宋体"/>
      <w:b/>
      <w:bCs w:val="0"/>
      <w:color w:val="000000"/>
      <w:kern w:val="24"/>
      <w:sz w:val="21"/>
      <w:szCs w:val="24"/>
    </w:rPr>
  </w:style>
  <w:style w:type="paragraph" w:customStyle="1" w:styleId="1843">
    <w:name w:val="样式 标题 2 + 四号"/>
    <w:basedOn w:val="5"/>
    <w:semiHidden/>
    <w:qFormat/>
    <w:uiPriority w:val="99"/>
    <w:pPr>
      <w:numPr>
        <w:ilvl w:val="0"/>
        <w:numId w:val="0"/>
      </w:numPr>
      <w:tabs>
        <w:tab w:val="left" w:pos="576"/>
      </w:tabs>
      <w:adjustRightInd/>
      <w:snapToGrid/>
      <w:spacing w:beforeLines="0" w:afterLines="0" w:line="412" w:lineRule="auto"/>
      <w:ind w:left="576" w:hanging="576"/>
      <w:jc w:val="both"/>
    </w:pPr>
    <w:rPr>
      <w:rFonts w:ascii="黑体" w:hAnsi="黑体"/>
      <w:b/>
      <w:kern w:val="24"/>
      <w:sz w:val="28"/>
      <w:szCs w:val="28"/>
    </w:rPr>
  </w:style>
  <w:style w:type="paragraph" w:customStyle="1" w:styleId="1844">
    <w:name w:val="样式 标题 3 + 小四 行距: 1.5 倍行距"/>
    <w:basedOn w:val="6"/>
    <w:semiHidden/>
    <w:qFormat/>
    <w:uiPriority w:val="99"/>
    <w:pPr>
      <w:numPr>
        <w:ilvl w:val="0"/>
        <w:numId w:val="0"/>
      </w:numPr>
      <w:tabs>
        <w:tab w:val="left" w:pos="720"/>
      </w:tabs>
      <w:adjustRightInd/>
      <w:snapToGrid/>
      <w:spacing w:before="240" w:after="260"/>
      <w:ind w:left="720" w:hanging="720"/>
      <w:jc w:val="left"/>
    </w:pPr>
    <w:rPr>
      <w:rFonts w:eastAsia="宋体" w:cs="宋体"/>
      <w:b/>
      <w:bCs w:val="0"/>
      <w:kern w:val="24"/>
      <w:sz w:val="28"/>
      <w:szCs w:val="20"/>
    </w:rPr>
  </w:style>
  <w:style w:type="paragraph" w:customStyle="1" w:styleId="1845">
    <w:name w:val="Char2 Char Char Char Char Char Char Char Char Char Char Char Char"/>
    <w:basedOn w:val="1"/>
    <w:next w:val="1"/>
    <w:semiHidden/>
    <w:qFormat/>
    <w:uiPriority w:val="99"/>
    <w:pPr>
      <w:spacing w:line="360" w:lineRule="auto"/>
      <w:ind w:firstLine="200" w:firstLineChars="200"/>
    </w:pPr>
    <w:rPr>
      <w:rFonts w:ascii="宋体" w:hAnsi="宋体" w:cs="宋体"/>
      <w:kern w:val="24"/>
      <w:sz w:val="24"/>
    </w:rPr>
  </w:style>
  <w:style w:type="paragraph" w:customStyle="1" w:styleId="1846">
    <w:name w:val="样式 标题 3条标题1.1.1h3H3level_3PIM 3Level 3 HeadHeading 3 - ol...1"/>
    <w:basedOn w:val="6"/>
    <w:semiHidden/>
    <w:qFormat/>
    <w:uiPriority w:val="99"/>
    <w:pPr>
      <w:numPr>
        <w:ilvl w:val="0"/>
        <w:numId w:val="0"/>
      </w:numPr>
      <w:tabs>
        <w:tab w:val="left" w:pos="0"/>
      </w:tabs>
      <w:adjustRightInd/>
      <w:snapToGrid/>
      <w:jc w:val="left"/>
    </w:pPr>
    <w:rPr>
      <w:rFonts w:cs="宋体"/>
      <w:b/>
      <w:bCs w:val="0"/>
      <w:kern w:val="24"/>
      <w:sz w:val="28"/>
      <w:szCs w:val="20"/>
    </w:rPr>
  </w:style>
  <w:style w:type="paragraph" w:customStyle="1" w:styleId="1847">
    <w:name w:val="Char Char Char Char Char Char Char Char Char Char1"/>
    <w:basedOn w:val="1"/>
    <w:semiHidden/>
    <w:qFormat/>
    <w:uiPriority w:val="99"/>
    <w:rPr>
      <w:kern w:val="24"/>
      <w:sz w:val="24"/>
    </w:rPr>
  </w:style>
  <w:style w:type="paragraph" w:customStyle="1" w:styleId="1848">
    <w:name w:val="日期11"/>
    <w:basedOn w:val="1"/>
    <w:next w:val="1"/>
    <w:semiHidden/>
    <w:qFormat/>
    <w:uiPriority w:val="99"/>
    <w:pPr>
      <w:adjustRightInd w:val="0"/>
      <w:snapToGrid w:val="0"/>
      <w:spacing w:before="120" w:after="120" w:line="360" w:lineRule="auto"/>
      <w:ind w:firstLine="200" w:firstLineChars="200"/>
    </w:pPr>
    <w:rPr>
      <w:kern w:val="24"/>
      <w:sz w:val="24"/>
      <w:szCs w:val="20"/>
    </w:rPr>
  </w:style>
  <w:style w:type="paragraph" w:customStyle="1" w:styleId="1849">
    <w:name w:val="Char12"/>
    <w:basedOn w:val="1"/>
    <w:qFormat/>
    <w:uiPriority w:val="0"/>
    <w:pPr>
      <w:adjustRightInd w:val="0"/>
      <w:snapToGrid w:val="0"/>
      <w:spacing w:before="120" w:after="120" w:line="360" w:lineRule="auto"/>
      <w:ind w:firstLine="200" w:firstLineChars="200"/>
    </w:pPr>
    <w:rPr>
      <w:rFonts w:ascii="仿宋_GB2312" w:eastAsia="仿宋_GB2312"/>
      <w:b/>
      <w:kern w:val="24"/>
      <w:sz w:val="32"/>
      <w:szCs w:val="32"/>
    </w:rPr>
  </w:style>
  <w:style w:type="paragraph" w:customStyle="1" w:styleId="1850">
    <w:name w:val="Char31"/>
    <w:basedOn w:val="1"/>
    <w:qFormat/>
    <w:uiPriority w:val="0"/>
    <w:rPr>
      <w:kern w:val="24"/>
      <w:sz w:val="24"/>
    </w:rPr>
  </w:style>
  <w:style w:type="paragraph" w:customStyle="1" w:styleId="1851">
    <w:name w:val="Char Char Char1 Char Char Char Char8"/>
    <w:basedOn w:val="1"/>
    <w:semiHidden/>
    <w:qFormat/>
    <w:uiPriority w:val="99"/>
    <w:pPr>
      <w:spacing w:line="360" w:lineRule="auto"/>
    </w:pPr>
    <w:rPr>
      <w:kern w:val="24"/>
      <w:sz w:val="24"/>
    </w:rPr>
  </w:style>
  <w:style w:type="paragraph" w:customStyle="1" w:styleId="1852">
    <w:name w:val="Char Char1 Char Char Char Char Char Char Char Char Char Char Char Char Char1"/>
    <w:basedOn w:val="1"/>
    <w:semiHidden/>
    <w:qFormat/>
    <w:uiPriority w:val="99"/>
    <w:pPr>
      <w:spacing w:line="360" w:lineRule="auto"/>
      <w:ind w:firstLine="200" w:firstLineChars="200"/>
    </w:pPr>
    <w:rPr>
      <w:rFonts w:ascii="宋体" w:hAnsi="宋体" w:cs="宋体"/>
      <w:kern w:val="24"/>
      <w:sz w:val="24"/>
    </w:rPr>
  </w:style>
  <w:style w:type="paragraph" w:customStyle="1" w:styleId="1853">
    <w:name w:val="Char1 Char Char Char Char Char Char Char Char Char1"/>
    <w:basedOn w:val="1"/>
    <w:semiHidden/>
    <w:qFormat/>
    <w:uiPriority w:val="99"/>
    <w:rPr>
      <w:kern w:val="24"/>
      <w:sz w:val="24"/>
    </w:rPr>
  </w:style>
  <w:style w:type="paragraph" w:customStyle="1" w:styleId="1854">
    <w:name w:val="Char Char Char Char Char Char Char1"/>
    <w:basedOn w:val="1"/>
    <w:qFormat/>
    <w:uiPriority w:val="0"/>
    <w:rPr>
      <w:kern w:val="24"/>
      <w:sz w:val="24"/>
    </w:rPr>
  </w:style>
  <w:style w:type="paragraph" w:customStyle="1" w:styleId="1855">
    <w:name w:val="Char Char Char Char Char Char Char Char Char1 Char3"/>
    <w:basedOn w:val="1"/>
    <w:semiHidden/>
    <w:qFormat/>
    <w:uiPriority w:val="99"/>
    <w:rPr>
      <w:kern w:val="24"/>
      <w:sz w:val="24"/>
    </w:rPr>
  </w:style>
  <w:style w:type="paragraph" w:customStyle="1" w:styleId="1856">
    <w:name w:val="Char Char Char Char Char Char Char3"/>
    <w:basedOn w:val="1"/>
    <w:qFormat/>
    <w:uiPriority w:val="0"/>
    <w:rPr>
      <w:kern w:val="24"/>
      <w:sz w:val="24"/>
    </w:rPr>
  </w:style>
  <w:style w:type="paragraph" w:customStyle="1" w:styleId="1857">
    <w:name w:val="Char Char Char Char8"/>
    <w:basedOn w:val="1"/>
    <w:semiHidden/>
    <w:qFormat/>
    <w:uiPriority w:val="99"/>
    <w:rPr>
      <w:sz w:val="24"/>
    </w:rPr>
  </w:style>
  <w:style w:type="paragraph" w:customStyle="1" w:styleId="1858">
    <w:name w:val="Char Char Char Char Char Char Char Char Char1 Char2"/>
    <w:basedOn w:val="1"/>
    <w:semiHidden/>
    <w:qFormat/>
    <w:uiPriority w:val="99"/>
    <w:rPr>
      <w:sz w:val="24"/>
    </w:rPr>
  </w:style>
  <w:style w:type="paragraph" w:customStyle="1" w:styleId="1859">
    <w:name w:val="Char Char Char13"/>
    <w:basedOn w:val="1"/>
    <w:semiHidden/>
    <w:qFormat/>
    <w:uiPriority w:val="99"/>
    <w:rPr>
      <w:szCs w:val="21"/>
    </w:rPr>
  </w:style>
  <w:style w:type="paragraph" w:customStyle="1" w:styleId="1860">
    <w:name w:val="图表名"/>
    <w:basedOn w:val="7"/>
    <w:semiHidden/>
    <w:qFormat/>
    <w:uiPriority w:val="99"/>
    <w:pPr>
      <w:numPr>
        <w:ilvl w:val="0"/>
        <w:numId w:val="0"/>
      </w:numPr>
      <w:adjustRightInd/>
      <w:snapToGrid/>
      <w:jc w:val="center"/>
      <w:outlineLvl w:val="9"/>
    </w:pPr>
    <w:rPr>
      <w:rFonts w:ascii="Arial" w:hAnsi="Arial" w:eastAsia="楷体_GB2312"/>
      <w:b/>
      <w:sz w:val="21"/>
    </w:rPr>
  </w:style>
  <w:style w:type="paragraph" w:customStyle="1" w:styleId="1861">
    <w:name w:val="Char Char Char Char Char Char Char Char Char Char Char Char Char Char Char Char Char Char Char Char Char Char Char Char Char Char Char Char Char Char Char Char Char Char Char Char Char Char Char Char Char Char"/>
    <w:basedOn w:val="1"/>
    <w:semiHidden/>
    <w:qFormat/>
    <w:uiPriority w:val="99"/>
    <w:rPr>
      <w:sz w:val="24"/>
    </w:rPr>
  </w:style>
  <w:style w:type="paragraph" w:customStyle="1" w:styleId="1862">
    <w:name w:val="Char13"/>
    <w:basedOn w:val="1"/>
    <w:qFormat/>
    <w:uiPriority w:val="0"/>
    <w:pPr>
      <w:snapToGrid w:val="0"/>
      <w:spacing w:line="360" w:lineRule="auto"/>
      <w:ind w:firstLine="200" w:firstLineChars="200"/>
    </w:pPr>
    <w:rPr>
      <w:rFonts w:eastAsia="仿宋_GB2312"/>
      <w:sz w:val="24"/>
    </w:rPr>
  </w:style>
  <w:style w:type="paragraph" w:customStyle="1" w:styleId="1863">
    <w:name w:val="Char Char1 Char Char Char1 Char Char Char Char Char Char Char Char Char Char"/>
    <w:basedOn w:val="1"/>
    <w:semiHidden/>
    <w:qFormat/>
    <w:uiPriority w:val="99"/>
    <w:rPr>
      <w:sz w:val="24"/>
    </w:rPr>
  </w:style>
  <w:style w:type="paragraph" w:customStyle="1" w:styleId="1864">
    <w:name w:val="Char3 Char Char Char1 Char Char1 Char Char Char1 Char Char Char Char Char Char"/>
    <w:basedOn w:val="1"/>
    <w:semiHidden/>
    <w:qFormat/>
    <w:uiPriority w:val="99"/>
    <w:rPr>
      <w:szCs w:val="21"/>
    </w:rPr>
  </w:style>
  <w:style w:type="paragraph" w:customStyle="1" w:styleId="1865">
    <w:name w:val="样式 宋体 首行缩进:  0.93 厘米 段前: 6 磅 段后: 6 磅 行距: 固定值 18 磅"/>
    <w:basedOn w:val="1"/>
    <w:semiHidden/>
    <w:qFormat/>
    <w:uiPriority w:val="99"/>
    <w:pPr>
      <w:snapToGrid w:val="0"/>
      <w:spacing w:before="160" w:after="160" w:line="320" w:lineRule="exact"/>
      <w:ind w:firstLine="482"/>
    </w:pPr>
    <w:rPr>
      <w:rFonts w:ascii="宋体" w:hAnsi="宋体" w:cs="宋体"/>
      <w:sz w:val="24"/>
      <w:szCs w:val="20"/>
    </w:rPr>
  </w:style>
  <w:style w:type="paragraph" w:customStyle="1" w:styleId="1866">
    <w:name w:val="样式 宋体 首行缩进:  0.93 厘米 段前: 6 磅 段后: 6 磅 行距: 固定值 16 磅"/>
    <w:basedOn w:val="1"/>
    <w:semiHidden/>
    <w:qFormat/>
    <w:uiPriority w:val="99"/>
    <w:pPr>
      <w:snapToGrid w:val="0"/>
      <w:spacing w:before="160" w:after="160" w:line="320" w:lineRule="exact"/>
      <w:ind w:firstLine="527"/>
    </w:pPr>
    <w:rPr>
      <w:rFonts w:ascii="宋体" w:hAnsi="宋体" w:cs="宋体"/>
      <w:sz w:val="24"/>
      <w:szCs w:val="20"/>
    </w:rPr>
  </w:style>
  <w:style w:type="paragraph" w:customStyle="1" w:styleId="1867">
    <w:name w:val="纯文本2"/>
    <w:basedOn w:val="1"/>
    <w:semiHidden/>
    <w:qFormat/>
    <w:uiPriority w:val="99"/>
    <w:pPr>
      <w:adjustRightInd w:val="0"/>
    </w:pPr>
    <w:rPr>
      <w:rFonts w:ascii="宋体" w:hAnsi="Courier New"/>
      <w:szCs w:val="20"/>
    </w:rPr>
  </w:style>
  <w:style w:type="paragraph" w:customStyle="1" w:styleId="1868">
    <w:name w:val="Char1 Char Char2"/>
    <w:basedOn w:val="1"/>
    <w:semiHidden/>
    <w:qFormat/>
    <w:uiPriority w:val="99"/>
    <w:rPr>
      <w:szCs w:val="21"/>
    </w:rPr>
  </w:style>
  <w:style w:type="paragraph" w:customStyle="1" w:styleId="1869">
    <w:name w:val="Char2 Char Char Char Char Char"/>
    <w:basedOn w:val="1"/>
    <w:qFormat/>
    <w:uiPriority w:val="0"/>
    <w:pPr>
      <w:snapToGrid w:val="0"/>
      <w:spacing w:line="360" w:lineRule="auto"/>
      <w:ind w:firstLine="200" w:firstLineChars="200"/>
    </w:pPr>
    <w:rPr>
      <w:rFonts w:eastAsia="仿宋_GB2312"/>
      <w:sz w:val="24"/>
    </w:rPr>
  </w:style>
  <w:style w:type="paragraph" w:customStyle="1" w:styleId="1870">
    <w:name w:val="Char3 Char Char Char Char Char Char Char Char"/>
    <w:basedOn w:val="1"/>
    <w:semiHidden/>
    <w:qFormat/>
    <w:uiPriority w:val="99"/>
    <w:rPr>
      <w:szCs w:val="21"/>
    </w:rPr>
  </w:style>
  <w:style w:type="paragraph" w:customStyle="1" w:styleId="1871">
    <w:name w:val="Char3 Char Char Char Char Char Char Char Char Char Char Char"/>
    <w:basedOn w:val="1"/>
    <w:semiHidden/>
    <w:qFormat/>
    <w:uiPriority w:val="99"/>
    <w:rPr>
      <w:szCs w:val="21"/>
    </w:rPr>
  </w:style>
  <w:style w:type="paragraph" w:customStyle="1" w:styleId="1872">
    <w:name w:val="Char3 Char Char Char Char Char Char Char Char Char Char Char Char"/>
    <w:basedOn w:val="1"/>
    <w:semiHidden/>
    <w:qFormat/>
    <w:uiPriority w:val="99"/>
    <w:rPr>
      <w:szCs w:val="21"/>
    </w:rPr>
  </w:style>
  <w:style w:type="paragraph" w:customStyle="1" w:styleId="1873">
    <w:name w:val="Char3 Char Char Char Char Char Char Char Char Char"/>
    <w:basedOn w:val="1"/>
    <w:semiHidden/>
    <w:qFormat/>
    <w:uiPriority w:val="99"/>
    <w:rPr>
      <w:szCs w:val="21"/>
    </w:rPr>
  </w:style>
  <w:style w:type="paragraph" w:customStyle="1" w:styleId="1874">
    <w:name w:val="样式 标题 2 + (西文) Times New Roman (中文) 宋体 四号 段前: 0 磅 段后: 0 磅 行..."/>
    <w:basedOn w:val="5"/>
    <w:next w:val="1"/>
    <w:semiHidden/>
    <w:qFormat/>
    <w:uiPriority w:val="99"/>
    <w:pPr>
      <w:numPr>
        <w:ilvl w:val="0"/>
        <w:numId w:val="0"/>
      </w:numPr>
      <w:spacing w:afterLines="0" w:line="500" w:lineRule="exact"/>
      <w:ind w:right="560"/>
      <w:jc w:val="both"/>
    </w:pPr>
    <w:rPr>
      <w:sz w:val="28"/>
      <w:szCs w:val="28"/>
    </w:rPr>
  </w:style>
  <w:style w:type="paragraph" w:customStyle="1" w:styleId="1875">
    <w:name w:val="正文1 Char Char Char"/>
    <w:basedOn w:val="1"/>
    <w:semiHidden/>
    <w:qFormat/>
    <w:uiPriority w:val="99"/>
    <w:pPr>
      <w:adjustRightInd w:val="0"/>
      <w:spacing w:line="360" w:lineRule="auto"/>
      <w:ind w:firstLine="560" w:firstLineChars="200"/>
    </w:pPr>
    <w:rPr>
      <w:rFonts w:eastAsia="楷体_GB2312"/>
      <w:kern w:val="0"/>
      <w:sz w:val="28"/>
      <w:szCs w:val="28"/>
    </w:rPr>
  </w:style>
  <w:style w:type="paragraph" w:customStyle="1" w:styleId="1876">
    <w:name w:val="样式 标题 2 + Times New Roman 四号"/>
    <w:basedOn w:val="5"/>
    <w:semiHidden/>
    <w:qFormat/>
    <w:uiPriority w:val="99"/>
    <w:pPr>
      <w:numPr>
        <w:ilvl w:val="0"/>
        <w:numId w:val="0"/>
      </w:numPr>
      <w:spacing w:afterLines="0" w:line="500" w:lineRule="exact"/>
      <w:ind w:right="560"/>
      <w:jc w:val="both"/>
    </w:pPr>
    <w:rPr>
      <w:rFonts w:eastAsia="仿宋_GB2312"/>
      <w:sz w:val="30"/>
    </w:rPr>
  </w:style>
  <w:style w:type="paragraph" w:customStyle="1" w:styleId="1877">
    <w:name w:val="正文1 Char Char Char Char"/>
    <w:basedOn w:val="1"/>
    <w:semiHidden/>
    <w:qFormat/>
    <w:uiPriority w:val="99"/>
    <w:pPr>
      <w:adjustRightInd w:val="0"/>
      <w:spacing w:line="360" w:lineRule="auto"/>
      <w:ind w:firstLine="560" w:firstLineChars="200"/>
    </w:pPr>
    <w:rPr>
      <w:rFonts w:eastAsia="楷体_GB2312"/>
      <w:kern w:val="0"/>
      <w:sz w:val="28"/>
      <w:szCs w:val="28"/>
    </w:rPr>
  </w:style>
  <w:style w:type="paragraph" w:customStyle="1" w:styleId="1878">
    <w:name w:val="正文1 Char Char Char Char Char"/>
    <w:basedOn w:val="1"/>
    <w:semiHidden/>
    <w:qFormat/>
    <w:uiPriority w:val="99"/>
    <w:pPr>
      <w:adjustRightInd w:val="0"/>
      <w:spacing w:line="360" w:lineRule="auto"/>
      <w:ind w:firstLine="560" w:firstLineChars="200"/>
    </w:pPr>
    <w:rPr>
      <w:rFonts w:eastAsia="楷体_GB2312"/>
      <w:color w:val="000000"/>
      <w:sz w:val="28"/>
      <w:szCs w:val="28"/>
    </w:rPr>
  </w:style>
  <w:style w:type="paragraph" w:customStyle="1" w:styleId="1879">
    <w:name w:val="总报告正文 Char"/>
    <w:basedOn w:val="1"/>
    <w:semiHidden/>
    <w:qFormat/>
    <w:uiPriority w:val="99"/>
    <w:pPr>
      <w:snapToGrid w:val="0"/>
      <w:spacing w:line="360" w:lineRule="auto"/>
      <w:ind w:firstLine="200" w:firstLineChars="200"/>
    </w:pPr>
    <w:rPr>
      <w:rFonts w:eastAsia="楷体_GB2312"/>
      <w:sz w:val="28"/>
      <w:szCs w:val="28"/>
    </w:rPr>
  </w:style>
  <w:style w:type="paragraph" w:customStyle="1" w:styleId="1880">
    <w:name w:val="样式 四号 首行缩进:  2 字符"/>
    <w:basedOn w:val="1"/>
    <w:qFormat/>
    <w:uiPriority w:val="0"/>
    <w:pPr>
      <w:spacing w:line="360" w:lineRule="auto"/>
      <w:ind w:firstLine="480" w:firstLineChars="200"/>
    </w:pPr>
    <w:rPr>
      <w:sz w:val="24"/>
    </w:rPr>
  </w:style>
  <w:style w:type="paragraph" w:customStyle="1" w:styleId="1881">
    <w:name w:val="⑴"/>
    <w:basedOn w:val="81"/>
    <w:semiHidden/>
    <w:qFormat/>
    <w:uiPriority w:val="99"/>
    <w:pPr>
      <w:spacing w:line="240" w:lineRule="atLeast"/>
      <w:outlineLvl w:val="3"/>
    </w:pPr>
    <w:rPr>
      <w:szCs w:val="21"/>
    </w:rPr>
  </w:style>
  <w:style w:type="paragraph" w:customStyle="1" w:styleId="1882">
    <w:name w:val="①"/>
    <w:basedOn w:val="81"/>
    <w:semiHidden/>
    <w:qFormat/>
    <w:uiPriority w:val="99"/>
    <w:pPr>
      <w:spacing w:line="240" w:lineRule="atLeast"/>
      <w:outlineLvl w:val="4"/>
    </w:pPr>
    <w:rPr>
      <w:szCs w:val="21"/>
    </w:rPr>
  </w:style>
  <w:style w:type="paragraph" w:customStyle="1" w:styleId="1883">
    <w:name w:val="样式 标题 5 + 段前: 6 磅"/>
    <w:basedOn w:val="8"/>
    <w:semiHidden/>
    <w:qFormat/>
    <w:uiPriority w:val="99"/>
    <w:pPr>
      <w:widowControl/>
      <w:numPr>
        <w:ilvl w:val="0"/>
        <w:numId w:val="0"/>
      </w:numPr>
      <w:tabs>
        <w:tab w:val="left" w:pos="540"/>
      </w:tabs>
      <w:adjustRightInd/>
      <w:spacing w:before="0" w:after="0" w:line="360" w:lineRule="auto"/>
      <w:jc w:val="left"/>
      <w:textAlignment w:val="auto"/>
    </w:pPr>
    <w:rPr>
      <w:rFonts w:ascii="宋体" w:hAnsi="宋体" w:cs="宋体"/>
      <w:b w:val="0"/>
      <w:bCs w:val="0"/>
      <w:sz w:val="24"/>
      <w:szCs w:val="20"/>
    </w:rPr>
  </w:style>
  <w:style w:type="paragraph" w:customStyle="1" w:styleId="1884">
    <w:name w:val="样式 总报告正文 Char Char Char Char + 首行缩进:  2 字符"/>
    <w:basedOn w:val="1"/>
    <w:semiHidden/>
    <w:qFormat/>
    <w:uiPriority w:val="99"/>
    <w:pPr>
      <w:widowControl/>
      <w:spacing w:line="360" w:lineRule="auto"/>
      <w:ind w:firstLine="560" w:firstLineChars="200"/>
      <w:jc w:val="center"/>
    </w:pPr>
    <w:rPr>
      <w:rFonts w:ascii="宋体" w:hAnsi="宋体" w:cs="宋体"/>
      <w:kern w:val="0"/>
      <w:szCs w:val="20"/>
    </w:rPr>
  </w:style>
  <w:style w:type="paragraph" w:customStyle="1" w:styleId="1885">
    <w:name w:val="样式 标题 2 + 段前: 0.5 行3"/>
    <w:basedOn w:val="5"/>
    <w:semiHidden/>
    <w:qFormat/>
    <w:uiPriority w:val="99"/>
    <w:pPr>
      <w:widowControl/>
      <w:numPr>
        <w:ilvl w:val="0"/>
        <w:numId w:val="0"/>
      </w:numPr>
      <w:spacing w:afterLines="0" w:line="500" w:lineRule="exact"/>
      <w:ind w:right="560"/>
      <w:jc w:val="center"/>
    </w:pPr>
    <w:rPr>
      <w:rFonts w:eastAsia="仿宋_GB2312" w:cs="宋体"/>
      <w:kern w:val="0"/>
      <w:sz w:val="28"/>
      <w:szCs w:val="20"/>
    </w:rPr>
  </w:style>
  <w:style w:type="paragraph" w:customStyle="1" w:styleId="1886">
    <w:name w:val="样式 宋体 四号 加粗"/>
    <w:basedOn w:val="7"/>
    <w:semiHidden/>
    <w:qFormat/>
    <w:uiPriority w:val="99"/>
    <w:pPr>
      <w:numPr>
        <w:ilvl w:val="0"/>
        <w:numId w:val="0"/>
      </w:numPr>
      <w:adjustRightInd/>
      <w:snapToGrid/>
      <w:spacing w:before="280" w:after="290" w:line="374" w:lineRule="auto"/>
    </w:pPr>
    <w:rPr>
      <w:rFonts w:ascii="宋体" w:hAnsi="宋体" w:eastAsia="宋体"/>
      <w:b/>
      <w:sz w:val="24"/>
    </w:rPr>
  </w:style>
  <w:style w:type="paragraph" w:customStyle="1" w:styleId="1887">
    <w:name w:val="样式 总报告正文 Char + 首行缩进:  2 字符"/>
    <w:basedOn w:val="1"/>
    <w:semiHidden/>
    <w:qFormat/>
    <w:uiPriority w:val="99"/>
    <w:pPr>
      <w:spacing w:line="360" w:lineRule="auto"/>
      <w:ind w:firstLine="560" w:firstLineChars="200"/>
    </w:pPr>
    <w:rPr>
      <w:rFonts w:cs="宋体"/>
      <w:sz w:val="24"/>
      <w:szCs w:val="20"/>
    </w:rPr>
  </w:style>
  <w:style w:type="paragraph" w:customStyle="1" w:styleId="1888">
    <w:name w:val="样式 样式 总报告正文 + 首行缩进:  2 字符 + 首行缩进:  2 字符1"/>
    <w:basedOn w:val="1"/>
    <w:semiHidden/>
    <w:qFormat/>
    <w:uiPriority w:val="99"/>
    <w:pPr>
      <w:spacing w:line="360" w:lineRule="auto"/>
      <w:ind w:firstLine="560" w:firstLineChars="200"/>
    </w:pPr>
    <w:rPr>
      <w:rFonts w:cs="宋体"/>
      <w:kern w:val="0"/>
      <w:sz w:val="24"/>
      <w:szCs w:val="20"/>
    </w:rPr>
  </w:style>
  <w:style w:type="character" w:customStyle="1" w:styleId="1889">
    <w:name w:val="图表标题 Char Char Char Char"/>
    <w:link w:val="1890"/>
    <w:semiHidden/>
    <w:qFormat/>
    <w:uiPriority w:val="0"/>
    <w:rPr>
      <w:rFonts w:ascii="宋体" w:hAnsi="宋体"/>
      <w:sz w:val="24"/>
      <w:szCs w:val="24"/>
    </w:rPr>
  </w:style>
  <w:style w:type="paragraph" w:customStyle="1" w:styleId="1890">
    <w:name w:val="图表标题 Char Char Char"/>
    <w:basedOn w:val="1"/>
    <w:link w:val="1889"/>
    <w:semiHidden/>
    <w:qFormat/>
    <w:uiPriority w:val="0"/>
    <w:pPr>
      <w:jc w:val="center"/>
    </w:pPr>
    <w:rPr>
      <w:rFonts w:ascii="宋体" w:hAnsi="宋体"/>
      <w:sz w:val="24"/>
    </w:rPr>
  </w:style>
  <w:style w:type="character" w:customStyle="1" w:styleId="1891">
    <w:name w:val="样式 图表标题 + 五号 Char Char Char Char Char"/>
    <w:link w:val="1892"/>
    <w:semiHidden/>
    <w:qFormat/>
    <w:uiPriority w:val="0"/>
    <w:rPr>
      <w:rFonts w:ascii="宋体" w:hAnsi="宋体"/>
      <w:sz w:val="24"/>
      <w:szCs w:val="24"/>
    </w:rPr>
  </w:style>
  <w:style w:type="paragraph" w:customStyle="1" w:styleId="1892">
    <w:name w:val="样式 图表标题 + 五号 Char Char Char Char"/>
    <w:basedOn w:val="1890"/>
    <w:link w:val="1891"/>
    <w:semiHidden/>
    <w:qFormat/>
    <w:uiPriority w:val="0"/>
  </w:style>
  <w:style w:type="paragraph" w:customStyle="1" w:styleId="1893">
    <w:name w:val="样式 正文缩进 + 宋体 首行缩进:  2 字符"/>
    <w:basedOn w:val="22"/>
    <w:semiHidden/>
    <w:qFormat/>
    <w:uiPriority w:val="99"/>
    <w:pPr>
      <w:autoSpaceDE w:val="0"/>
      <w:autoSpaceDN w:val="0"/>
      <w:adjustRightInd w:val="0"/>
      <w:snapToGrid w:val="0"/>
      <w:spacing w:line="360" w:lineRule="auto"/>
      <w:ind w:firstLine="200"/>
    </w:pPr>
    <w:rPr>
      <w:rFonts w:ascii="宋体" w:hAnsi="宋体"/>
      <w:kern w:val="0"/>
      <w:sz w:val="24"/>
    </w:rPr>
  </w:style>
  <w:style w:type="paragraph" w:customStyle="1" w:styleId="1894">
    <w:name w:val="标题 2+"/>
    <w:basedOn w:val="1"/>
    <w:next w:val="1"/>
    <w:semiHidden/>
    <w:qFormat/>
    <w:uiPriority w:val="99"/>
    <w:pPr>
      <w:spacing w:line="360" w:lineRule="auto"/>
      <w:jc w:val="left"/>
      <w:outlineLvl w:val="1"/>
    </w:pPr>
    <w:rPr>
      <w:rFonts w:cs="宋体"/>
      <w:b/>
      <w:sz w:val="28"/>
      <w:szCs w:val="20"/>
    </w:rPr>
  </w:style>
  <w:style w:type="character" w:customStyle="1" w:styleId="1895">
    <w:name w:val="标题3 + Char"/>
    <w:link w:val="1896"/>
    <w:semiHidden/>
    <w:qFormat/>
    <w:uiPriority w:val="0"/>
    <w:rPr>
      <w:rFonts w:ascii="宋体" w:hAnsi="宋体" w:eastAsia="楷体_GB2312" w:cs="宋体"/>
      <w:b/>
      <w:bCs/>
      <w:sz w:val="28"/>
      <w:szCs w:val="24"/>
    </w:rPr>
  </w:style>
  <w:style w:type="paragraph" w:customStyle="1" w:styleId="1896">
    <w:name w:val="标题3 +"/>
    <w:basedOn w:val="1"/>
    <w:next w:val="1"/>
    <w:link w:val="1895"/>
    <w:semiHidden/>
    <w:qFormat/>
    <w:uiPriority w:val="0"/>
    <w:pPr>
      <w:spacing w:line="360" w:lineRule="auto"/>
      <w:jc w:val="left"/>
      <w:outlineLvl w:val="2"/>
    </w:pPr>
    <w:rPr>
      <w:rFonts w:ascii="宋体" w:hAnsi="宋体" w:eastAsia="楷体_GB2312" w:cs="宋体"/>
      <w:b/>
      <w:bCs/>
      <w:sz w:val="28"/>
    </w:rPr>
  </w:style>
  <w:style w:type="paragraph" w:customStyle="1" w:styleId="1897">
    <w:name w:val="正文+"/>
    <w:basedOn w:val="1"/>
    <w:next w:val="1"/>
    <w:semiHidden/>
    <w:qFormat/>
    <w:uiPriority w:val="99"/>
    <w:pPr>
      <w:spacing w:line="360" w:lineRule="auto"/>
      <w:ind w:firstLine="200" w:firstLineChars="200"/>
    </w:pPr>
    <w:rPr>
      <w:rFonts w:cs="宋体"/>
      <w:sz w:val="24"/>
      <w:szCs w:val="20"/>
    </w:rPr>
  </w:style>
  <w:style w:type="paragraph" w:customStyle="1" w:styleId="1898">
    <w:name w:val="标题4 +"/>
    <w:basedOn w:val="1"/>
    <w:next w:val="1"/>
    <w:semiHidden/>
    <w:qFormat/>
    <w:uiPriority w:val="99"/>
    <w:pPr>
      <w:spacing w:line="360" w:lineRule="auto"/>
      <w:jc w:val="left"/>
      <w:outlineLvl w:val="3"/>
    </w:pPr>
    <w:rPr>
      <w:bCs/>
      <w:sz w:val="24"/>
      <w:szCs w:val="20"/>
    </w:rPr>
  </w:style>
  <w:style w:type="paragraph" w:customStyle="1" w:styleId="1899">
    <w:name w:val="样式 样式 样式 标题 3 + 段前: 0.5 行 段后: 0.5 行 + 段前: 0.5 行 段后: 0.5 行 + 段前: ..."/>
    <w:basedOn w:val="1"/>
    <w:semiHidden/>
    <w:qFormat/>
    <w:uiPriority w:val="99"/>
    <w:pPr>
      <w:keepNext/>
      <w:keepLines/>
      <w:tabs>
        <w:tab w:val="left" w:pos="1260"/>
      </w:tabs>
      <w:adjustRightInd w:val="0"/>
      <w:snapToGrid w:val="0"/>
      <w:spacing w:beforeLines="50" w:afterLines="50" w:line="300" w:lineRule="auto"/>
      <w:ind w:left="1260" w:hanging="420"/>
      <w:outlineLvl w:val="2"/>
    </w:pPr>
    <w:rPr>
      <w:rFonts w:ascii="仿宋_GB2312" w:eastAsia="仿宋_GB2312"/>
      <w:b/>
      <w:bCs/>
      <w:sz w:val="28"/>
      <w:szCs w:val="20"/>
    </w:rPr>
  </w:style>
  <w:style w:type="paragraph" w:customStyle="1" w:styleId="1900">
    <w:name w:val="样式 标题 4 + 行距: 多倍行距 1.3 字行"/>
    <w:basedOn w:val="7"/>
    <w:qFormat/>
    <w:uiPriority w:val="0"/>
    <w:pPr>
      <w:numPr>
        <w:ilvl w:val="0"/>
        <w:numId w:val="0"/>
      </w:numPr>
      <w:tabs>
        <w:tab w:val="left" w:pos="964"/>
        <w:tab w:val="left" w:pos="2160"/>
      </w:tabs>
      <w:adjustRightInd/>
      <w:spacing w:beforeLines="20" w:afterLines="20" w:line="300" w:lineRule="auto"/>
      <w:ind w:left="964" w:hanging="964"/>
    </w:pPr>
    <w:rPr>
      <w:rFonts w:ascii="仿宋_GB2312" w:hAnsi="Arial" w:eastAsia="仿宋_GB2312"/>
    </w:rPr>
  </w:style>
  <w:style w:type="paragraph" w:customStyle="1" w:styleId="1901">
    <w:name w:val="框图-1 Char"/>
    <w:basedOn w:val="1"/>
    <w:semiHidden/>
    <w:qFormat/>
    <w:uiPriority w:val="99"/>
    <w:pPr>
      <w:snapToGrid w:val="0"/>
      <w:jc w:val="center"/>
    </w:pPr>
    <w:rPr>
      <w:rFonts w:eastAsia="仿宋_GB2312"/>
      <w:bCs/>
      <w:color w:val="000000"/>
      <w:kern w:val="0"/>
    </w:rPr>
  </w:style>
  <w:style w:type="paragraph" w:customStyle="1" w:styleId="1902">
    <w:name w:val="框图-1 Char3"/>
    <w:basedOn w:val="1"/>
    <w:semiHidden/>
    <w:qFormat/>
    <w:uiPriority w:val="99"/>
    <w:pPr>
      <w:snapToGrid w:val="0"/>
      <w:jc w:val="center"/>
    </w:pPr>
    <w:rPr>
      <w:rFonts w:ascii="楷体_GB2312" w:hAnsi="宋体" w:eastAsia="楷体_GB2312"/>
      <w:bCs/>
      <w:color w:val="000000"/>
      <w:sz w:val="18"/>
      <w:szCs w:val="18"/>
    </w:rPr>
  </w:style>
  <w:style w:type="paragraph" w:customStyle="1" w:styleId="1903">
    <w:name w:val="样式 总报告正文 + 首行缩进:  2 字符"/>
    <w:basedOn w:val="1"/>
    <w:semiHidden/>
    <w:qFormat/>
    <w:uiPriority w:val="99"/>
    <w:pPr>
      <w:snapToGrid w:val="0"/>
      <w:spacing w:line="360" w:lineRule="auto"/>
      <w:ind w:firstLine="200" w:firstLineChars="200"/>
    </w:pPr>
    <w:rPr>
      <w:rFonts w:eastAsia="楷体_GB2312"/>
      <w:kern w:val="0"/>
      <w:sz w:val="28"/>
      <w:szCs w:val="20"/>
    </w:rPr>
  </w:style>
  <w:style w:type="paragraph" w:customStyle="1" w:styleId="1904">
    <w:name w:val="Char Char Char Char Char Char Char Char Char Char Char Char Char Char Char Char Char Char Char Char Char Char Char Char Char Char Char Char Char Char Char Char Char Char Char Char Char"/>
    <w:basedOn w:val="1"/>
    <w:qFormat/>
    <w:uiPriority w:val="0"/>
    <w:rPr>
      <w:sz w:val="24"/>
    </w:rPr>
  </w:style>
  <w:style w:type="paragraph" w:customStyle="1" w:styleId="1905">
    <w:name w:val="Char Char1 Char Char Char1 Char Char Char Char"/>
    <w:basedOn w:val="1"/>
    <w:semiHidden/>
    <w:qFormat/>
    <w:uiPriority w:val="99"/>
    <w:rPr>
      <w:sz w:val="24"/>
    </w:rPr>
  </w:style>
  <w:style w:type="paragraph" w:customStyle="1" w:styleId="1906">
    <w:name w:val="Char Char42"/>
    <w:basedOn w:val="1"/>
    <w:semiHidden/>
    <w:qFormat/>
    <w:uiPriority w:val="99"/>
    <w:rPr>
      <w:szCs w:val="21"/>
    </w:rPr>
  </w:style>
  <w:style w:type="paragraph" w:customStyle="1" w:styleId="1907">
    <w:name w:val="Char3 Char Char Char1 Char Char"/>
    <w:basedOn w:val="1"/>
    <w:semiHidden/>
    <w:qFormat/>
    <w:uiPriority w:val="99"/>
    <w:rPr>
      <w:szCs w:val="21"/>
    </w:rPr>
  </w:style>
  <w:style w:type="paragraph" w:customStyle="1" w:styleId="1908">
    <w:name w:val="谏壁标题4(chen)"/>
    <w:basedOn w:val="1"/>
    <w:semiHidden/>
    <w:qFormat/>
    <w:uiPriority w:val="99"/>
    <w:pPr>
      <w:snapToGrid w:val="0"/>
      <w:spacing w:beforeLines="50" w:line="360" w:lineRule="auto"/>
      <w:outlineLvl w:val="3"/>
    </w:pPr>
    <w:rPr>
      <w:rFonts w:eastAsia="楷体_GB2312"/>
      <w:sz w:val="28"/>
    </w:rPr>
  </w:style>
  <w:style w:type="character" w:customStyle="1" w:styleId="1909">
    <w:name w:val="chen正文字体11 Char"/>
    <w:link w:val="1910"/>
    <w:semiHidden/>
    <w:qFormat/>
    <w:uiPriority w:val="0"/>
    <w:rPr>
      <w:rFonts w:ascii="宋体" w:hAnsi="宋体" w:cs="宋体"/>
      <w:color w:val="000000"/>
      <w:sz w:val="24"/>
      <w:szCs w:val="24"/>
    </w:rPr>
  </w:style>
  <w:style w:type="paragraph" w:customStyle="1" w:styleId="1910">
    <w:name w:val="chen正文字体11"/>
    <w:basedOn w:val="1"/>
    <w:link w:val="1909"/>
    <w:semiHidden/>
    <w:qFormat/>
    <w:uiPriority w:val="0"/>
    <w:pPr>
      <w:spacing w:line="360" w:lineRule="auto"/>
      <w:ind w:firstLine="480" w:firstLineChars="200"/>
    </w:pPr>
    <w:rPr>
      <w:rFonts w:ascii="宋体" w:hAnsi="宋体" w:cs="宋体"/>
      <w:color w:val="000000"/>
      <w:sz w:val="24"/>
    </w:rPr>
  </w:style>
  <w:style w:type="character" w:customStyle="1" w:styleId="1911">
    <w:name w:val="样式 样式 宋体 小四 行距: 多倍行距 1.4 字行2 + 黑色 Char"/>
    <w:link w:val="1912"/>
    <w:semiHidden/>
    <w:qFormat/>
    <w:uiPriority w:val="0"/>
    <w:rPr>
      <w:rFonts w:ascii="宋体" w:hAnsi="宋体" w:cs="宋体"/>
      <w:color w:val="000000"/>
      <w:sz w:val="24"/>
      <w:szCs w:val="24"/>
    </w:rPr>
  </w:style>
  <w:style w:type="paragraph" w:customStyle="1" w:styleId="1912">
    <w:name w:val="样式 样式 宋体 小四 行距: 多倍行距 1.4 字行2 + 黑色"/>
    <w:basedOn w:val="1"/>
    <w:link w:val="1911"/>
    <w:semiHidden/>
    <w:qFormat/>
    <w:uiPriority w:val="0"/>
    <w:pPr>
      <w:spacing w:line="336" w:lineRule="auto"/>
      <w:ind w:firstLine="480" w:firstLineChars="200"/>
    </w:pPr>
    <w:rPr>
      <w:rFonts w:ascii="宋体" w:hAnsi="宋体" w:cs="宋体"/>
      <w:color w:val="000000"/>
      <w:sz w:val="24"/>
    </w:rPr>
  </w:style>
  <w:style w:type="paragraph" w:customStyle="1" w:styleId="1913">
    <w:name w:val="Char3 Char Char Char Char Char Char Char Char Char Char Char Char Char Char"/>
    <w:basedOn w:val="1"/>
    <w:semiHidden/>
    <w:qFormat/>
    <w:uiPriority w:val="99"/>
    <w:rPr>
      <w:szCs w:val="21"/>
    </w:rPr>
  </w:style>
  <w:style w:type="paragraph" w:customStyle="1" w:styleId="1914">
    <w:name w:val="Char3 Char Char Char1 Char Char1 Char Char Char"/>
    <w:basedOn w:val="1"/>
    <w:semiHidden/>
    <w:qFormat/>
    <w:uiPriority w:val="99"/>
    <w:rPr>
      <w:szCs w:val="21"/>
    </w:rPr>
  </w:style>
  <w:style w:type="paragraph" w:customStyle="1" w:styleId="1915">
    <w:name w:val="Char3 Char Char Char1"/>
    <w:basedOn w:val="1"/>
    <w:semiHidden/>
    <w:qFormat/>
    <w:uiPriority w:val="99"/>
    <w:rPr>
      <w:szCs w:val="21"/>
    </w:rPr>
  </w:style>
  <w:style w:type="paragraph" w:customStyle="1" w:styleId="1916">
    <w:name w:val="Char3 Char Char2"/>
    <w:basedOn w:val="1"/>
    <w:semiHidden/>
    <w:qFormat/>
    <w:uiPriority w:val="99"/>
    <w:rPr>
      <w:szCs w:val="21"/>
    </w:rPr>
  </w:style>
  <w:style w:type="paragraph" w:customStyle="1" w:styleId="1917">
    <w:name w:val="Char Char Char Char Char Char Char Char Char1"/>
    <w:basedOn w:val="1"/>
    <w:semiHidden/>
    <w:qFormat/>
    <w:uiPriority w:val="99"/>
    <w:rPr>
      <w:szCs w:val="21"/>
    </w:rPr>
  </w:style>
  <w:style w:type="paragraph" w:customStyle="1" w:styleId="1918">
    <w:name w:val="Char Char Char Char Char Char Char Char Char4"/>
    <w:basedOn w:val="1"/>
    <w:semiHidden/>
    <w:qFormat/>
    <w:uiPriority w:val="99"/>
    <w:rPr>
      <w:szCs w:val="21"/>
    </w:rPr>
  </w:style>
  <w:style w:type="paragraph" w:customStyle="1" w:styleId="1919">
    <w:name w:val="b14-1-no"/>
    <w:basedOn w:val="1"/>
    <w:semiHidden/>
    <w:qFormat/>
    <w:uiPriority w:val="99"/>
    <w:pPr>
      <w:widowControl/>
      <w:spacing w:before="100" w:beforeAutospacing="1" w:after="100" w:afterAutospacing="1" w:line="270" w:lineRule="atLeast"/>
      <w:jc w:val="left"/>
    </w:pPr>
    <w:rPr>
      <w:rFonts w:eastAsia="Arial Unicode MS" w:cs="Arial Unicode MS"/>
      <w:color w:val="2E2E2E"/>
      <w:kern w:val="0"/>
      <w:sz w:val="20"/>
      <w:szCs w:val="20"/>
    </w:rPr>
  </w:style>
  <w:style w:type="paragraph" w:customStyle="1" w:styleId="1920">
    <w:name w:val="Char Char Char Char Char Char Char Char Char1 Char Char Char Char Char Char Char Char"/>
    <w:basedOn w:val="1"/>
    <w:semiHidden/>
    <w:qFormat/>
    <w:uiPriority w:val="99"/>
    <w:pPr>
      <w:snapToGrid w:val="0"/>
      <w:spacing w:line="360" w:lineRule="auto"/>
      <w:ind w:firstLine="200" w:firstLineChars="200"/>
    </w:pPr>
    <w:rPr>
      <w:rFonts w:eastAsia="仿宋_GB2312"/>
      <w:sz w:val="24"/>
    </w:rPr>
  </w:style>
  <w:style w:type="paragraph" w:customStyle="1" w:styleId="1921">
    <w:name w:val="Char Char Char Char Char Char Char2"/>
    <w:basedOn w:val="1"/>
    <w:qFormat/>
    <w:uiPriority w:val="0"/>
    <w:rPr>
      <w:szCs w:val="21"/>
    </w:rPr>
  </w:style>
  <w:style w:type="paragraph" w:customStyle="1" w:styleId="1922">
    <w:name w:val="Char1 Char Char Char3"/>
    <w:basedOn w:val="1"/>
    <w:semiHidden/>
    <w:qFormat/>
    <w:uiPriority w:val="99"/>
    <w:rPr>
      <w:szCs w:val="21"/>
    </w:rPr>
  </w:style>
  <w:style w:type="paragraph" w:customStyle="1" w:styleId="1923">
    <w:name w:val="Char Char Char Char Char Char Char Char Char1 Char Char Char Char Char Char Char Char1 Char Char Char Char"/>
    <w:basedOn w:val="1"/>
    <w:semiHidden/>
    <w:qFormat/>
    <w:uiPriority w:val="99"/>
    <w:pPr>
      <w:snapToGrid w:val="0"/>
      <w:spacing w:line="360" w:lineRule="auto"/>
      <w:ind w:firstLine="200" w:firstLineChars="200"/>
    </w:pPr>
    <w:rPr>
      <w:rFonts w:eastAsia="仿宋_GB2312"/>
      <w:sz w:val="24"/>
    </w:rPr>
  </w:style>
  <w:style w:type="paragraph" w:customStyle="1" w:styleId="1924">
    <w:name w:val="Char Char Char Char Char Char Char Char Char1 Char Char Char Char Char Char Char Char1"/>
    <w:basedOn w:val="1"/>
    <w:semiHidden/>
    <w:qFormat/>
    <w:uiPriority w:val="99"/>
    <w:pPr>
      <w:snapToGrid w:val="0"/>
      <w:spacing w:line="360" w:lineRule="auto"/>
      <w:ind w:firstLine="200" w:firstLineChars="200"/>
    </w:pPr>
    <w:rPr>
      <w:rFonts w:eastAsia="仿宋_GB2312"/>
      <w:sz w:val="24"/>
    </w:rPr>
  </w:style>
  <w:style w:type="paragraph" w:customStyle="1" w:styleId="1925">
    <w:name w:val="Char Char Char Char Char Char Char Char Char Char Char Char Char5"/>
    <w:basedOn w:val="1"/>
    <w:semiHidden/>
    <w:qFormat/>
    <w:uiPriority w:val="99"/>
    <w:rPr>
      <w:sz w:val="24"/>
    </w:rPr>
  </w:style>
  <w:style w:type="character" w:customStyle="1" w:styleId="1926">
    <w:name w:val="chen 正文字体 Char"/>
    <w:link w:val="1927"/>
    <w:semiHidden/>
    <w:qFormat/>
    <w:uiPriority w:val="0"/>
    <w:rPr>
      <w:rFonts w:ascii="宋体" w:hAnsi="宋体" w:cs="宋体"/>
      <w:color w:val="000000"/>
      <w:sz w:val="24"/>
      <w:szCs w:val="24"/>
    </w:rPr>
  </w:style>
  <w:style w:type="paragraph" w:customStyle="1" w:styleId="1927">
    <w:name w:val="chen 正文字体"/>
    <w:basedOn w:val="1"/>
    <w:link w:val="1926"/>
    <w:semiHidden/>
    <w:qFormat/>
    <w:uiPriority w:val="0"/>
    <w:pPr>
      <w:spacing w:line="360" w:lineRule="auto"/>
      <w:ind w:firstLine="200" w:firstLineChars="200"/>
    </w:pPr>
    <w:rPr>
      <w:rFonts w:ascii="宋体" w:hAnsi="宋体" w:cs="宋体"/>
      <w:color w:val="000000"/>
      <w:sz w:val="24"/>
    </w:rPr>
  </w:style>
  <w:style w:type="character" w:customStyle="1" w:styleId="1928">
    <w:name w:val="样式 样式 样式 宋体 小四 行距: 多倍行距 1.4 字行2 + 黑色 + Times New Roman1 Char"/>
    <w:link w:val="1929"/>
    <w:semiHidden/>
    <w:qFormat/>
    <w:uiPriority w:val="0"/>
    <w:rPr>
      <w:rFonts w:ascii="宋体" w:hAnsi="宋体" w:cs="宋体"/>
      <w:color w:val="000000"/>
      <w:sz w:val="24"/>
      <w:szCs w:val="24"/>
    </w:rPr>
  </w:style>
  <w:style w:type="paragraph" w:customStyle="1" w:styleId="1929">
    <w:name w:val="样式 样式 样式 宋体 小四 行距: 多倍行距 1.4 字行2 + 黑色 + Times New Roman1"/>
    <w:basedOn w:val="1"/>
    <w:link w:val="1928"/>
    <w:semiHidden/>
    <w:qFormat/>
    <w:uiPriority w:val="0"/>
    <w:pPr>
      <w:spacing w:line="360" w:lineRule="auto"/>
      <w:ind w:firstLine="200" w:firstLineChars="200"/>
    </w:pPr>
    <w:rPr>
      <w:rFonts w:ascii="宋体" w:hAnsi="宋体" w:cs="宋体"/>
      <w:color w:val="000000"/>
      <w:sz w:val="24"/>
    </w:rPr>
  </w:style>
  <w:style w:type="paragraph" w:customStyle="1" w:styleId="1930">
    <w:name w:val="谏壁标题1(chen）"/>
    <w:basedOn w:val="1"/>
    <w:semiHidden/>
    <w:qFormat/>
    <w:uiPriority w:val="99"/>
    <w:pPr>
      <w:keepNext/>
      <w:keepLines/>
      <w:pageBreakBefore/>
      <w:spacing w:after="300" w:line="360" w:lineRule="auto"/>
      <w:outlineLvl w:val="0"/>
    </w:pPr>
    <w:rPr>
      <w:rFonts w:eastAsia="黑体"/>
      <w:bCs/>
      <w:kern w:val="44"/>
      <w:sz w:val="36"/>
      <w:szCs w:val="44"/>
    </w:rPr>
  </w:style>
  <w:style w:type="paragraph" w:customStyle="1" w:styleId="1931">
    <w:name w:val="谏壁标题3（chen）"/>
    <w:basedOn w:val="1"/>
    <w:semiHidden/>
    <w:qFormat/>
    <w:uiPriority w:val="99"/>
    <w:pPr>
      <w:keepNext/>
      <w:keepLines/>
      <w:spacing w:before="100" w:after="120" w:line="360" w:lineRule="auto"/>
      <w:outlineLvl w:val="2"/>
    </w:pPr>
    <w:rPr>
      <w:rFonts w:eastAsia="黑体"/>
      <w:sz w:val="30"/>
      <w:szCs w:val="32"/>
    </w:rPr>
  </w:style>
  <w:style w:type="paragraph" w:customStyle="1" w:styleId="1932">
    <w:name w:val="谏壁表头"/>
    <w:basedOn w:val="1106"/>
    <w:semiHidden/>
    <w:qFormat/>
    <w:uiPriority w:val="99"/>
    <w:pPr>
      <w:ind w:firstLine="482"/>
      <w:jc w:val="center"/>
    </w:pPr>
    <w:rPr>
      <w:rFonts w:hint="eastAsia" w:ascii="宋体" w:hAnsi="宋体"/>
      <w:b/>
    </w:rPr>
  </w:style>
  <w:style w:type="character" w:customStyle="1" w:styleId="1933">
    <w:name w:val="chen表头1 Char"/>
    <w:link w:val="1934"/>
    <w:semiHidden/>
    <w:qFormat/>
    <w:uiPriority w:val="0"/>
    <w:rPr>
      <w:rFonts w:ascii="宋体" w:hAnsi="宋体" w:eastAsia="楷体_GB2312" w:cs="宋体"/>
      <w:b/>
      <w:sz w:val="24"/>
      <w:szCs w:val="24"/>
    </w:rPr>
  </w:style>
  <w:style w:type="paragraph" w:customStyle="1" w:styleId="1934">
    <w:name w:val="chen表头1"/>
    <w:basedOn w:val="1"/>
    <w:link w:val="1933"/>
    <w:semiHidden/>
    <w:qFormat/>
    <w:uiPriority w:val="0"/>
    <w:pPr>
      <w:spacing w:after="120" w:line="500" w:lineRule="exact"/>
      <w:jc w:val="center"/>
    </w:pPr>
    <w:rPr>
      <w:rFonts w:ascii="宋体" w:hAnsi="宋体" w:eastAsia="楷体_GB2312" w:cs="宋体"/>
      <w:b/>
      <w:sz w:val="24"/>
    </w:rPr>
  </w:style>
  <w:style w:type="character" w:customStyle="1" w:styleId="1935">
    <w:name w:val="样式 样式 样式 宋体 小四 行距: 多倍行距 1.4 字行2 + 黑色 + Times New Roman2 Char"/>
    <w:link w:val="1936"/>
    <w:semiHidden/>
    <w:qFormat/>
    <w:uiPriority w:val="0"/>
    <w:rPr>
      <w:rFonts w:ascii="宋体" w:hAnsi="宋体" w:cs="宋体"/>
      <w:color w:val="000000"/>
      <w:sz w:val="24"/>
      <w:szCs w:val="24"/>
    </w:rPr>
  </w:style>
  <w:style w:type="paragraph" w:customStyle="1" w:styleId="1936">
    <w:name w:val="样式 样式 样式 宋体 小四 行距: 多倍行距 1.4 字行2 + 黑色 + Times New Roman2"/>
    <w:basedOn w:val="1912"/>
    <w:link w:val="1935"/>
    <w:semiHidden/>
    <w:qFormat/>
    <w:uiPriority w:val="0"/>
    <w:pPr>
      <w:spacing w:line="360" w:lineRule="auto"/>
      <w:ind w:firstLine="200"/>
    </w:pPr>
  </w:style>
  <w:style w:type="character" w:customStyle="1" w:styleId="1937">
    <w:name w:val="样式正文 Char"/>
    <w:link w:val="1938"/>
    <w:semiHidden/>
    <w:qFormat/>
    <w:uiPriority w:val="0"/>
    <w:rPr>
      <w:rFonts w:ascii="宋体" w:hAnsi="宋体" w:cs="宋体"/>
      <w:sz w:val="24"/>
      <w:szCs w:val="24"/>
    </w:rPr>
  </w:style>
  <w:style w:type="paragraph" w:customStyle="1" w:styleId="1938">
    <w:name w:val="样式正文"/>
    <w:basedOn w:val="1"/>
    <w:link w:val="1937"/>
    <w:semiHidden/>
    <w:qFormat/>
    <w:uiPriority w:val="0"/>
    <w:pPr>
      <w:spacing w:line="400" w:lineRule="exact"/>
      <w:ind w:firstLine="200" w:firstLineChars="200"/>
    </w:pPr>
    <w:rPr>
      <w:rFonts w:ascii="宋体" w:hAnsi="宋体" w:cs="宋体"/>
      <w:sz w:val="24"/>
    </w:rPr>
  </w:style>
  <w:style w:type="character" w:customStyle="1" w:styleId="1939">
    <w:name w:val="hhcwt标题3 Char Char"/>
    <w:link w:val="1940"/>
    <w:semiHidden/>
    <w:qFormat/>
    <w:uiPriority w:val="0"/>
    <w:rPr>
      <w:rFonts w:ascii="宋体" w:hAnsi="宋体" w:eastAsia="楷体_GB2312" w:cs="宋体"/>
      <w:bCs/>
      <w:sz w:val="28"/>
      <w:szCs w:val="24"/>
    </w:rPr>
  </w:style>
  <w:style w:type="paragraph" w:customStyle="1" w:styleId="1940">
    <w:name w:val="hhcwt标题3"/>
    <w:basedOn w:val="1"/>
    <w:link w:val="1939"/>
    <w:semiHidden/>
    <w:qFormat/>
    <w:uiPriority w:val="0"/>
    <w:pPr>
      <w:keepNext/>
      <w:keepLines/>
      <w:spacing w:line="336" w:lineRule="auto"/>
      <w:outlineLvl w:val="2"/>
    </w:pPr>
    <w:rPr>
      <w:rFonts w:ascii="宋体" w:hAnsi="宋体" w:eastAsia="楷体_GB2312" w:cs="宋体"/>
      <w:bCs/>
      <w:sz w:val="28"/>
    </w:rPr>
  </w:style>
  <w:style w:type="character" w:customStyle="1" w:styleId="1941">
    <w:name w:val="hhcwt标题4 Char Char"/>
    <w:link w:val="1942"/>
    <w:semiHidden/>
    <w:qFormat/>
    <w:uiPriority w:val="0"/>
    <w:rPr>
      <w:rFonts w:ascii="宋体" w:hAnsi="宋体" w:cs="宋体"/>
      <w:bCs/>
      <w:sz w:val="24"/>
      <w:szCs w:val="24"/>
    </w:rPr>
  </w:style>
  <w:style w:type="paragraph" w:customStyle="1" w:styleId="1942">
    <w:name w:val="hhcwt标题4"/>
    <w:basedOn w:val="7"/>
    <w:link w:val="1941"/>
    <w:semiHidden/>
    <w:qFormat/>
    <w:uiPriority w:val="0"/>
    <w:pPr>
      <w:numPr>
        <w:ilvl w:val="0"/>
        <w:numId w:val="0"/>
      </w:numPr>
      <w:adjustRightInd/>
      <w:snapToGrid/>
    </w:pPr>
    <w:rPr>
      <w:rFonts w:ascii="宋体" w:hAnsi="宋体" w:eastAsia="宋体" w:cs="宋体"/>
      <w:sz w:val="24"/>
      <w:szCs w:val="24"/>
    </w:rPr>
  </w:style>
  <w:style w:type="character" w:customStyle="1" w:styleId="1943">
    <w:name w:val="hhcwt标题1 Char Char"/>
    <w:link w:val="1944"/>
    <w:semiHidden/>
    <w:qFormat/>
    <w:uiPriority w:val="0"/>
    <w:rPr>
      <w:rFonts w:ascii="宋体" w:hAnsi="宋体" w:eastAsia="黑体" w:cs="宋体"/>
      <w:kern w:val="44"/>
      <w:sz w:val="36"/>
      <w:szCs w:val="24"/>
      <w:lang w:val="zh-CN"/>
    </w:rPr>
  </w:style>
  <w:style w:type="paragraph" w:customStyle="1" w:styleId="1944">
    <w:name w:val="hhcwt标题1"/>
    <w:basedOn w:val="1"/>
    <w:link w:val="1943"/>
    <w:semiHidden/>
    <w:qFormat/>
    <w:uiPriority w:val="0"/>
    <w:pPr>
      <w:keepNext/>
      <w:keepLines/>
      <w:autoSpaceDE w:val="0"/>
      <w:autoSpaceDN w:val="0"/>
      <w:adjustRightInd w:val="0"/>
      <w:spacing w:before="120" w:after="120" w:line="336" w:lineRule="auto"/>
      <w:outlineLvl w:val="0"/>
    </w:pPr>
    <w:rPr>
      <w:rFonts w:ascii="宋体" w:hAnsi="宋体" w:eastAsia="黑体" w:cs="宋体"/>
      <w:kern w:val="44"/>
      <w:sz w:val="36"/>
      <w:lang w:val="zh-CN"/>
    </w:rPr>
  </w:style>
  <w:style w:type="paragraph" w:customStyle="1" w:styleId="1945">
    <w:name w:val="样式 标题 3 + 五号 加粗 段前: 0 磅 段后: 0 磅 行距: 单倍行距"/>
    <w:basedOn w:val="6"/>
    <w:semiHidden/>
    <w:qFormat/>
    <w:uiPriority w:val="99"/>
    <w:pPr>
      <w:numPr>
        <w:ilvl w:val="0"/>
        <w:numId w:val="0"/>
      </w:numPr>
      <w:adjustRightInd/>
      <w:snapToGrid/>
      <w:spacing w:line="240" w:lineRule="auto"/>
    </w:pPr>
    <w:rPr>
      <w:rFonts w:eastAsia="宋体" w:cs="宋体"/>
      <w:b/>
      <w:sz w:val="28"/>
      <w:szCs w:val="21"/>
    </w:rPr>
  </w:style>
  <w:style w:type="paragraph" w:customStyle="1" w:styleId="1946">
    <w:name w:val="Char Char Char Char Char Char Char Char Char1 Char Char Char Char2"/>
    <w:basedOn w:val="1"/>
    <w:semiHidden/>
    <w:qFormat/>
    <w:uiPriority w:val="99"/>
    <w:rPr>
      <w:szCs w:val="21"/>
    </w:rPr>
  </w:style>
  <w:style w:type="paragraph" w:customStyle="1" w:styleId="1947">
    <w:name w:val="样式 仿宋_GB2312 小四 居中 行距: 固定值 20 磅"/>
    <w:basedOn w:val="1"/>
    <w:semiHidden/>
    <w:qFormat/>
    <w:uiPriority w:val="99"/>
    <w:pPr>
      <w:spacing w:line="400" w:lineRule="exact"/>
      <w:jc w:val="center"/>
    </w:pPr>
    <w:rPr>
      <w:rFonts w:ascii="仿宋_GB2312" w:hAnsi="宋体" w:eastAsia="仿宋_GB2312" w:cs="宋体"/>
      <w:sz w:val="24"/>
      <w:szCs w:val="20"/>
    </w:rPr>
  </w:style>
  <w:style w:type="paragraph" w:customStyle="1" w:styleId="1948">
    <w:name w:val="Char Char Char Char Char Char Char Char Char1 Char Char Char Char Char Char Char Char1 Char Char"/>
    <w:basedOn w:val="1"/>
    <w:semiHidden/>
    <w:qFormat/>
    <w:uiPriority w:val="99"/>
    <w:pPr>
      <w:snapToGrid w:val="0"/>
      <w:spacing w:line="360" w:lineRule="auto"/>
      <w:ind w:firstLine="200" w:firstLineChars="200"/>
    </w:pPr>
    <w:rPr>
      <w:rFonts w:eastAsia="仿宋_GB2312"/>
      <w:sz w:val="24"/>
    </w:rPr>
  </w:style>
  <w:style w:type="paragraph" w:customStyle="1" w:styleId="1949">
    <w:name w:val="Char2 Char Char Char Char Char1"/>
    <w:basedOn w:val="1"/>
    <w:semiHidden/>
    <w:qFormat/>
    <w:uiPriority w:val="99"/>
    <w:pPr>
      <w:snapToGrid w:val="0"/>
      <w:spacing w:line="360" w:lineRule="auto"/>
      <w:ind w:firstLine="200" w:firstLineChars="200"/>
    </w:pPr>
    <w:rPr>
      <w:rFonts w:eastAsia="仿宋_GB2312"/>
      <w:sz w:val="24"/>
    </w:rPr>
  </w:style>
  <w:style w:type="paragraph" w:customStyle="1" w:styleId="1950">
    <w:name w:val="Char3 Char Char Char Char Char Char Char Char Char Char Char Char Char Char Char Char Char"/>
    <w:basedOn w:val="1"/>
    <w:semiHidden/>
    <w:qFormat/>
    <w:uiPriority w:val="99"/>
    <w:rPr>
      <w:szCs w:val="21"/>
    </w:rPr>
  </w:style>
  <w:style w:type="paragraph" w:customStyle="1" w:styleId="1951">
    <w:name w:val="Char Char1 Char Char Char1 Char Char Char Char Char Char Char Char Char Char Char Char Char"/>
    <w:basedOn w:val="1"/>
    <w:semiHidden/>
    <w:qFormat/>
    <w:uiPriority w:val="99"/>
    <w:rPr>
      <w:sz w:val="24"/>
    </w:rPr>
  </w:style>
  <w:style w:type="paragraph" w:customStyle="1" w:styleId="1952">
    <w:name w:val="表格头 Char Char Char Char Char Char Char"/>
    <w:basedOn w:val="1"/>
    <w:semiHidden/>
    <w:qFormat/>
    <w:uiPriority w:val="99"/>
    <w:pPr>
      <w:adjustRightInd w:val="0"/>
      <w:snapToGrid w:val="0"/>
      <w:spacing w:line="360" w:lineRule="auto"/>
      <w:jc w:val="center"/>
    </w:pPr>
    <w:rPr>
      <w:b/>
      <w:sz w:val="24"/>
    </w:rPr>
  </w:style>
  <w:style w:type="paragraph" w:customStyle="1" w:styleId="1953">
    <w:name w:val="样式 题4 + 首行缩进:  2 字符"/>
    <w:basedOn w:val="1695"/>
    <w:semiHidden/>
    <w:qFormat/>
    <w:uiPriority w:val="99"/>
    <w:pPr>
      <w:numPr>
        <w:ilvl w:val="12"/>
      </w:numPr>
      <w:autoSpaceDE w:val="0"/>
      <w:autoSpaceDN w:val="0"/>
      <w:spacing w:beforeLines="0" w:afterLines="0"/>
      <w:jc w:val="left"/>
    </w:pPr>
    <w:rPr>
      <w:rFonts w:cs="宋体"/>
      <w:bCs/>
      <w:kern w:val="0"/>
      <w:szCs w:val="20"/>
    </w:rPr>
  </w:style>
  <w:style w:type="paragraph" w:customStyle="1" w:styleId="1954">
    <w:name w:val="样式 表头 + 段前: 0.5 行"/>
    <w:basedOn w:val="202"/>
    <w:semiHidden/>
    <w:qFormat/>
    <w:uiPriority w:val="99"/>
    <w:pPr>
      <w:autoSpaceDE w:val="0"/>
      <w:autoSpaceDN w:val="0"/>
      <w:adjustRightInd w:val="0"/>
      <w:snapToGrid w:val="0"/>
      <w:spacing w:line="360" w:lineRule="auto"/>
      <w:ind w:firstLine="495"/>
    </w:pPr>
    <w:rPr>
      <w:rFonts w:hint="eastAsia" w:cs="宋体"/>
      <w:b/>
      <w:bCs/>
      <w:spacing w:val="0"/>
      <w:sz w:val="24"/>
      <w:szCs w:val="20"/>
    </w:rPr>
  </w:style>
  <w:style w:type="paragraph" w:customStyle="1" w:styleId="1955">
    <w:name w:val="样式 文本 + 首行缩进:  10.01 字符1"/>
    <w:basedOn w:val="1"/>
    <w:semiHidden/>
    <w:qFormat/>
    <w:uiPriority w:val="99"/>
    <w:pPr>
      <w:adjustRightInd w:val="0"/>
      <w:snapToGrid w:val="0"/>
      <w:spacing w:line="360" w:lineRule="auto"/>
      <w:ind w:firstLine="200" w:firstLineChars="200"/>
    </w:pPr>
    <w:rPr>
      <w:rFonts w:cs="宋体"/>
      <w:sz w:val="24"/>
      <w:szCs w:val="20"/>
    </w:rPr>
  </w:style>
  <w:style w:type="paragraph" w:customStyle="1" w:styleId="1956">
    <w:name w:val="样式 样式 文本 + 首行缩进:  10.01 字符1 + 首行缩进:  2 字符"/>
    <w:basedOn w:val="1955"/>
    <w:semiHidden/>
    <w:qFormat/>
    <w:uiPriority w:val="99"/>
    <w:pPr>
      <w:ind w:firstLine="480"/>
    </w:pPr>
  </w:style>
  <w:style w:type="paragraph" w:customStyle="1" w:styleId="1957">
    <w:name w:val="xl164"/>
    <w:basedOn w:val="1"/>
    <w:qFormat/>
    <w:uiPriority w:val="0"/>
    <w:pPr>
      <w:widowControl/>
      <w:spacing w:before="100" w:beforeAutospacing="1" w:after="100" w:afterAutospacing="1"/>
      <w:jc w:val="center"/>
    </w:pPr>
    <w:rPr>
      <w:kern w:val="0"/>
      <w:sz w:val="24"/>
    </w:rPr>
  </w:style>
  <w:style w:type="paragraph" w:customStyle="1" w:styleId="1958">
    <w:name w:val="表格字体"/>
    <w:basedOn w:val="22"/>
    <w:semiHidden/>
    <w:qFormat/>
    <w:uiPriority w:val="99"/>
    <w:pPr>
      <w:adjustRightInd w:val="0"/>
      <w:snapToGrid w:val="0"/>
      <w:ind w:firstLine="480"/>
      <w:jc w:val="center"/>
    </w:pPr>
    <w:rPr>
      <w:szCs w:val="21"/>
    </w:rPr>
  </w:style>
  <w:style w:type="paragraph" w:customStyle="1" w:styleId="1959">
    <w:name w:val="列表项目"/>
    <w:basedOn w:val="25"/>
    <w:semiHidden/>
    <w:qFormat/>
    <w:uiPriority w:val="99"/>
    <w:pPr>
      <w:tabs>
        <w:tab w:val="clear" w:pos="900"/>
      </w:tabs>
      <w:adjustRightInd/>
      <w:spacing w:before="360" w:line="360" w:lineRule="auto"/>
      <w:ind w:left="0" w:firstLine="0"/>
      <w:jc w:val="center"/>
      <w:textAlignment w:val="auto"/>
      <w:outlineLvl w:val="0"/>
    </w:pPr>
    <w:rPr>
      <w:rFonts w:ascii="黑体" w:hAnsi="Times New Roman" w:eastAsia="黑体"/>
      <w:b/>
      <w:kern w:val="2"/>
      <w:sz w:val="32"/>
      <w:szCs w:val="32"/>
    </w:rPr>
  </w:style>
  <w:style w:type="paragraph" w:customStyle="1" w:styleId="1960">
    <w:name w:val="流程图"/>
    <w:basedOn w:val="1"/>
    <w:qFormat/>
    <w:uiPriority w:val="0"/>
    <w:pPr>
      <w:jc w:val="center"/>
    </w:pPr>
    <w:rPr>
      <w:rFonts w:ascii="宋体"/>
      <w:bCs/>
      <w:iCs/>
      <w:szCs w:val="21"/>
    </w:rPr>
  </w:style>
  <w:style w:type="paragraph" w:customStyle="1" w:styleId="1961">
    <w:name w:val="依据文字"/>
    <w:basedOn w:val="87"/>
    <w:semiHidden/>
    <w:qFormat/>
    <w:uiPriority w:val="99"/>
    <w:pPr>
      <w:tabs>
        <w:tab w:val="left" w:pos="420"/>
        <w:tab w:val="left" w:pos="870"/>
        <w:tab w:val="left" w:pos="3150"/>
        <w:tab w:val="clear" w:pos="360"/>
      </w:tabs>
      <w:autoSpaceDE w:val="0"/>
      <w:autoSpaceDN w:val="0"/>
      <w:adjustRightInd w:val="0"/>
      <w:spacing w:beforeLines="25" w:line="336" w:lineRule="auto"/>
      <w:ind w:firstLine="527"/>
    </w:pPr>
    <w:rPr>
      <w:sz w:val="24"/>
      <w:szCs w:val="28"/>
    </w:rPr>
  </w:style>
  <w:style w:type="paragraph" w:customStyle="1" w:styleId="1962">
    <w:name w:val="基准篇眉"/>
    <w:basedOn w:val="1"/>
    <w:semiHidden/>
    <w:qFormat/>
    <w:uiPriority w:val="99"/>
    <w:pPr>
      <w:keepLines/>
      <w:widowControl/>
      <w:tabs>
        <w:tab w:val="center" w:pos="7200"/>
        <w:tab w:val="right" w:pos="14400"/>
      </w:tabs>
      <w:overflowPunct w:val="0"/>
      <w:autoSpaceDE w:val="0"/>
      <w:autoSpaceDN w:val="0"/>
      <w:adjustRightInd w:val="0"/>
      <w:jc w:val="center"/>
    </w:pPr>
    <w:rPr>
      <w:spacing w:val="80"/>
      <w:kern w:val="0"/>
      <w:sz w:val="20"/>
      <w:szCs w:val="20"/>
    </w:rPr>
  </w:style>
  <w:style w:type="paragraph" w:customStyle="1" w:styleId="1963">
    <w:name w:val="_"/>
    <w:semiHidden/>
    <w:qFormat/>
    <w:uiPriority w:val="99"/>
    <w:pPr>
      <w:widowControl w:val="0"/>
      <w:autoSpaceDE w:val="0"/>
      <w:autoSpaceDN w:val="0"/>
      <w:adjustRightInd w:val="0"/>
      <w:spacing w:line="600" w:lineRule="exact"/>
      <w:jc w:val="both"/>
    </w:pPr>
    <w:rPr>
      <w:rFonts w:ascii="Times New Roman" w:hAnsi="Times New Roman" w:eastAsia="宋体" w:cs="Times New Roman"/>
      <w:kern w:val="2"/>
      <w:sz w:val="28"/>
      <w:lang w:val="en-US" w:eastAsia="zh-CN" w:bidi="ar-SA"/>
    </w:rPr>
  </w:style>
  <w:style w:type="paragraph" w:customStyle="1" w:styleId="1964">
    <w:name w:val="样式 题2 + (符号) 宋体"/>
    <w:basedOn w:val="1182"/>
    <w:semiHidden/>
    <w:qFormat/>
    <w:uiPriority w:val="99"/>
    <w:pPr>
      <w:numPr>
        <w:ilvl w:val="0"/>
        <w:numId w:val="0"/>
      </w:numPr>
      <w:spacing w:beforeLines="0" w:afterLines="0"/>
    </w:pPr>
    <w:rPr>
      <w:bCs/>
      <w:smallCaps/>
      <w:snapToGrid/>
      <w:sz w:val="28"/>
      <w:szCs w:val="28"/>
    </w:rPr>
  </w:style>
  <w:style w:type="paragraph" w:customStyle="1" w:styleId="1965">
    <w:name w:val="宁联正文"/>
    <w:basedOn w:val="1"/>
    <w:semiHidden/>
    <w:qFormat/>
    <w:uiPriority w:val="99"/>
    <w:pPr>
      <w:adjustRightInd w:val="0"/>
      <w:snapToGrid w:val="0"/>
      <w:spacing w:line="360" w:lineRule="auto"/>
      <w:ind w:firstLine="200" w:firstLineChars="200"/>
    </w:pPr>
    <w:rPr>
      <w:rFonts w:eastAsia="仿宋_GB2312"/>
      <w:sz w:val="28"/>
      <w:szCs w:val="28"/>
    </w:rPr>
  </w:style>
  <w:style w:type="paragraph" w:customStyle="1" w:styleId="1966">
    <w:name w:val="正文首缩"/>
    <w:basedOn w:val="1"/>
    <w:next w:val="22"/>
    <w:qFormat/>
    <w:uiPriority w:val="0"/>
    <w:pPr>
      <w:adjustRightInd w:val="0"/>
      <w:spacing w:line="324" w:lineRule="auto"/>
      <w:ind w:firstLine="556"/>
      <w:jc w:val="left"/>
    </w:pPr>
    <w:rPr>
      <w:kern w:val="0"/>
      <w:sz w:val="28"/>
      <w:szCs w:val="28"/>
    </w:rPr>
  </w:style>
  <w:style w:type="paragraph" w:customStyle="1" w:styleId="1967">
    <w:name w:val="列表符号（圆点）"/>
    <w:basedOn w:val="7"/>
    <w:qFormat/>
    <w:uiPriority w:val="0"/>
    <w:pPr>
      <w:numPr>
        <w:ilvl w:val="0"/>
        <w:numId w:val="0"/>
      </w:numPr>
      <w:tabs>
        <w:tab w:val="left" w:pos="360"/>
        <w:tab w:val="right" w:pos="658"/>
      </w:tabs>
      <w:adjustRightInd/>
      <w:snapToGrid/>
      <w:spacing w:beforeLines="50" w:after="290" w:line="374" w:lineRule="auto"/>
      <w:ind w:firstLine="200"/>
    </w:pPr>
    <w:rPr>
      <w:rFonts w:eastAsia="宋体"/>
      <w:b/>
    </w:rPr>
  </w:style>
  <w:style w:type="paragraph" w:customStyle="1" w:styleId="1968">
    <w:name w:val="文档卷标"/>
    <w:basedOn w:val="1"/>
    <w:semiHidden/>
    <w:qFormat/>
    <w:uiPriority w:val="99"/>
    <w:pPr>
      <w:keepNext/>
      <w:widowControl/>
      <w:overflowPunct w:val="0"/>
      <w:autoSpaceDE w:val="0"/>
      <w:autoSpaceDN w:val="0"/>
      <w:adjustRightInd w:val="0"/>
      <w:spacing w:before="240" w:after="360" w:line="540" w:lineRule="atLeast"/>
      <w:ind w:right="-95" w:rightChars="-34"/>
      <w:jc w:val="left"/>
    </w:pPr>
    <w:rPr>
      <w:b/>
      <w:kern w:val="28"/>
      <w:sz w:val="36"/>
      <w:szCs w:val="20"/>
    </w:rPr>
  </w:style>
  <w:style w:type="paragraph" w:customStyle="1" w:styleId="1969">
    <w:name w:val="样式 正文 +"/>
    <w:basedOn w:val="1"/>
    <w:semiHidden/>
    <w:qFormat/>
    <w:uiPriority w:val="99"/>
    <w:pPr>
      <w:spacing w:line="540" w:lineRule="atLeast"/>
      <w:ind w:right="-95" w:rightChars="-34"/>
    </w:pPr>
    <w:rPr>
      <w:sz w:val="28"/>
      <w:szCs w:val="20"/>
    </w:rPr>
  </w:style>
  <w:style w:type="paragraph" w:customStyle="1" w:styleId="1970">
    <w:name w:val="样式 (中文) 仿宋_GB2312 右"/>
    <w:basedOn w:val="1"/>
    <w:semiHidden/>
    <w:qFormat/>
    <w:uiPriority w:val="99"/>
    <w:pPr>
      <w:tabs>
        <w:tab w:val="left" w:pos="1021"/>
      </w:tabs>
      <w:spacing w:line="540" w:lineRule="atLeast"/>
      <w:ind w:left="1021" w:right="-95" w:rightChars="-34" w:hanging="420"/>
    </w:pPr>
    <w:rPr>
      <w:sz w:val="28"/>
      <w:szCs w:val="20"/>
    </w:rPr>
  </w:style>
  <w:style w:type="paragraph" w:customStyle="1" w:styleId="1971">
    <w:name w:val="奇数页脚注"/>
    <w:basedOn w:val="55"/>
    <w:semiHidden/>
    <w:qFormat/>
    <w:uiPriority w:val="99"/>
    <w:pPr>
      <w:keepLines/>
      <w:widowControl/>
      <w:tabs>
        <w:tab w:val="center" w:pos="4320"/>
        <w:tab w:val="right" w:pos="8640"/>
        <w:tab w:val="clear" w:pos="4153"/>
        <w:tab w:val="clear" w:pos="8306"/>
      </w:tabs>
      <w:overflowPunct w:val="0"/>
      <w:autoSpaceDE w:val="0"/>
      <w:autoSpaceDN w:val="0"/>
      <w:adjustRightInd w:val="0"/>
      <w:snapToGrid/>
    </w:pPr>
    <w:rPr>
      <w:rFonts w:hint="eastAsia"/>
      <w:kern w:val="0"/>
      <w:sz w:val="20"/>
      <w:szCs w:val="20"/>
    </w:rPr>
  </w:style>
  <w:style w:type="paragraph" w:customStyle="1" w:styleId="1972">
    <w:name w:val="表格文字（高）"/>
    <w:basedOn w:val="180"/>
    <w:semiHidden/>
    <w:qFormat/>
    <w:uiPriority w:val="99"/>
    <w:pPr>
      <w:adjustRightInd w:val="0"/>
      <w:snapToGrid w:val="0"/>
      <w:spacing w:beforeLines="10" w:afterLines="10"/>
    </w:pPr>
    <w:rPr>
      <w:rFonts w:ascii="Times New Roman" w:hAnsi="Times New Roman" w:eastAsia="仿宋_GB2312"/>
      <w:color w:val="auto"/>
      <w:kern w:val="0"/>
      <w:szCs w:val="24"/>
    </w:rPr>
  </w:style>
  <w:style w:type="paragraph" w:customStyle="1" w:styleId="1973">
    <w:name w:val="表格文字（左）"/>
    <w:basedOn w:val="180"/>
    <w:semiHidden/>
    <w:qFormat/>
    <w:uiPriority w:val="99"/>
    <w:pPr>
      <w:adjustRightInd w:val="0"/>
      <w:snapToGrid w:val="0"/>
      <w:spacing w:beforeLines="50" w:afterLines="50"/>
      <w:jc w:val="left"/>
    </w:pPr>
    <w:rPr>
      <w:rFonts w:ascii="Times New Roman" w:hAnsi="Times New Roman" w:eastAsia="仿宋_GB2312"/>
      <w:color w:val="auto"/>
      <w:kern w:val="0"/>
      <w:szCs w:val="24"/>
    </w:rPr>
  </w:style>
  <w:style w:type="paragraph" w:customStyle="1" w:styleId="1974">
    <w:name w:val="样式 样式 标题 2 + 首行缩进:  2 字符 + 段前: 0.5 行 段后: 0.5 行1"/>
    <w:basedOn w:val="1"/>
    <w:semiHidden/>
    <w:qFormat/>
    <w:uiPriority w:val="99"/>
    <w:pPr>
      <w:keepNext/>
      <w:keepLines/>
      <w:adjustRightInd w:val="0"/>
      <w:snapToGrid w:val="0"/>
      <w:spacing w:beforeLines="50" w:afterLines="50"/>
      <w:outlineLvl w:val="1"/>
    </w:pPr>
    <w:rPr>
      <w:b/>
      <w:bCs/>
      <w:sz w:val="32"/>
      <w:szCs w:val="32"/>
    </w:rPr>
  </w:style>
  <w:style w:type="paragraph" w:customStyle="1" w:styleId="1975">
    <w:name w:val="样式 样式 标题 2 + 首行缩进:  2 字符 + 段前: 0.5 行 段后: 0.5 行2"/>
    <w:basedOn w:val="1"/>
    <w:semiHidden/>
    <w:qFormat/>
    <w:uiPriority w:val="99"/>
    <w:pPr>
      <w:keepNext/>
      <w:keepLines/>
      <w:adjustRightInd w:val="0"/>
      <w:snapToGrid w:val="0"/>
      <w:spacing w:beforeLines="50" w:afterLines="50"/>
      <w:outlineLvl w:val="1"/>
    </w:pPr>
    <w:rPr>
      <w:rFonts w:ascii="Arial" w:hAnsi="Arial"/>
      <w:b/>
      <w:bCs/>
      <w:sz w:val="32"/>
      <w:szCs w:val="32"/>
    </w:rPr>
  </w:style>
  <w:style w:type="paragraph" w:customStyle="1" w:styleId="1976">
    <w:name w:val="样式 表头 + 段前: 0.5 行1"/>
    <w:basedOn w:val="202"/>
    <w:semiHidden/>
    <w:qFormat/>
    <w:uiPriority w:val="99"/>
    <w:pPr>
      <w:autoSpaceDE w:val="0"/>
      <w:autoSpaceDN w:val="0"/>
      <w:adjustRightInd w:val="0"/>
      <w:snapToGrid w:val="0"/>
      <w:spacing w:line="360" w:lineRule="auto"/>
      <w:ind w:firstLine="495"/>
    </w:pPr>
    <w:rPr>
      <w:rFonts w:hint="eastAsia" w:cs="宋体"/>
      <w:b/>
      <w:bCs/>
      <w:spacing w:val="0"/>
      <w:sz w:val="24"/>
      <w:szCs w:val="20"/>
    </w:rPr>
  </w:style>
  <w:style w:type="paragraph" w:customStyle="1" w:styleId="1977">
    <w:name w:val="样式 表头 + 段前: 0.5 行2"/>
    <w:basedOn w:val="202"/>
    <w:semiHidden/>
    <w:qFormat/>
    <w:uiPriority w:val="99"/>
    <w:pPr>
      <w:autoSpaceDE w:val="0"/>
      <w:autoSpaceDN w:val="0"/>
      <w:adjustRightInd w:val="0"/>
      <w:snapToGrid w:val="0"/>
      <w:spacing w:line="360" w:lineRule="auto"/>
      <w:ind w:firstLine="495"/>
    </w:pPr>
    <w:rPr>
      <w:rFonts w:hint="eastAsia" w:cs="宋体"/>
      <w:b/>
      <w:bCs/>
      <w:spacing w:val="0"/>
      <w:sz w:val="24"/>
      <w:szCs w:val="20"/>
    </w:rPr>
  </w:style>
  <w:style w:type="paragraph" w:customStyle="1" w:styleId="1978">
    <w:name w:val="报告书正文 Char Char"/>
    <w:basedOn w:val="1"/>
    <w:semiHidden/>
    <w:qFormat/>
    <w:uiPriority w:val="99"/>
    <w:pPr>
      <w:spacing w:line="300" w:lineRule="auto"/>
      <w:ind w:firstLine="480" w:firstLineChars="200"/>
    </w:pPr>
    <w:rPr>
      <w:sz w:val="24"/>
    </w:rPr>
  </w:style>
  <w:style w:type="paragraph" w:customStyle="1" w:styleId="1979">
    <w:name w:val="表8"/>
    <w:basedOn w:val="1"/>
    <w:semiHidden/>
    <w:qFormat/>
    <w:uiPriority w:val="99"/>
    <w:pPr>
      <w:jc w:val="center"/>
    </w:pPr>
    <w:rPr>
      <w:b/>
      <w:szCs w:val="21"/>
    </w:rPr>
  </w:style>
  <w:style w:type="paragraph" w:customStyle="1" w:styleId="1980">
    <w:name w:val="表格头 Char Char Char Char"/>
    <w:basedOn w:val="1"/>
    <w:semiHidden/>
    <w:qFormat/>
    <w:uiPriority w:val="99"/>
    <w:pPr>
      <w:adjustRightInd w:val="0"/>
      <w:snapToGrid w:val="0"/>
      <w:spacing w:line="360" w:lineRule="auto"/>
      <w:jc w:val="center"/>
    </w:pPr>
    <w:rPr>
      <w:b/>
      <w:sz w:val="24"/>
    </w:rPr>
  </w:style>
  <w:style w:type="paragraph" w:customStyle="1" w:styleId="1981">
    <w:name w:val="表头文字"/>
    <w:basedOn w:val="1"/>
    <w:semiHidden/>
    <w:qFormat/>
    <w:uiPriority w:val="99"/>
    <w:pPr>
      <w:topLinePunct/>
      <w:spacing w:before="60" w:after="60"/>
      <w:jc w:val="center"/>
    </w:pPr>
    <w:rPr>
      <w:szCs w:val="20"/>
    </w:rPr>
  </w:style>
  <w:style w:type="paragraph" w:customStyle="1" w:styleId="1982">
    <w:name w:val="Char Char1 Char Char Char Char Char Char Char"/>
    <w:basedOn w:val="1"/>
    <w:qFormat/>
    <w:uiPriority w:val="0"/>
    <w:rPr>
      <w:szCs w:val="21"/>
    </w:rPr>
  </w:style>
  <w:style w:type="paragraph" w:customStyle="1" w:styleId="1983">
    <w:name w:val="Char Char Char Char1 Char Char Char Char Char Char2"/>
    <w:basedOn w:val="1"/>
    <w:semiHidden/>
    <w:qFormat/>
    <w:uiPriority w:val="99"/>
    <w:pPr>
      <w:tabs>
        <w:tab w:val="left" w:pos="360"/>
      </w:tabs>
      <w:snapToGrid w:val="0"/>
      <w:spacing w:line="360" w:lineRule="auto"/>
    </w:pPr>
    <w:rPr>
      <w:rFonts w:eastAsia="仿宋_GB2312" w:cs="宋体"/>
      <w:sz w:val="24"/>
    </w:rPr>
  </w:style>
  <w:style w:type="paragraph" w:customStyle="1" w:styleId="1984">
    <w:name w:val="Char Char1 Char Char Char Char Char Char Char Char Char"/>
    <w:basedOn w:val="1"/>
    <w:semiHidden/>
    <w:qFormat/>
    <w:uiPriority w:val="99"/>
    <w:rPr>
      <w:szCs w:val="21"/>
    </w:rPr>
  </w:style>
  <w:style w:type="paragraph" w:customStyle="1" w:styleId="1985">
    <w:name w:val="Char3 Char Char Char1 Char Char1 Char Char Char1"/>
    <w:basedOn w:val="1"/>
    <w:semiHidden/>
    <w:qFormat/>
    <w:uiPriority w:val="99"/>
    <w:rPr>
      <w:szCs w:val="21"/>
    </w:rPr>
  </w:style>
  <w:style w:type="paragraph" w:customStyle="1" w:styleId="1986">
    <w:name w:val="Char3 Char Char Char1 Char Char1"/>
    <w:basedOn w:val="1"/>
    <w:semiHidden/>
    <w:qFormat/>
    <w:uiPriority w:val="99"/>
    <w:rPr>
      <w:szCs w:val="21"/>
    </w:rPr>
  </w:style>
  <w:style w:type="paragraph" w:customStyle="1" w:styleId="1987">
    <w:name w:val="Char3 Char Char Char1 Char Char1 Char Char Char1 Char Char Char"/>
    <w:basedOn w:val="1"/>
    <w:semiHidden/>
    <w:qFormat/>
    <w:uiPriority w:val="99"/>
    <w:rPr>
      <w:szCs w:val="21"/>
    </w:rPr>
  </w:style>
  <w:style w:type="paragraph" w:customStyle="1" w:styleId="1988">
    <w:name w:val="xl111"/>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1989">
    <w:name w:val="xl11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8"/>
      <w:szCs w:val="28"/>
    </w:rPr>
  </w:style>
  <w:style w:type="paragraph" w:customStyle="1" w:styleId="1990">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32"/>
      <w:szCs w:val="32"/>
    </w:rPr>
  </w:style>
  <w:style w:type="paragraph" w:customStyle="1" w:styleId="1991">
    <w:name w:val="Char Char Char Char Char Char3"/>
    <w:basedOn w:val="1"/>
    <w:semiHidden/>
    <w:qFormat/>
    <w:uiPriority w:val="99"/>
    <w:rPr>
      <w:rFonts w:ascii="宋体" w:hAnsi="宋体" w:cs="宋体"/>
      <w:color w:val="000000"/>
      <w:kern w:val="0"/>
      <w:sz w:val="24"/>
    </w:rPr>
  </w:style>
  <w:style w:type="paragraph" w:customStyle="1" w:styleId="1992">
    <w:name w:val="报告书正文段落"/>
    <w:basedOn w:val="1"/>
    <w:semiHidden/>
    <w:qFormat/>
    <w:uiPriority w:val="99"/>
    <w:pPr>
      <w:spacing w:line="520" w:lineRule="exact"/>
      <w:ind w:firstLine="480" w:firstLineChars="200"/>
      <w:jc w:val="left"/>
    </w:pPr>
    <w:rPr>
      <w:rFonts w:cs="宋体"/>
      <w:kern w:val="0"/>
      <w:sz w:val="24"/>
      <w:lang w:val="zh-CN"/>
    </w:rPr>
  </w:style>
  <w:style w:type="character" w:customStyle="1" w:styleId="1993">
    <w:name w:val="清洁生产正文 Char"/>
    <w:link w:val="1994"/>
    <w:qFormat/>
    <w:uiPriority w:val="0"/>
    <w:rPr>
      <w:rFonts w:ascii="仿宋_GB2312" w:eastAsia="仿宋_GB2312"/>
      <w:color w:val="000000"/>
      <w:sz w:val="28"/>
      <w:szCs w:val="28"/>
    </w:rPr>
  </w:style>
  <w:style w:type="paragraph" w:customStyle="1" w:styleId="1994">
    <w:name w:val="清洁生产正文"/>
    <w:basedOn w:val="1"/>
    <w:link w:val="1993"/>
    <w:qFormat/>
    <w:uiPriority w:val="0"/>
    <w:pPr>
      <w:tabs>
        <w:tab w:val="left" w:pos="3255"/>
      </w:tabs>
      <w:autoSpaceDE w:val="0"/>
      <w:autoSpaceDN w:val="0"/>
      <w:adjustRightInd w:val="0"/>
      <w:spacing w:beforeLines="25" w:afterLines="25" w:line="520" w:lineRule="exact"/>
      <w:ind w:firstLine="200" w:firstLineChars="200"/>
      <w:jc w:val="left"/>
    </w:pPr>
    <w:rPr>
      <w:rFonts w:ascii="仿宋_GB2312" w:hAnsi="Calibri" w:eastAsia="仿宋_GB2312"/>
      <w:color w:val="000000"/>
      <w:sz w:val="28"/>
      <w:szCs w:val="28"/>
    </w:rPr>
  </w:style>
  <w:style w:type="paragraph" w:customStyle="1" w:styleId="1995">
    <w:name w:val="Char Char Char Char Char Char Char Char Char Char2"/>
    <w:basedOn w:val="1"/>
    <w:semiHidden/>
    <w:qFormat/>
    <w:uiPriority w:val="99"/>
    <w:rPr>
      <w:sz w:val="24"/>
    </w:rPr>
  </w:style>
  <w:style w:type="paragraph" w:customStyle="1" w:styleId="1996">
    <w:name w:val="Char Char Char Char Char Char Char Char Char Char Char Char Char Char Char Char Char Char Char Char Char Char Char Char Char Char Char Char Char Char Char Char Char Char Char Char Char Char Char Char2"/>
    <w:basedOn w:val="1"/>
    <w:semiHidden/>
    <w:qFormat/>
    <w:uiPriority w:val="99"/>
    <w:rPr>
      <w:sz w:val="24"/>
    </w:rPr>
  </w:style>
  <w:style w:type="paragraph" w:customStyle="1" w:styleId="1997">
    <w:name w:val="Char Char Char Char Char Char Char Char1 Char Char Char Char Char Char Char Char Char Char Char Char1 Char2"/>
    <w:basedOn w:val="1"/>
    <w:semiHidden/>
    <w:qFormat/>
    <w:uiPriority w:val="99"/>
    <w:rPr>
      <w:sz w:val="24"/>
    </w:rPr>
  </w:style>
  <w:style w:type="paragraph" w:customStyle="1" w:styleId="1998">
    <w:name w:val="Char Char Char1 Char2"/>
    <w:basedOn w:val="1"/>
    <w:qFormat/>
    <w:uiPriority w:val="0"/>
    <w:rPr>
      <w:sz w:val="24"/>
    </w:rPr>
  </w:style>
  <w:style w:type="paragraph" w:customStyle="1" w:styleId="1999">
    <w:name w:val="Char Char Char1 Char Char Char Char9"/>
    <w:basedOn w:val="1"/>
    <w:semiHidden/>
    <w:qFormat/>
    <w:uiPriority w:val="99"/>
    <w:pPr>
      <w:spacing w:line="360" w:lineRule="auto"/>
    </w:pPr>
  </w:style>
  <w:style w:type="paragraph" w:customStyle="1" w:styleId="2000">
    <w:name w:val="Char Char Char1 Char Char Char Char Char Char Char Char Char Char Char2"/>
    <w:basedOn w:val="1"/>
    <w:semiHidden/>
    <w:qFormat/>
    <w:uiPriority w:val="99"/>
  </w:style>
  <w:style w:type="paragraph" w:customStyle="1" w:styleId="2001">
    <w:name w:val="Char Char1 Char Char Char Char3"/>
    <w:basedOn w:val="1"/>
    <w:semiHidden/>
    <w:qFormat/>
    <w:uiPriority w:val="99"/>
    <w:rPr>
      <w:sz w:val="24"/>
    </w:rPr>
  </w:style>
  <w:style w:type="paragraph" w:customStyle="1" w:styleId="2002">
    <w:name w:val="Char Char1 Char Char Char Char Char Char Char Char Char Char Char Char Char2"/>
    <w:basedOn w:val="1"/>
    <w:semiHidden/>
    <w:qFormat/>
    <w:uiPriority w:val="99"/>
    <w:pPr>
      <w:spacing w:line="360" w:lineRule="auto"/>
      <w:ind w:firstLine="200" w:firstLineChars="200"/>
    </w:pPr>
    <w:rPr>
      <w:rFonts w:ascii="宋体" w:hAnsi="宋体" w:cs="宋体"/>
      <w:sz w:val="24"/>
    </w:rPr>
  </w:style>
  <w:style w:type="paragraph" w:customStyle="1" w:styleId="2003">
    <w:name w:val="Char1 Char Char Char Char Char Char3"/>
    <w:basedOn w:val="1"/>
    <w:semiHidden/>
    <w:qFormat/>
    <w:uiPriority w:val="99"/>
  </w:style>
  <w:style w:type="paragraph" w:customStyle="1" w:styleId="2004">
    <w:name w:val="Char1 Char Char Char Char Char Char Char Char Char2"/>
    <w:basedOn w:val="1"/>
    <w:semiHidden/>
    <w:qFormat/>
    <w:uiPriority w:val="99"/>
  </w:style>
  <w:style w:type="paragraph" w:customStyle="1" w:styleId="2005">
    <w:name w:val="Char1 Char Char Char Char Char Char Char Char Char Char Char Char2"/>
    <w:basedOn w:val="1"/>
    <w:semiHidden/>
    <w:qFormat/>
    <w:uiPriority w:val="99"/>
  </w:style>
  <w:style w:type="paragraph" w:customStyle="1" w:styleId="2006">
    <w:name w:val="Char2 Char Char Char Char Char Char Char Char Char Char Char Char Char Char Char Char Char Char Char Char Char2"/>
    <w:basedOn w:val="1"/>
    <w:semiHidden/>
    <w:qFormat/>
    <w:uiPriority w:val="99"/>
    <w:pPr>
      <w:spacing w:line="360" w:lineRule="auto"/>
      <w:ind w:firstLine="200" w:firstLineChars="200"/>
    </w:pPr>
    <w:rPr>
      <w:rFonts w:eastAsia="黑体"/>
      <w:sz w:val="28"/>
      <w:szCs w:val="28"/>
    </w:rPr>
  </w:style>
  <w:style w:type="paragraph" w:customStyle="1" w:styleId="2007">
    <w:name w:val="Char4 Char Char Char2"/>
    <w:basedOn w:val="1"/>
    <w:semiHidden/>
    <w:qFormat/>
    <w:uiPriority w:val="99"/>
    <w:rPr>
      <w:sz w:val="24"/>
    </w:rPr>
  </w:style>
  <w:style w:type="paragraph" w:customStyle="1" w:styleId="2008">
    <w:name w:val="日期61"/>
    <w:basedOn w:val="1"/>
    <w:next w:val="1"/>
    <w:semiHidden/>
    <w:qFormat/>
    <w:uiPriority w:val="99"/>
    <w:pPr>
      <w:autoSpaceDE w:val="0"/>
      <w:autoSpaceDN w:val="0"/>
      <w:adjustRightInd w:val="0"/>
    </w:pPr>
    <w:rPr>
      <w:spacing w:val="5"/>
      <w:kern w:val="0"/>
      <w:sz w:val="24"/>
      <w:szCs w:val="20"/>
    </w:rPr>
  </w:style>
  <w:style w:type="character" w:customStyle="1" w:styleId="2009">
    <w:name w:val="正文001 Char"/>
    <w:link w:val="814"/>
    <w:qFormat/>
    <w:uiPriority w:val="0"/>
    <w:rPr>
      <w:rFonts w:ascii="Times New Roman" w:hAnsi="Times New Roman" w:eastAsia="宋体" w:cs="Times New Roman"/>
      <w:sz w:val="24"/>
      <w:szCs w:val="24"/>
    </w:rPr>
  </w:style>
  <w:style w:type="paragraph" w:customStyle="1" w:styleId="2010">
    <w:name w:val="正文文本缩进 22"/>
    <w:basedOn w:val="1"/>
    <w:semiHidden/>
    <w:qFormat/>
    <w:uiPriority w:val="99"/>
    <w:pPr>
      <w:adjustRightInd w:val="0"/>
      <w:snapToGrid w:val="0"/>
      <w:ind w:firstLine="525"/>
    </w:pPr>
    <w:rPr>
      <w:rFonts w:ascii="仿宋_GB2312" w:eastAsia="仿宋_GB2312"/>
      <w:kern w:val="11"/>
      <w:sz w:val="28"/>
      <w:szCs w:val="20"/>
    </w:rPr>
  </w:style>
  <w:style w:type="paragraph" w:customStyle="1" w:styleId="2011">
    <w:name w:val="Char Char1 Char2"/>
    <w:basedOn w:val="1"/>
    <w:semiHidden/>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2012">
    <w:name w:val="Char Char Char Char Char Char Char Char Char Char Char Char2"/>
    <w:basedOn w:val="1"/>
    <w:semiHidden/>
    <w:qFormat/>
    <w:uiPriority w:val="99"/>
    <w:rPr>
      <w:sz w:val="24"/>
    </w:rPr>
  </w:style>
  <w:style w:type="paragraph" w:customStyle="1" w:styleId="2013">
    <w:name w:val="文本块11"/>
    <w:basedOn w:val="1"/>
    <w:semiHidden/>
    <w:qFormat/>
    <w:uiPriority w:val="99"/>
    <w:pPr>
      <w:widowControl/>
      <w:spacing w:before="100" w:after="100"/>
      <w:jc w:val="left"/>
    </w:pPr>
    <w:rPr>
      <w:rFonts w:eastAsia="Times New Roman"/>
      <w:kern w:val="0"/>
      <w:sz w:val="22"/>
      <w:szCs w:val="20"/>
      <w:lang w:eastAsia="en-US"/>
    </w:rPr>
  </w:style>
  <w:style w:type="paragraph" w:customStyle="1" w:styleId="2014">
    <w:name w:val="普通(网站)2"/>
    <w:basedOn w:val="1"/>
    <w:semiHidden/>
    <w:qFormat/>
    <w:uiPriority w:val="99"/>
    <w:pPr>
      <w:adjustRightInd w:val="0"/>
    </w:pPr>
    <w:rPr>
      <w:sz w:val="24"/>
      <w:szCs w:val="20"/>
    </w:rPr>
  </w:style>
  <w:style w:type="paragraph" w:customStyle="1" w:styleId="2015">
    <w:name w:val="宏文本2"/>
    <w:semiHidden/>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ascii="Courier New" w:hAnsi="Courier New" w:eastAsia="宋体" w:cs="Times New Roman"/>
      <w:kern w:val="2"/>
      <w:sz w:val="24"/>
      <w:lang w:val="en-US" w:eastAsia="zh-CN" w:bidi="ar-SA"/>
    </w:rPr>
  </w:style>
  <w:style w:type="paragraph" w:customStyle="1" w:styleId="2016">
    <w:name w:val="标题 33"/>
    <w:basedOn w:val="1"/>
    <w:next w:val="1"/>
    <w:semiHidden/>
    <w:qFormat/>
    <w:uiPriority w:val="99"/>
    <w:pPr>
      <w:keepNext/>
      <w:keepLines/>
      <w:adjustRightInd w:val="0"/>
      <w:spacing w:before="120" w:after="120" w:line="500" w:lineRule="exact"/>
    </w:pPr>
    <w:rPr>
      <w:rFonts w:ascii="宋体" w:hAnsi="宋体" w:eastAsia="黑体"/>
      <w:sz w:val="30"/>
      <w:szCs w:val="20"/>
    </w:rPr>
  </w:style>
  <w:style w:type="paragraph" w:customStyle="1" w:styleId="2017">
    <w:name w:val="Char22"/>
    <w:basedOn w:val="1"/>
    <w:qFormat/>
    <w:uiPriority w:val="0"/>
    <w:rPr>
      <w:sz w:val="24"/>
    </w:rPr>
  </w:style>
  <w:style w:type="paragraph" w:customStyle="1" w:styleId="2018">
    <w:name w:val="Char Char Char Char Char Char12"/>
    <w:basedOn w:val="1"/>
    <w:semiHidden/>
    <w:qFormat/>
    <w:uiPriority w:val="99"/>
    <w:rPr>
      <w:sz w:val="24"/>
    </w:rPr>
  </w:style>
  <w:style w:type="paragraph" w:customStyle="1" w:styleId="2019">
    <w:name w:val="正文31"/>
    <w:basedOn w:val="1"/>
    <w:semiHidden/>
    <w:qFormat/>
    <w:uiPriority w:val="99"/>
    <w:pPr>
      <w:tabs>
        <w:tab w:val="left" w:pos="1320"/>
        <w:tab w:val="left" w:pos="1800"/>
      </w:tabs>
      <w:spacing w:before="40" w:after="40"/>
      <w:ind w:left="1320" w:right="24" w:hanging="720"/>
    </w:pPr>
    <w:rPr>
      <w:rFonts w:ascii="PMingLiU" w:hAnsi="PMingLiU" w:eastAsia="PMingLiU"/>
      <w:sz w:val="24"/>
      <w:szCs w:val="20"/>
      <w:lang w:eastAsia="zh-TW"/>
    </w:rPr>
  </w:style>
  <w:style w:type="paragraph" w:customStyle="1" w:styleId="2020">
    <w:name w:val="批注主题12"/>
    <w:basedOn w:val="29"/>
    <w:next w:val="29"/>
    <w:semiHidden/>
    <w:qFormat/>
    <w:uiPriority w:val="99"/>
    <w:pPr>
      <w:spacing w:line="240" w:lineRule="auto"/>
      <w:ind w:firstLine="0" w:firstLineChars="0"/>
      <w:textAlignment w:val="auto"/>
    </w:pPr>
    <w:rPr>
      <w:rFonts w:hint="eastAsia" w:ascii="宋体" w:hAnsi="宋体"/>
      <w:b/>
      <w:kern w:val="2"/>
    </w:rPr>
  </w:style>
  <w:style w:type="paragraph" w:customStyle="1" w:styleId="2021">
    <w:name w:val="批注框文本12"/>
    <w:basedOn w:val="1"/>
    <w:semiHidden/>
    <w:qFormat/>
    <w:uiPriority w:val="99"/>
    <w:pPr>
      <w:spacing w:after="120" w:line="440" w:lineRule="exact"/>
    </w:pPr>
    <w:rPr>
      <w:rFonts w:ascii="Arial" w:hAnsi="Arial"/>
      <w:kern w:val="0"/>
      <w:sz w:val="18"/>
      <w:szCs w:val="20"/>
    </w:rPr>
  </w:style>
  <w:style w:type="paragraph" w:customStyle="1" w:styleId="2022">
    <w:name w:val="标题 412"/>
    <w:basedOn w:val="1"/>
    <w:next w:val="1"/>
    <w:semiHidden/>
    <w:qFormat/>
    <w:uiPriority w:val="99"/>
    <w:pPr>
      <w:adjustRightInd w:val="0"/>
      <w:snapToGrid w:val="0"/>
    </w:pPr>
    <w:rPr>
      <w:rFonts w:ascii="宋体" w:hAnsi="宋体"/>
      <w:sz w:val="32"/>
      <w:szCs w:val="20"/>
    </w:rPr>
  </w:style>
  <w:style w:type="paragraph" w:customStyle="1" w:styleId="2023">
    <w:name w:val="列表22"/>
    <w:basedOn w:val="1"/>
    <w:semiHidden/>
    <w:qFormat/>
    <w:uiPriority w:val="99"/>
    <w:pPr>
      <w:spacing w:line="360" w:lineRule="exact"/>
      <w:jc w:val="center"/>
    </w:pPr>
    <w:rPr>
      <w:rFonts w:eastAsia="仿宋_GB2312"/>
      <w:sz w:val="24"/>
      <w:szCs w:val="20"/>
    </w:rPr>
  </w:style>
  <w:style w:type="paragraph" w:customStyle="1" w:styleId="2024">
    <w:name w:val="正文首行缩进32"/>
    <w:basedOn w:val="22"/>
    <w:semiHidden/>
    <w:qFormat/>
    <w:uiPriority w:val="99"/>
    <w:pPr>
      <w:widowControl/>
      <w:tabs>
        <w:tab w:val="left" w:pos="1134"/>
        <w:tab w:val="left" w:pos="1287"/>
      </w:tabs>
      <w:adjustRightInd w:val="0"/>
      <w:spacing w:line="360" w:lineRule="auto"/>
      <w:ind w:firstLine="567"/>
    </w:pPr>
    <w:rPr>
      <w:rFonts w:ascii="Garamond" w:hAnsi="Garamond"/>
      <w:sz w:val="28"/>
      <w:szCs w:val="20"/>
    </w:rPr>
  </w:style>
  <w:style w:type="paragraph" w:customStyle="1" w:styleId="2025">
    <w:name w:val="Char Char Char1 Char Char Char Char Char Char Char Char Char Char Char Char Char Char Char Char Char Char Char1"/>
    <w:basedOn w:val="1"/>
    <w:semiHidden/>
    <w:qFormat/>
    <w:uiPriority w:val="99"/>
    <w:rPr>
      <w:sz w:val="24"/>
    </w:rPr>
  </w:style>
  <w:style w:type="paragraph" w:customStyle="1" w:styleId="2026">
    <w:name w:val="Char Char Char Char Char Char Char Char Char Char Char Char Char Char Char Char Char Char Char Char Char Char2"/>
    <w:basedOn w:val="1"/>
    <w:next w:val="1"/>
    <w:semiHidden/>
    <w:qFormat/>
    <w:uiPriority w:val="99"/>
    <w:pPr>
      <w:spacing w:line="360" w:lineRule="auto"/>
      <w:ind w:firstLine="200" w:firstLineChars="200"/>
      <w:jc w:val="center"/>
    </w:pPr>
    <w:rPr>
      <w:rFonts w:eastAsia="黑体"/>
      <w:szCs w:val="20"/>
    </w:rPr>
  </w:style>
  <w:style w:type="paragraph" w:customStyle="1" w:styleId="2027">
    <w:name w:val="Char Char Char Char Char Char1 Char2"/>
    <w:basedOn w:val="1"/>
    <w:semiHidden/>
    <w:qFormat/>
    <w:uiPriority w:val="99"/>
    <w:pPr>
      <w:spacing w:line="360" w:lineRule="auto"/>
      <w:ind w:firstLine="200" w:firstLineChars="200"/>
    </w:pPr>
    <w:rPr>
      <w:rFonts w:ascii="宋体" w:hAnsi="宋体" w:cs="宋体"/>
      <w:sz w:val="24"/>
    </w:rPr>
  </w:style>
  <w:style w:type="paragraph" w:customStyle="1" w:styleId="2028">
    <w:name w:val="字元 字元2"/>
    <w:basedOn w:val="1"/>
    <w:semiHidden/>
    <w:qFormat/>
    <w:uiPriority w:val="99"/>
    <w:rPr>
      <w:sz w:val="24"/>
    </w:rPr>
  </w:style>
  <w:style w:type="paragraph" w:customStyle="1" w:styleId="2029">
    <w:name w:val="Char4 Char Char Char Char Char Char Char Char Char Char Char Char Char Char Char Char Char1 Char Char Char Char Char Char1 Char Char Char Char Char Char Char Char Char Char Char Char Char Char Char Char Char Char Char2"/>
    <w:basedOn w:val="1"/>
    <w:semiHidden/>
    <w:qFormat/>
    <w:uiPriority w:val="99"/>
    <w:pPr>
      <w:spacing w:line="240" w:lineRule="exact"/>
      <w:ind w:firstLine="200" w:firstLineChars="200"/>
    </w:pPr>
    <w:rPr>
      <w:sz w:val="28"/>
      <w:szCs w:val="28"/>
    </w:rPr>
  </w:style>
  <w:style w:type="paragraph" w:customStyle="1" w:styleId="2030">
    <w:name w:val="Char1 Char Char Char Char Char Char Char Char2"/>
    <w:basedOn w:val="1"/>
    <w:semiHidden/>
    <w:qFormat/>
    <w:uiPriority w:val="99"/>
    <w:rPr>
      <w:sz w:val="24"/>
    </w:rPr>
  </w:style>
  <w:style w:type="paragraph" w:customStyle="1" w:styleId="2031">
    <w:name w:val="Char3 Char Char Char Char Char Char2"/>
    <w:basedOn w:val="1"/>
    <w:semiHidden/>
    <w:qFormat/>
    <w:uiPriority w:val="99"/>
    <w:rPr>
      <w:szCs w:val="21"/>
    </w:rPr>
  </w:style>
  <w:style w:type="paragraph" w:customStyle="1" w:styleId="2032">
    <w:name w:val="Char Char Char2 Char Char Char Char Char Char Char Char Char Char2"/>
    <w:basedOn w:val="1"/>
    <w:semiHidden/>
    <w:qFormat/>
    <w:uiPriority w:val="99"/>
    <w:rPr>
      <w:szCs w:val="21"/>
    </w:rPr>
  </w:style>
  <w:style w:type="paragraph" w:customStyle="1" w:styleId="2033">
    <w:name w:val="字元12"/>
    <w:basedOn w:val="1"/>
    <w:semiHidden/>
    <w:qFormat/>
    <w:uiPriority w:val="99"/>
    <w:rPr>
      <w:szCs w:val="21"/>
    </w:rPr>
  </w:style>
  <w:style w:type="paragraph" w:customStyle="1" w:styleId="2034">
    <w:name w:val="Char Char Char1 Char Char Char Char Char Char Char2"/>
    <w:basedOn w:val="1"/>
    <w:semiHidden/>
    <w:qFormat/>
    <w:uiPriority w:val="99"/>
    <w:rPr>
      <w:rFonts w:ascii="Tahoma" w:hAnsi="Tahoma"/>
      <w:sz w:val="24"/>
      <w:szCs w:val="20"/>
    </w:rPr>
  </w:style>
  <w:style w:type="paragraph" w:customStyle="1" w:styleId="2035">
    <w:name w:val="Char1 Char Char Char12"/>
    <w:basedOn w:val="1"/>
    <w:semiHidden/>
    <w:qFormat/>
    <w:uiPriority w:val="99"/>
    <w:rPr>
      <w:sz w:val="24"/>
    </w:rPr>
  </w:style>
  <w:style w:type="paragraph" w:customStyle="1" w:styleId="2036">
    <w:name w:val="Char1 Char Char Char Char Char Char Char Char Char1 Char Char Char Char Char Char2"/>
    <w:basedOn w:val="1"/>
    <w:semiHidden/>
    <w:qFormat/>
    <w:uiPriority w:val="99"/>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037">
    <w:name w:val="Char Char Char Char Char Char Char Char Char Char Char2"/>
    <w:basedOn w:val="1"/>
    <w:semiHidden/>
    <w:qFormat/>
    <w:uiPriority w:val="99"/>
    <w:rPr>
      <w:sz w:val="24"/>
    </w:rPr>
  </w:style>
  <w:style w:type="paragraph" w:customStyle="1" w:styleId="2038">
    <w:name w:val="Char2 Char Char Char Char Char Char2"/>
    <w:basedOn w:val="1"/>
    <w:semiHidden/>
    <w:qFormat/>
    <w:uiPriority w:val="99"/>
    <w:rPr>
      <w:sz w:val="24"/>
    </w:rPr>
  </w:style>
  <w:style w:type="paragraph" w:customStyle="1" w:styleId="2039">
    <w:name w:val="Char42"/>
    <w:basedOn w:val="1"/>
    <w:qFormat/>
    <w:uiPriority w:val="0"/>
    <w:rPr>
      <w:rFonts w:ascii="宋体" w:hAnsi="宋体" w:cs="宋体"/>
      <w:color w:val="000000"/>
      <w:kern w:val="0"/>
      <w:sz w:val="24"/>
    </w:rPr>
  </w:style>
  <w:style w:type="paragraph" w:customStyle="1" w:styleId="2040">
    <w:name w:val="Char Char Char1 Char Char Char Char Char Char Char Char Char Char Char Char Char2"/>
    <w:basedOn w:val="1"/>
    <w:semiHidden/>
    <w:qFormat/>
    <w:uiPriority w:val="99"/>
    <w:rPr>
      <w:sz w:val="24"/>
    </w:rPr>
  </w:style>
  <w:style w:type="paragraph" w:customStyle="1" w:styleId="2041">
    <w:name w:val="Char4 Char Char Char Char Char Char Char Char Char2"/>
    <w:basedOn w:val="1"/>
    <w:semiHidden/>
    <w:qFormat/>
    <w:uiPriority w:val="99"/>
    <w:rPr>
      <w:sz w:val="24"/>
    </w:rPr>
  </w:style>
  <w:style w:type="paragraph" w:customStyle="1" w:styleId="2042">
    <w:name w:val="Char Char Char Char Char Char Char Char Char1 Char Char Char Char Char Char Char2"/>
    <w:basedOn w:val="1"/>
    <w:semiHidden/>
    <w:qFormat/>
    <w:uiPriority w:val="99"/>
    <w:pPr>
      <w:snapToGrid w:val="0"/>
      <w:spacing w:line="360" w:lineRule="auto"/>
      <w:ind w:firstLine="200" w:firstLineChars="200"/>
    </w:pPr>
    <w:rPr>
      <w:rFonts w:eastAsia="仿宋_GB2312"/>
      <w:sz w:val="24"/>
    </w:rPr>
  </w:style>
  <w:style w:type="paragraph" w:customStyle="1" w:styleId="2043">
    <w:name w:val="Char Char Char1 Char Char2"/>
    <w:basedOn w:val="1"/>
    <w:semiHidden/>
    <w:qFormat/>
    <w:uiPriority w:val="99"/>
    <w:rPr>
      <w:rFonts w:ascii="宋体" w:hAnsi="宋体" w:cs="宋体"/>
      <w:color w:val="000000"/>
      <w:kern w:val="0"/>
      <w:sz w:val="24"/>
    </w:rPr>
  </w:style>
  <w:style w:type="paragraph" w:customStyle="1" w:styleId="2044">
    <w:name w:val="(文字) (文字)2"/>
    <w:basedOn w:val="1"/>
    <w:semiHidden/>
    <w:qFormat/>
    <w:uiPriority w:val="99"/>
    <w:rPr>
      <w:sz w:val="24"/>
    </w:rPr>
  </w:style>
  <w:style w:type="paragraph" w:customStyle="1" w:styleId="2045">
    <w:name w:val="Char2 Char Char Char2"/>
    <w:basedOn w:val="1"/>
    <w:semiHidden/>
    <w:qFormat/>
    <w:uiPriority w:val="99"/>
    <w:rPr>
      <w:sz w:val="24"/>
    </w:rPr>
  </w:style>
  <w:style w:type="paragraph" w:customStyle="1" w:styleId="2046">
    <w:name w:val="Char2 Char Char1 Char Char Char Char Char Char Char Char Char Char2"/>
    <w:basedOn w:val="1"/>
    <w:semiHidden/>
    <w:qFormat/>
    <w:uiPriority w:val="99"/>
    <w:rPr>
      <w:sz w:val="24"/>
    </w:rPr>
  </w:style>
  <w:style w:type="paragraph" w:customStyle="1" w:styleId="2047">
    <w:name w:val="Char2 Char Char2"/>
    <w:basedOn w:val="1"/>
    <w:semiHidden/>
    <w:qFormat/>
    <w:uiPriority w:val="99"/>
    <w:rPr>
      <w:sz w:val="24"/>
    </w:rPr>
  </w:style>
  <w:style w:type="paragraph" w:customStyle="1" w:styleId="2048">
    <w:name w:val="Char2 Char Char1 Char Char Char2"/>
    <w:basedOn w:val="1"/>
    <w:semiHidden/>
    <w:qFormat/>
    <w:uiPriority w:val="99"/>
    <w:rPr>
      <w:sz w:val="24"/>
    </w:rPr>
  </w:style>
  <w:style w:type="paragraph" w:customStyle="1" w:styleId="2049">
    <w:name w:val="Char4 Char Char Char Char Char2"/>
    <w:basedOn w:val="1"/>
    <w:semiHidden/>
    <w:qFormat/>
    <w:uiPriority w:val="99"/>
    <w:rPr>
      <w:sz w:val="24"/>
    </w:rPr>
  </w:style>
  <w:style w:type="paragraph" w:customStyle="1" w:styleId="2050">
    <w:name w:val="Char2 Char Char1 Char Char Char Char2"/>
    <w:basedOn w:val="1"/>
    <w:semiHidden/>
    <w:qFormat/>
    <w:uiPriority w:val="99"/>
    <w:rPr>
      <w:sz w:val="24"/>
    </w:rPr>
  </w:style>
  <w:style w:type="paragraph" w:customStyle="1" w:styleId="2051">
    <w:name w:val="Char Char Char Char Char Char Char Char Char Char Char Char Char Char Char Char2"/>
    <w:basedOn w:val="27"/>
    <w:semiHidden/>
    <w:qFormat/>
    <w:uiPriority w:val="99"/>
    <w:pPr>
      <w:adjustRightInd w:val="0"/>
      <w:spacing w:line="436" w:lineRule="exact"/>
      <w:ind w:left="357"/>
      <w:jc w:val="left"/>
      <w:outlineLvl w:val="3"/>
    </w:pPr>
    <w:rPr>
      <w:rFonts w:ascii="Tahoma" w:hAnsi="Tahoma"/>
      <w:b/>
      <w:sz w:val="24"/>
    </w:rPr>
  </w:style>
  <w:style w:type="paragraph" w:customStyle="1" w:styleId="2052">
    <w:name w:val="Char Char Char Char1 Char Char Char Char Char Char Char2"/>
    <w:basedOn w:val="1"/>
    <w:semiHidden/>
    <w:qFormat/>
    <w:uiPriority w:val="99"/>
    <w:pPr>
      <w:tabs>
        <w:tab w:val="left" w:pos="360"/>
      </w:tabs>
      <w:snapToGrid w:val="0"/>
      <w:spacing w:line="360" w:lineRule="auto"/>
    </w:pPr>
    <w:rPr>
      <w:rFonts w:eastAsia="仿宋_GB2312" w:cs="宋体"/>
      <w:sz w:val="24"/>
    </w:rPr>
  </w:style>
  <w:style w:type="paragraph" w:customStyle="1" w:styleId="2053">
    <w:name w:val="Char Char Char1 Char Char Char Char Char Char2"/>
    <w:basedOn w:val="1"/>
    <w:semiHidden/>
    <w:qFormat/>
    <w:uiPriority w:val="99"/>
    <w:rPr>
      <w:sz w:val="24"/>
    </w:rPr>
  </w:style>
  <w:style w:type="paragraph" w:customStyle="1" w:styleId="2054">
    <w:name w:val="Char Char Char Char1 Char Char Char2"/>
    <w:basedOn w:val="1"/>
    <w:qFormat/>
    <w:uiPriority w:val="0"/>
    <w:rPr>
      <w:sz w:val="24"/>
    </w:rPr>
  </w:style>
  <w:style w:type="paragraph" w:customStyle="1" w:styleId="2055">
    <w:name w:val="Char Char Char1 Char Char Char Char Char Char Char Char2"/>
    <w:basedOn w:val="1"/>
    <w:semiHidden/>
    <w:qFormat/>
    <w:uiPriority w:val="99"/>
  </w:style>
  <w:style w:type="paragraph" w:customStyle="1" w:styleId="2056">
    <w:name w:val="Char Char Char1 Char Char Char2"/>
    <w:basedOn w:val="1"/>
    <w:semiHidden/>
    <w:qFormat/>
    <w:uiPriority w:val="99"/>
    <w:pPr>
      <w:tabs>
        <w:tab w:val="left" w:pos="0"/>
      </w:tabs>
      <w:jc w:val="left"/>
    </w:pPr>
    <w:rPr>
      <w:sz w:val="24"/>
    </w:rPr>
  </w:style>
  <w:style w:type="paragraph" w:customStyle="1" w:styleId="2057">
    <w:name w:val="Char Char Char Char1 Char Char Char Char Char Char Char Char Char Char Char Char2"/>
    <w:basedOn w:val="1"/>
    <w:semiHidden/>
    <w:qFormat/>
    <w:uiPriority w:val="99"/>
    <w:pPr>
      <w:tabs>
        <w:tab w:val="left" w:pos="0"/>
      </w:tabs>
      <w:jc w:val="left"/>
    </w:pPr>
    <w:rPr>
      <w:sz w:val="24"/>
    </w:rPr>
  </w:style>
  <w:style w:type="paragraph" w:customStyle="1" w:styleId="2058">
    <w:name w:val="Char3 Char Char Char3"/>
    <w:basedOn w:val="1"/>
    <w:semiHidden/>
    <w:qFormat/>
    <w:uiPriority w:val="99"/>
    <w:rPr>
      <w:sz w:val="24"/>
    </w:rPr>
  </w:style>
  <w:style w:type="paragraph" w:customStyle="1" w:styleId="2059">
    <w:name w:val="Char2 Char Char1 Char2"/>
    <w:basedOn w:val="1"/>
    <w:semiHidden/>
    <w:qFormat/>
    <w:uiPriority w:val="99"/>
    <w:rPr>
      <w:sz w:val="24"/>
    </w:rPr>
  </w:style>
  <w:style w:type="paragraph" w:customStyle="1" w:styleId="2060">
    <w:name w:val="Char Char Char Char Char Char Char Char Char1 Char Char Char2"/>
    <w:basedOn w:val="1"/>
    <w:semiHidden/>
    <w:qFormat/>
    <w:uiPriority w:val="99"/>
    <w:rPr>
      <w:sz w:val="24"/>
    </w:rPr>
  </w:style>
  <w:style w:type="paragraph" w:customStyle="1" w:styleId="2061">
    <w:name w:val="Char Char Char Char Char Char Char Char Char1 Char Char Char Char Char Char2"/>
    <w:basedOn w:val="1"/>
    <w:semiHidden/>
    <w:qFormat/>
    <w:uiPriority w:val="99"/>
    <w:rPr>
      <w:sz w:val="24"/>
    </w:rPr>
  </w:style>
  <w:style w:type="paragraph" w:customStyle="1" w:styleId="2062">
    <w:name w:val="Char Char162"/>
    <w:basedOn w:val="1"/>
    <w:semiHidden/>
    <w:qFormat/>
    <w:uiPriority w:val="99"/>
    <w:rPr>
      <w:sz w:val="24"/>
    </w:rPr>
  </w:style>
  <w:style w:type="paragraph" w:customStyle="1" w:styleId="2063">
    <w:name w:val="Char1 Char Char Char Char Char Char1 Char Char Char2"/>
    <w:basedOn w:val="1"/>
    <w:next w:val="1"/>
    <w:semiHidden/>
    <w:qFormat/>
    <w:uiPriority w:val="99"/>
    <w:pPr>
      <w:spacing w:line="360" w:lineRule="auto"/>
      <w:ind w:firstLine="200" w:firstLineChars="200"/>
      <w:jc w:val="center"/>
    </w:pPr>
    <w:rPr>
      <w:rFonts w:eastAsia="黑体"/>
      <w:szCs w:val="20"/>
    </w:rPr>
  </w:style>
  <w:style w:type="paragraph" w:customStyle="1" w:styleId="2064">
    <w:name w:val="pic-info"/>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2065">
    <w:name w:val="样式 标题 3style3h3H3sect1.2.3标题 3 Char Charsect1.2.31sect1.2..."/>
    <w:basedOn w:val="6"/>
    <w:semiHidden/>
    <w:qFormat/>
    <w:uiPriority w:val="99"/>
    <w:pPr>
      <w:keepLines w:val="0"/>
      <w:numPr>
        <w:ilvl w:val="0"/>
        <w:numId w:val="0"/>
      </w:numPr>
      <w:tabs>
        <w:tab w:val="left" w:pos="1129"/>
      </w:tabs>
      <w:adjustRightInd/>
      <w:snapToGrid/>
      <w:spacing w:beforeLines="50" w:afterLines="50" w:line="240" w:lineRule="auto"/>
      <w:ind w:left="1129" w:hanging="709"/>
      <w:jc w:val="left"/>
    </w:pPr>
    <w:rPr>
      <w:rFonts w:cs="宋体"/>
      <w:b/>
      <w:bCs w:val="0"/>
      <w:kern w:val="28"/>
      <w:sz w:val="28"/>
      <w:szCs w:val="20"/>
    </w:rPr>
  </w:style>
  <w:style w:type="paragraph" w:customStyle="1" w:styleId="2066">
    <w:name w:val="样式 标题 2Chapter Titlek标题 21节标题 1.11.1标题2b21.1 + Times New ..."/>
    <w:basedOn w:val="5"/>
    <w:semiHidden/>
    <w:qFormat/>
    <w:uiPriority w:val="99"/>
    <w:pPr>
      <w:widowControl/>
      <w:numPr>
        <w:ilvl w:val="0"/>
        <w:numId w:val="0"/>
      </w:numPr>
      <w:autoSpaceDE w:val="0"/>
      <w:autoSpaceDN w:val="0"/>
      <w:spacing w:beforeLines="0" w:afterLines="0"/>
      <w:ind w:right="100" w:rightChars="100" w:firstLine="200" w:firstLineChars="200"/>
    </w:pPr>
    <w:rPr>
      <w:caps/>
      <w:color w:val="000000"/>
      <w:kern w:val="20"/>
      <w:sz w:val="28"/>
      <w:szCs w:val="20"/>
    </w:rPr>
  </w:style>
  <w:style w:type="paragraph" w:customStyle="1" w:styleId="2067">
    <w:name w:val="Char Char Char Char Char Char Char Char Char1 Char1"/>
    <w:basedOn w:val="1"/>
    <w:semiHidden/>
    <w:qFormat/>
    <w:uiPriority w:val="99"/>
    <w:rPr>
      <w:sz w:val="24"/>
    </w:rPr>
  </w:style>
  <w:style w:type="paragraph" w:customStyle="1" w:styleId="2068">
    <w:name w:val="Char2 Char Char Char Char Char Char Char Char Char Char Char1 Char Char Char Char Char Char Char1"/>
    <w:basedOn w:val="1"/>
    <w:semiHidden/>
    <w:qFormat/>
    <w:uiPriority w:val="99"/>
    <w:rPr>
      <w:sz w:val="24"/>
    </w:rPr>
  </w:style>
  <w:style w:type="paragraph" w:customStyle="1" w:styleId="2069">
    <w:name w:val="Char Char Char Char Char Char Char Char Char Char Char Char Char Char Char Char Char Char Char Char Char Char Char Char Char Char Char Char Char Char Char Char Char Char Char Char Char Char Char Char Char Char1"/>
    <w:basedOn w:val="1"/>
    <w:semiHidden/>
    <w:qFormat/>
    <w:uiPriority w:val="99"/>
    <w:rPr>
      <w:sz w:val="24"/>
    </w:rPr>
  </w:style>
  <w:style w:type="paragraph" w:customStyle="1" w:styleId="2070">
    <w:name w:val="Char Char1 Char Char Char1 Char Char Char Char Char Char Char Char Char Char1"/>
    <w:basedOn w:val="1"/>
    <w:semiHidden/>
    <w:qFormat/>
    <w:uiPriority w:val="99"/>
    <w:rPr>
      <w:sz w:val="24"/>
    </w:rPr>
  </w:style>
  <w:style w:type="paragraph" w:customStyle="1" w:styleId="2071">
    <w:name w:val="Char3 Char Char Char1 Char Char1 Char Char Char1 Char Char Char Char Char Char1"/>
    <w:basedOn w:val="1"/>
    <w:semiHidden/>
    <w:qFormat/>
    <w:uiPriority w:val="99"/>
    <w:rPr>
      <w:szCs w:val="21"/>
    </w:rPr>
  </w:style>
  <w:style w:type="paragraph" w:customStyle="1" w:styleId="2072">
    <w:name w:val="Char5"/>
    <w:basedOn w:val="1"/>
    <w:qFormat/>
    <w:uiPriority w:val="0"/>
    <w:pPr>
      <w:spacing w:line="360" w:lineRule="auto"/>
      <w:ind w:firstLine="200" w:firstLineChars="200"/>
    </w:pPr>
    <w:rPr>
      <w:sz w:val="24"/>
    </w:rPr>
  </w:style>
  <w:style w:type="paragraph" w:customStyle="1" w:styleId="2073">
    <w:name w:val="Char2 Char Char Char Char Char2"/>
    <w:basedOn w:val="1"/>
    <w:semiHidden/>
    <w:qFormat/>
    <w:uiPriority w:val="99"/>
    <w:pPr>
      <w:snapToGrid w:val="0"/>
      <w:spacing w:line="360" w:lineRule="auto"/>
      <w:ind w:firstLine="200" w:firstLineChars="200"/>
    </w:pPr>
    <w:rPr>
      <w:rFonts w:eastAsia="仿宋_GB2312"/>
      <w:sz w:val="24"/>
    </w:rPr>
  </w:style>
  <w:style w:type="paragraph" w:customStyle="1" w:styleId="2074">
    <w:name w:val="Char3 Char Char Char Char Char Char Char Char1"/>
    <w:basedOn w:val="1"/>
    <w:semiHidden/>
    <w:qFormat/>
    <w:uiPriority w:val="99"/>
    <w:rPr>
      <w:szCs w:val="21"/>
    </w:rPr>
  </w:style>
  <w:style w:type="paragraph" w:customStyle="1" w:styleId="2075">
    <w:name w:val="Char3 Char Char Char Char Char Char Char Char Char Char Char1"/>
    <w:basedOn w:val="1"/>
    <w:semiHidden/>
    <w:qFormat/>
    <w:uiPriority w:val="99"/>
    <w:rPr>
      <w:szCs w:val="21"/>
    </w:rPr>
  </w:style>
  <w:style w:type="paragraph" w:customStyle="1" w:styleId="2076">
    <w:name w:val="Char3 Char Char Char Char Char Char Char Char Char Char Char Char1"/>
    <w:basedOn w:val="1"/>
    <w:semiHidden/>
    <w:qFormat/>
    <w:uiPriority w:val="99"/>
    <w:rPr>
      <w:szCs w:val="21"/>
    </w:rPr>
  </w:style>
  <w:style w:type="paragraph" w:customStyle="1" w:styleId="2077">
    <w:name w:val="Char3 Char Char Char Char Char Char Char Char Char1"/>
    <w:basedOn w:val="1"/>
    <w:semiHidden/>
    <w:qFormat/>
    <w:uiPriority w:val="99"/>
    <w:rPr>
      <w:szCs w:val="21"/>
    </w:rPr>
  </w:style>
  <w:style w:type="paragraph" w:customStyle="1" w:styleId="2078">
    <w:name w:val="Char Char Char Char Char Char Char Char Char Char Char Char Char Char Char Char Char Char Char Char Char Char Char Char Char Char Char Char Char Char Char Char Char Char Char Char Char1"/>
    <w:basedOn w:val="1"/>
    <w:semiHidden/>
    <w:qFormat/>
    <w:uiPriority w:val="99"/>
    <w:rPr>
      <w:sz w:val="24"/>
    </w:rPr>
  </w:style>
  <w:style w:type="paragraph" w:customStyle="1" w:styleId="2079">
    <w:name w:val="Char Char Char3"/>
    <w:basedOn w:val="1"/>
    <w:semiHidden/>
    <w:qFormat/>
    <w:uiPriority w:val="99"/>
    <w:rPr>
      <w:szCs w:val="21"/>
    </w:rPr>
  </w:style>
  <w:style w:type="paragraph" w:customStyle="1" w:styleId="2080">
    <w:name w:val="Char Char1 Char Char Char1 Char Char Char Char1"/>
    <w:basedOn w:val="1"/>
    <w:semiHidden/>
    <w:qFormat/>
    <w:uiPriority w:val="99"/>
    <w:rPr>
      <w:sz w:val="24"/>
    </w:rPr>
  </w:style>
  <w:style w:type="paragraph" w:customStyle="1" w:styleId="2081">
    <w:name w:val="Char3 Char Char Char1 Char Char2"/>
    <w:basedOn w:val="1"/>
    <w:semiHidden/>
    <w:qFormat/>
    <w:uiPriority w:val="99"/>
    <w:rPr>
      <w:szCs w:val="21"/>
    </w:rPr>
  </w:style>
  <w:style w:type="paragraph" w:customStyle="1" w:styleId="2082">
    <w:name w:val="Char3 Char Char Char Char Char Char Char Char Char Char Char Char Char Char1"/>
    <w:basedOn w:val="1"/>
    <w:semiHidden/>
    <w:qFormat/>
    <w:uiPriority w:val="99"/>
    <w:rPr>
      <w:szCs w:val="21"/>
    </w:rPr>
  </w:style>
  <w:style w:type="paragraph" w:customStyle="1" w:styleId="2083">
    <w:name w:val="Char3 Char Char Char1 Char Char1 Char Char Char2"/>
    <w:basedOn w:val="1"/>
    <w:semiHidden/>
    <w:qFormat/>
    <w:uiPriority w:val="99"/>
    <w:rPr>
      <w:szCs w:val="21"/>
    </w:rPr>
  </w:style>
  <w:style w:type="paragraph" w:customStyle="1" w:styleId="2084">
    <w:name w:val="Char3 Char Char Char11"/>
    <w:basedOn w:val="1"/>
    <w:semiHidden/>
    <w:qFormat/>
    <w:uiPriority w:val="99"/>
    <w:rPr>
      <w:szCs w:val="21"/>
    </w:rPr>
  </w:style>
  <w:style w:type="paragraph" w:customStyle="1" w:styleId="2085">
    <w:name w:val="Char3 Char Char1"/>
    <w:basedOn w:val="1"/>
    <w:semiHidden/>
    <w:qFormat/>
    <w:uiPriority w:val="99"/>
    <w:rPr>
      <w:szCs w:val="21"/>
    </w:rPr>
  </w:style>
  <w:style w:type="paragraph" w:customStyle="1" w:styleId="2086">
    <w:name w:val="Char Char Char Char Char Char Char Char Char1 Char Char Char Char Char Char Char Char2"/>
    <w:basedOn w:val="1"/>
    <w:semiHidden/>
    <w:qFormat/>
    <w:uiPriority w:val="99"/>
    <w:pPr>
      <w:snapToGrid w:val="0"/>
      <w:spacing w:line="360" w:lineRule="auto"/>
      <w:ind w:firstLine="200" w:firstLineChars="200"/>
    </w:pPr>
    <w:rPr>
      <w:rFonts w:eastAsia="仿宋_GB2312"/>
      <w:sz w:val="24"/>
    </w:rPr>
  </w:style>
  <w:style w:type="paragraph" w:customStyle="1" w:styleId="2087">
    <w:name w:val="Char Char Char Char Char Char Char Char Char1 Char Char Char Char Char Char Char Char1 Char Char Char Char1"/>
    <w:basedOn w:val="1"/>
    <w:semiHidden/>
    <w:qFormat/>
    <w:uiPriority w:val="99"/>
    <w:pPr>
      <w:snapToGrid w:val="0"/>
      <w:spacing w:line="360" w:lineRule="auto"/>
      <w:ind w:firstLine="200" w:firstLineChars="200"/>
    </w:pPr>
    <w:rPr>
      <w:rFonts w:eastAsia="仿宋_GB2312"/>
      <w:sz w:val="24"/>
    </w:rPr>
  </w:style>
  <w:style w:type="paragraph" w:customStyle="1" w:styleId="2088">
    <w:name w:val="Char Char Char Char Char Char Char Char Char1 Char Char Char Char Char Char Char Char11"/>
    <w:basedOn w:val="1"/>
    <w:semiHidden/>
    <w:qFormat/>
    <w:uiPriority w:val="99"/>
    <w:pPr>
      <w:snapToGrid w:val="0"/>
      <w:spacing w:line="360" w:lineRule="auto"/>
      <w:ind w:firstLine="200" w:firstLineChars="200"/>
    </w:pPr>
    <w:rPr>
      <w:rFonts w:eastAsia="仿宋_GB2312"/>
      <w:sz w:val="24"/>
    </w:rPr>
  </w:style>
  <w:style w:type="paragraph" w:customStyle="1" w:styleId="2089">
    <w:name w:val="Char Char Char Char Char Char Char Char Char1 Char Char Char Char Char Char Char Char1 Char Char1"/>
    <w:basedOn w:val="1"/>
    <w:semiHidden/>
    <w:qFormat/>
    <w:uiPriority w:val="99"/>
    <w:pPr>
      <w:snapToGrid w:val="0"/>
      <w:spacing w:line="360" w:lineRule="auto"/>
      <w:ind w:firstLine="200" w:firstLineChars="200"/>
    </w:pPr>
    <w:rPr>
      <w:rFonts w:eastAsia="仿宋_GB2312"/>
      <w:sz w:val="24"/>
    </w:rPr>
  </w:style>
  <w:style w:type="paragraph" w:customStyle="1" w:styleId="2090">
    <w:name w:val="Char2 Char Char Char Char Char11"/>
    <w:basedOn w:val="1"/>
    <w:semiHidden/>
    <w:qFormat/>
    <w:uiPriority w:val="99"/>
    <w:pPr>
      <w:snapToGrid w:val="0"/>
      <w:spacing w:line="360" w:lineRule="auto"/>
      <w:ind w:firstLine="200" w:firstLineChars="200"/>
    </w:pPr>
    <w:rPr>
      <w:rFonts w:eastAsia="仿宋_GB2312"/>
      <w:sz w:val="24"/>
    </w:rPr>
  </w:style>
  <w:style w:type="paragraph" w:customStyle="1" w:styleId="2091">
    <w:name w:val="Char3 Char Char Char Char Char Char Char Char Char Char Char Char Char Char Char Char Char1"/>
    <w:basedOn w:val="1"/>
    <w:semiHidden/>
    <w:qFormat/>
    <w:uiPriority w:val="99"/>
    <w:rPr>
      <w:szCs w:val="21"/>
    </w:rPr>
  </w:style>
  <w:style w:type="paragraph" w:customStyle="1" w:styleId="2092">
    <w:name w:val="Char Char1 Char Char Char1 Char Char Char Char Char Char Char Char Char Char Char Char Char1"/>
    <w:basedOn w:val="1"/>
    <w:semiHidden/>
    <w:qFormat/>
    <w:uiPriority w:val="99"/>
    <w:rPr>
      <w:sz w:val="24"/>
    </w:rPr>
  </w:style>
  <w:style w:type="paragraph" w:customStyle="1" w:styleId="2093">
    <w:name w:val="Char Char1 Char Char Char Char Char Char Char1"/>
    <w:basedOn w:val="1"/>
    <w:semiHidden/>
    <w:qFormat/>
    <w:uiPriority w:val="99"/>
    <w:rPr>
      <w:szCs w:val="21"/>
    </w:rPr>
  </w:style>
  <w:style w:type="paragraph" w:customStyle="1" w:styleId="2094">
    <w:name w:val="Char3 Char Char Char1 Char Char1 Char1"/>
    <w:basedOn w:val="1"/>
    <w:semiHidden/>
    <w:qFormat/>
    <w:uiPriority w:val="99"/>
    <w:rPr>
      <w:szCs w:val="21"/>
    </w:rPr>
  </w:style>
  <w:style w:type="paragraph" w:customStyle="1" w:styleId="2095">
    <w:name w:val="Char Char1 Char Char Char Char Char Char Char Char Char1"/>
    <w:basedOn w:val="1"/>
    <w:semiHidden/>
    <w:qFormat/>
    <w:uiPriority w:val="99"/>
    <w:rPr>
      <w:szCs w:val="21"/>
    </w:rPr>
  </w:style>
  <w:style w:type="paragraph" w:customStyle="1" w:styleId="2096">
    <w:name w:val="Char3 Char Char Char1 Char Char1 Char Char Char11"/>
    <w:basedOn w:val="1"/>
    <w:semiHidden/>
    <w:qFormat/>
    <w:uiPriority w:val="99"/>
    <w:rPr>
      <w:szCs w:val="21"/>
    </w:rPr>
  </w:style>
  <w:style w:type="paragraph" w:customStyle="1" w:styleId="2097">
    <w:name w:val="Char3 Char Char Char1 Char Char11"/>
    <w:basedOn w:val="1"/>
    <w:semiHidden/>
    <w:qFormat/>
    <w:uiPriority w:val="99"/>
    <w:rPr>
      <w:szCs w:val="21"/>
    </w:rPr>
  </w:style>
  <w:style w:type="paragraph" w:customStyle="1" w:styleId="2098">
    <w:name w:val="Char3 Char Char Char1 Char Char1 Char Char Char1 Char Char Char1"/>
    <w:basedOn w:val="1"/>
    <w:semiHidden/>
    <w:qFormat/>
    <w:uiPriority w:val="99"/>
    <w:rPr>
      <w:szCs w:val="21"/>
    </w:rPr>
  </w:style>
  <w:style w:type="paragraph" w:customStyle="1" w:styleId="2099">
    <w:name w:val="Char Char Char Char Char Char Char Char Char1 Char Char Char Char1"/>
    <w:basedOn w:val="1"/>
    <w:semiHidden/>
    <w:qFormat/>
    <w:uiPriority w:val="99"/>
    <w:pPr>
      <w:spacing w:line="400" w:lineRule="exact"/>
    </w:pPr>
    <w:rPr>
      <w:szCs w:val="21"/>
    </w:rPr>
  </w:style>
  <w:style w:type="paragraph" w:customStyle="1" w:styleId="2100">
    <w:name w:val="Char Char Char Char Char1 Char1"/>
    <w:basedOn w:val="1"/>
    <w:semiHidden/>
    <w:qFormat/>
    <w:uiPriority w:val="99"/>
    <w:pPr>
      <w:widowControl/>
      <w:spacing w:after="160" w:line="240" w:lineRule="exact"/>
      <w:jc w:val="left"/>
    </w:pPr>
    <w:rPr>
      <w:rFonts w:ascii="Arial" w:hAnsi="Arial" w:eastAsia="Times New Roman" w:cs="Verdana"/>
      <w:b/>
      <w:kern w:val="0"/>
      <w:sz w:val="24"/>
      <w:lang w:eastAsia="en-US"/>
    </w:rPr>
  </w:style>
  <w:style w:type="paragraph" w:customStyle="1" w:styleId="2101">
    <w:name w:val="Char Char Char Char Char Char2"/>
    <w:basedOn w:val="1"/>
    <w:semiHidden/>
    <w:qFormat/>
    <w:uiPriority w:val="99"/>
    <w:pPr>
      <w:spacing w:line="300" w:lineRule="auto"/>
      <w:ind w:firstLine="200" w:firstLineChars="200"/>
    </w:pPr>
    <w:rPr>
      <w:rFonts w:cs="宋体"/>
      <w:sz w:val="24"/>
    </w:rPr>
  </w:style>
  <w:style w:type="paragraph" w:customStyle="1" w:styleId="2102">
    <w:name w:val="Char Char Char Char Char Char Char Char Char Char Char Char Char4"/>
    <w:basedOn w:val="1"/>
    <w:semiHidden/>
    <w:qFormat/>
    <w:uiPriority w:val="99"/>
  </w:style>
  <w:style w:type="paragraph" w:customStyle="1" w:styleId="2103">
    <w:name w:val="Char Char Char Char12"/>
    <w:basedOn w:val="1"/>
    <w:semiHidden/>
    <w:qFormat/>
    <w:uiPriority w:val="99"/>
    <w:pPr>
      <w:adjustRightInd w:val="0"/>
      <w:snapToGrid w:val="0"/>
      <w:spacing w:before="120" w:after="120" w:line="360" w:lineRule="auto"/>
      <w:ind w:firstLine="200" w:firstLineChars="200"/>
    </w:pPr>
    <w:rPr>
      <w:sz w:val="24"/>
    </w:rPr>
  </w:style>
  <w:style w:type="paragraph" w:customStyle="1" w:styleId="2104">
    <w:name w:val="Char Char Char Char Char Char Char Char Char Char Char Char1"/>
    <w:basedOn w:val="1"/>
    <w:semiHidden/>
    <w:qFormat/>
    <w:uiPriority w:val="99"/>
    <w:rPr>
      <w:sz w:val="24"/>
    </w:rPr>
  </w:style>
  <w:style w:type="paragraph" w:customStyle="1" w:styleId="2105">
    <w:name w:val="正文21"/>
    <w:basedOn w:val="1"/>
    <w:next w:val="22"/>
    <w:semiHidden/>
    <w:qFormat/>
    <w:uiPriority w:val="0"/>
    <w:pPr>
      <w:adjustRightInd w:val="0"/>
      <w:snapToGrid w:val="0"/>
      <w:spacing w:line="360" w:lineRule="atLeast"/>
    </w:pPr>
    <w:rPr>
      <w:rFonts w:ascii="宋体" w:hAnsi="宋体" w:eastAsia="黑体"/>
      <w:spacing w:val="5"/>
      <w:kern w:val="0"/>
      <w:sz w:val="32"/>
      <w:szCs w:val="20"/>
    </w:rPr>
  </w:style>
  <w:style w:type="paragraph" w:customStyle="1" w:styleId="2106">
    <w:name w:val="Char21"/>
    <w:basedOn w:val="1"/>
    <w:qFormat/>
    <w:uiPriority w:val="0"/>
    <w:rPr>
      <w:sz w:val="24"/>
    </w:rPr>
  </w:style>
  <w:style w:type="paragraph" w:customStyle="1" w:styleId="2107">
    <w:name w:val="正文缩进31"/>
    <w:basedOn w:val="1"/>
    <w:semiHidden/>
    <w:qFormat/>
    <w:uiPriority w:val="99"/>
    <w:pPr>
      <w:ind w:firstLine="420" w:firstLineChars="200"/>
    </w:pPr>
    <w:rPr>
      <w:szCs w:val="20"/>
    </w:rPr>
  </w:style>
  <w:style w:type="paragraph" w:customStyle="1" w:styleId="2108">
    <w:name w:val="批注主题11"/>
    <w:basedOn w:val="29"/>
    <w:next w:val="29"/>
    <w:semiHidden/>
    <w:qFormat/>
    <w:uiPriority w:val="99"/>
    <w:pPr>
      <w:spacing w:line="240" w:lineRule="auto"/>
      <w:ind w:firstLine="0" w:firstLineChars="0"/>
      <w:textAlignment w:val="auto"/>
    </w:pPr>
    <w:rPr>
      <w:rFonts w:hint="eastAsia" w:ascii="宋体" w:hAnsi="宋体"/>
      <w:b/>
      <w:kern w:val="2"/>
    </w:rPr>
  </w:style>
  <w:style w:type="paragraph" w:customStyle="1" w:styleId="2109">
    <w:name w:val="批注框文本11"/>
    <w:basedOn w:val="1"/>
    <w:semiHidden/>
    <w:qFormat/>
    <w:uiPriority w:val="99"/>
    <w:pPr>
      <w:spacing w:after="120" w:line="440" w:lineRule="exact"/>
    </w:pPr>
    <w:rPr>
      <w:rFonts w:ascii="Arial" w:hAnsi="Arial"/>
      <w:kern w:val="0"/>
      <w:sz w:val="18"/>
      <w:szCs w:val="20"/>
    </w:rPr>
  </w:style>
  <w:style w:type="paragraph" w:customStyle="1" w:styleId="2110">
    <w:name w:val="标题 411"/>
    <w:basedOn w:val="1"/>
    <w:next w:val="1"/>
    <w:semiHidden/>
    <w:qFormat/>
    <w:uiPriority w:val="99"/>
    <w:pPr>
      <w:adjustRightInd w:val="0"/>
      <w:snapToGrid w:val="0"/>
    </w:pPr>
    <w:rPr>
      <w:rFonts w:ascii="宋体" w:hAnsi="宋体"/>
      <w:sz w:val="32"/>
      <w:szCs w:val="20"/>
    </w:rPr>
  </w:style>
  <w:style w:type="paragraph" w:customStyle="1" w:styleId="2111">
    <w:name w:val="正文文本11"/>
    <w:basedOn w:val="1"/>
    <w:semiHidden/>
    <w:qFormat/>
    <w:uiPriority w:val="99"/>
    <w:pPr>
      <w:spacing w:after="120"/>
    </w:pPr>
    <w:rPr>
      <w:szCs w:val="20"/>
    </w:rPr>
  </w:style>
  <w:style w:type="paragraph" w:customStyle="1" w:styleId="2112">
    <w:name w:val="列表21"/>
    <w:basedOn w:val="1"/>
    <w:semiHidden/>
    <w:qFormat/>
    <w:uiPriority w:val="99"/>
    <w:pPr>
      <w:spacing w:line="360" w:lineRule="exact"/>
      <w:jc w:val="center"/>
    </w:pPr>
    <w:rPr>
      <w:rFonts w:eastAsia="仿宋_GB2312"/>
      <w:sz w:val="24"/>
      <w:szCs w:val="20"/>
    </w:rPr>
  </w:style>
  <w:style w:type="paragraph" w:customStyle="1" w:styleId="2113">
    <w:name w:val="Char1 Char Char Char Char Char Char11"/>
    <w:basedOn w:val="1"/>
    <w:next w:val="1"/>
    <w:semiHidden/>
    <w:qFormat/>
    <w:uiPriority w:val="99"/>
    <w:pPr>
      <w:spacing w:line="360" w:lineRule="auto"/>
      <w:ind w:firstLine="200" w:firstLineChars="200"/>
      <w:jc w:val="center"/>
    </w:pPr>
    <w:rPr>
      <w:rFonts w:eastAsia="黑体"/>
      <w:szCs w:val="20"/>
    </w:rPr>
  </w:style>
  <w:style w:type="paragraph" w:customStyle="1" w:styleId="2114">
    <w:name w:val="正文首行缩进31"/>
    <w:basedOn w:val="22"/>
    <w:semiHidden/>
    <w:qFormat/>
    <w:uiPriority w:val="99"/>
    <w:pPr>
      <w:widowControl/>
      <w:tabs>
        <w:tab w:val="left" w:pos="1134"/>
        <w:tab w:val="left" w:pos="1287"/>
      </w:tabs>
      <w:adjustRightInd w:val="0"/>
      <w:spacing w:line="360" w:lineRule="auto"/>
      <w:ind w:firstLine="480"/>
    </w:pPr>
    <w:rPr>
      <w:rFonts w:ascii="Garamond" w:hAnsi="Garamond"/>
      <w:sz w:val="28"/>
      <w:szCs w:val="20"/>
    </w:rPr>
  </w:style>
  <w:style w:type="paragraph" w:customStyle="1" w:styleId="2115">
    <w:name w:val="Char1 Char Char Char Char Char Char Char Char Char Char Char Char Char Char Char1"/>
    <w:basedOn w:val="1"/>
    <w:semiHidden/>
    <w:qFormat/>
    <w:uiPriority w:val="99"/>
  </w:style>
  <w:style w:type="paragraph" w:customStyle="1" w:styleId="2116">
    <w:name w:val="Char Char Char1 Char Char Char Char Char Char Char Char Char Char Char Char Char Char Char Char Char Char Char Char Char Char Char Char Char Char Char1"/>
    <w:basedOn w:val="1"/>
    <w:semiHidden/>
    <w:qFormat/>
    <w:uiPriority w:val="99"/>
    <w:pPr>
      <w:spacing w:line="360" w:lineRule="auto"/>
      <w:jc w:val="left"/>
    </w:pPr>
    <w:rPr>
      <w:sz w:val="24"/>
    </w:rPr>
  </w:style>
  <w:style w:type="paragraph" w:customStyle="1" w:styleId="2117">
    <w:name w:val="Char Char Char Char Char Char Char Char Char1 Char Char Char Char Char Char Char Char Char Char1"/>
    <w:basedOn w:val="1"/>
    <w:semiHidden/>
    <w:qFormat/>
    <w:uiPriority w:val="99"/>
    <w:rPr>
      <w:szCs w:val="21"/>
    </w:rPr>
  </w:style>
  <w:style w:type="paragraph" w:customStyle="1" w:styleId="2118">
    <w:name w:val="Char Char1 Char Char Char Char11"/>
    <w:basedOn w:val="1"/>
    <w:semiHidden/>
    <w:qFormat/>
    <w:uiPriority w:val="99"/>
    <w:rPr>
      <w:szCs w:val="20"/>
    </w:rPr>
  </w:style>
  <w:style w:type="paragraph" w:customStyle="1" w:styleId="2119">
    <w:name w:val="Char Char Char Char Char Char Char Char Char Char Char Char Char Char Char Char Char Char Char Char Char Char1"/>
    <w:basedOn w:val="1"/>
    <w:next w:val="1"/>
    <w:semiHidden/>
    <w:qFormat/>
    <w:uiPriority w:val="99"/>
    <w:pPr>
      <w:spacing w:line="360" w:lineRule="auto"/>
      <w:ind w:firstLine="200" w:firstLineChars="200"/>
      <w:jc w:val="center"/>
    </w:pPr>
    <w:rPr>
      <w:rFonts w:eastAsia="黑体"/>
      <w:szCs w:val="20"/>
    </w:rPr>
  </w:style>
  <w:style w:type="paragraph" w:customStyle="1" w:styleId="2120">
    <w:name w:val="Char Char3 Char1"/>
    <w:basedOn w:val="1"/>
    <w:next w:val="1"/>
    <w:semiHidden/>
    <w:qFormat/>
    <w:uiPriority w:val="99"/>
    <w:pPr>
      <w:spacing w:line="360" w:lineRule="auto"/>
      <w:ind w:firstLine="200" w:firstLineChars="200"/>
      <w:jc w:val="center"/>
    </w:pPr>
    <w:rPr>
      <w:rFonts w:eastAsia="黑体"/>
      <w:szCs w:val="20"/>
    </w:rPr>
  </w:style>
  <w:style w:type="paragraph" w:customStyle="1" w:styleId="2121">
    <w:name w:val="Char1 Char Char Char Char Char1"/>
    <w:basedOn w:val="1"/>
    <w:next w:val="1"/>
    <w:semiHidden/>
    <w:qFormat/>
    <w:uiPriority w:val="99"/>
    <w:pPr>
      <w:spacing w:line="360" w:lineRule="auto"/>
      <w:ind w:firstLine="200" w:firstLineChars="200"/>
      <w:jc w:val="center"/>
    </w:pPr>
    <w:rPr>
      <w:rFonts w:eastAsia="黑体"/>
      <w:szCs w:val="20"/>
    </w:rPr>
  </w:style>
  <w:style w:type="paragraph" w:customStyle="1" w:styleId="2122">
    <w:name w:val="Char Char Char Char Char Char1 Char1"/>
    <w:basedOn w:val="1"/>
    <w:semiHidden/>
    <w:qFormat/>
    <w:uiPriority w:val="99"/>
    <w:pPr>
      <w:spacing w:line="360" w:lineRule="auto"/>
      <w:ind w:firstLine="200" w:firstLineChars="200"/>
    </w:pPr>
    <w:rPr>
      <w:rFonts w:ascii="宋体" w:hAnsi="宋体" w:cs="宋体"/>
      <w:sz w:val="24"/>
    </w:rPr>
  </w:style>
  <w:style w:type="paragraph" w:customStyle="1" w:styleId="2123">
    <w:name w:val="Char Char Char Char Char Char Char Char Char2"/>
    <w:basedOn w:val="1"/>
    <w:semiHidden/>
    <w:qFormat/>
    <w:uiPriority w:val="99"/>
    <w:pPr>
      <w:spacing w:line="360" w:lineRule="auto"/>
      <w:ind w:firstLine="200" w:firstLineChars="200"/>
    </w:pPr>
    <w:rPr>
      <w:rFonts w:ascii="宋体" w:hAnsi="宋体" w:cs="宋体"/>
      <w:sz w:val="24"/>
    </w:rPr>
  </w:style>
  <w:style w:type="paragraph" w:customStyle="1" w:styleId="2124">
    <w:name w:val="Char Char Char Char Char Char Char Char Char Char Char Char Char Char Char Char Char Char Char Char Char Char Char Char Char Char Char Char Char Char Char Char Char Char Char Char Char Char Char Char1"/>
    <w:basedOn w:val="1"/>
    <w:semiHidden/>
    <w:qFormat/>
    <w:uiPriority w:val="99"/>
    <w:rPr>
      <w:sz w:val="24"/>
    </w:rPr>
  </w:style>
  <w:style w:type="paragraph" w:customStyle="1" w:styleId="2125">
    <w:name w:val="Char Char Char Char Char Char Char Char1 Char Char Char Char Char Char Char Char Char Char Char Char1 Char1"/>
    <w:basedOn w:val="1"/>
    <w:semiHidden/>
    <w:qFormat/>
    <w:uiPriority w:val="99"/>
    <w:rPr>
      <w:sz w:val="24"/>
    </w:rPr>
  </w:style>
  <w:style w:type="paragraph" w:customStyle="1" w:styleId="2126">
    <w:name w:val="Char Char Char Char1 Char Char Char Char Char Char1"/>
    <w:basedOn w:val="1"/>
    <w:next w:val="1"/>
    <w:semiHidden/>
    <w:qFormat/>
    <w:uiPriority w:val="99"/>
    <w:pPr>
      <w:spacing w:line="360" w:lineRule="auto"/>
      <w:ind w:firstLine="200" w:firstLineChars="200"/>
    </w:pPr>
    <w:rPr>
      <w:rFonts w:ascii="宋体" w:hAnsi="宋体" w:cs="宋体"/>
      <w:sz w:val="24"/>
    </w:rPr>
  </w:style>
  <w:style w:type="paragraph" w:customStyle="1" w:styleId="2127">
    <w:name w:val="Char Char Char1 Char1"/>
    <w:basedOn w:val="1"/>
    <w:qFormat/>
    <w:uiPriority w:val="0"/>
    <w:rPr>
      <w:sz w:val="24"/>
    </w:rPr>
  </w:style>
  <w:style w:type="paragraph" w:customStyle="1" w:styleId="2128">
    <w:name w:val="Char Char Char1 Char Char Char Char Char Char Char Char Char Char Char1"/>
    <w:basedOn w:val="1"/>
    <w:semiHidden/>
    <w:qFormat/>
    <w:uiPriority w:val="99"/>
  </w:style>
  <w:style w:type="paragraph" w:customStyle="1" w:styleId="2129">
    <w:name w:val="Char Char1 Char Char Char Char2"/>
    <w:basedOn w:val="1"/>
    <w:semiHidden/>
    <w:qFormat/>
    <w:uiPriority w:val="99"/>
    <w:rPr>
      <w:sz w:val="24"/>
    </w:rPr>
  </w:style>
  <w:style w:type="paragraph" w:customStyle="1" w:styleId="2130">
    <w:name w:val="Char1 Char Char1"/>
    <w:basedOn w:val="1"/>
    <w:semiHidden/>
    <w:qFormat/>
    <w:uiPriority w:val="99"/>
  </w:style>
  <w:style w:type="paragraph" w:customStyle="1" w:styleId="2131">
    <w:name w:val="Char1 Char Char Char2"/>
    <w:basedOn w:val="1"/>
    <w:semiHidden/>
    <w:qFormat/>
    <w:uiPriority w:val="99"/>
  </w:style>
  <w:style w:type="paragraph" w:customStyle="1" w:styleId="2132">
    <w:name w:val="Char1 Char Char Char Char Char Char2"/>
    <w:basedOn w:val="1"/>
    <w:semiHidden/>
    <w:qFormat/>
    <w:uiPriority w:val="99"/>
  </w:style>
  <w:style w:type="paragraph" w:customStyle="1" w:styleId="2133">
    <w:name w:val="Char1 Char Char Char Char Char Char Char Char Char Char Char Char1"/>
    <w:basedOn w:val="1"/>
    <w:qFormat/>
    <w:uiPriority w:val="0"/>
  </w:style>
  <w:style w:type="paragraph" w:customStyle="1" w:styleId="2134">
    <w:name w:val="Char2 Char Char Char Char Char Char Char Char Char Char Char Char Char Char Char Char Char Char Char Char Char1"/>
    <w:basedOn w:val="1"/>
    <w:semiHidden/>
    <w:qFormat/>
    <w:uiPriority w:val="99"/>
    <w:pPr>
      <w:spacing w:line="360" w:lineRule="auto"/>
      <w:ind w:firstLine="200" w:firstLineChars="200"/>
    </w:pPr>
    <w:rPr>
      <w:rFonts w:eastAsia="黑体"/>
      <w:sz w:val="28"/>
      <w:szCs w:val="28"/>
    </w:rPr>
  </w:style>
  <w:style w:type="paragraph" w:customStyle="1" w:styleId="2135">
    <w:name w:val="Char4 Char Char Char1"/>
    <w:basedOn w:val="1"/>
    <w:semiHidden/>
    <w:qFormat/>
    <w:uiPriority w:val="99"/>
    <w:rPr>
      <w:sz w:val="24"/>
    </w:rPr>
  </w:style>
  <w:style w:type="paragraph" w:customStyle="1" w:styleId="2136">
    <w:name w:val="字元 字元1"/>
    <w:basedOn w:val="1"/>
    <w:qFormat/>
    <w:uiPriority w:val="0"/>
    <w:rPr>
      <w:sz w:val="24"/>
    </w:rPr>
  </w:style>
  <w:style w:type="paragraph" w:customStyle="1" w:styleId="2137">
    <w:name w:val="Char4 Char Char Char Char Char Char Char Char Char Char Char Char Char Char Char Char Char1 Char Char Char Char Char Char1 Char Char Char Char Char Char Char Char Char Char Char Char Char Char Char Char Char Char Char1"/>
    <w:basedOn w:val="1"/>
    <w:semiHidden/>
    <w:qFormat/>
    <w:uiPriority w:val="99"/>
    <w:pPr>
      <w:spacing w:line="240" w:lineRule="exact"/>
      <w:ind w:firstLine="200" w:firstLineChars="200"/>
    </w:pPr>
    <w:rPr>
      <w:sz w:val="28"/>
      <w:szCs w:val="28"/>
    </w:rPr>
  </w:style>
  <w:style w:type="paragraph" w:customStyle="1" w:styleId="2138">
    <w:name w:val="Char1 Char Char Char Char Char Char Char Char1"/>
    <w:basedOn w:val="1"/>
    <w:semiHidden/>
    <w:qFormat/>
    <w:uiPriority w:val="99"/>
    <w:rPr>
      <w:sz w:val="24"/>
    </w:rPr>
  </w:style>
  <w:style w:type="paragraph" w:customStyle="1" w:styleId="2139">
    <w:name w:val="Char3 Char Char Char Char Char Char1"/>
    <w:basedOn w:val="1"/>
    <w:semiHidden/>
    <w:qFormat/>
    <w:uiPriority w:val="99"/>
    <w:rPr>
      <w:szCs w:val="21"/>
    </w:rPr>
  </w:style>
  <w:style w:type="paragraph" w:customStyle="1" w:styleId="2140">
    <w:name w:val="Char Char Char2 Char Char Char Char Char Char Char Char Char Char1"/>
    <w:basedOn w:val="1"/>
    <w:semiHidden/>
    <w:qFormat/>
    <w:uiPriority w:val="99"/>
    <w:rPr>
      <w:szCs w:val="21"/>
    </w:rPr>
  </w:style>
  <w:style w:type="paragraph" w:customStyle="1" w:styleId="2141">
    <w:name w:val="字元11"/>
    <w:basedOn w:val="1"/>
    <w:semiHidden/>
    <w:qFormat/>
    <w:uiPriority w:val="99"/>
    <w:rPr>
      <w:szCs w:val="21"/>
    </w:rPr>
  </w:style>
  <w:style w:type="paragraph" w:customStyle="1" w:styleId="2142">
    <w:name w:val="Char Char Char1 Char Char Char Char Char Char Char1"/>
    <w:basedOn w:val="1"/>
    <w:semiHidden/>
    <w:qFormat/>
    <w:uiPriority w:val="99"/>
    <w:rPr>
      <w:rFonts w:ascii="Tahoma" w:hAnsi="Tahoma"/>
      <w:sz w:val="24"/>
      <w:szCs w:val="20"/>
    </w:rPr>
  </w:style>
  <w:style w:type="paragraph" w:customStyle="1" w:styleId="2143">
    <w:name w:val="Char1 Char Char Char11"/>
    <w:basedOn w:val="1"/>
    <w:semiHidden/>
    <w:qFormat/>
    <w:uiPriority w:val="99"/>
    <w:rPr>
      <w:sz w:val="24"/>
    </w:rPr>
  </w:style>
  <w:style w:type="paragraph" w:customStyle="1" w:styleId="2144">
    <w:name w:val="Char Char1 Char1"/>
    <w:basedOn w:val="1"/>
    <w:semiHidden/>
    <w:qFormat/>
    <w:uiPriority w:val="99"/>
    <w:pPr>
      <w:widowControl/>
      <w:spacing w:after="160" w:line="240" w:lineRule="exact"/>
      <w:jc w:val="left"/>
    </w:pPr>
    <w:rPr>
      <w:rFonts w:ascii="Arial" w:hAnsi="Arial" w:eastAsia="Times New Roman" w:cs="Verdana"/>
      <w:b/>
      <w:kern w:val="0"/>
      <w:sz w:val="24"/>
      <w:szCs w:val="20"/>
      <w:lang w:eastAsia="en-US"/>
    </w:rPr>
  </w:style>
  <w:style w:type="paragraph" w:customStyle="1" w:styleId="2145">
    <w:name w:val="Char1 Char Char Char Char Char Char Char Char Char1 Char Char Char Char Char Char1"/>
    <w:basedOn w:val="1"/>
    <w:semiHidden/>
    <w:qFormat/>
    <w:uiPriority w:val="99"/>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146">
    <w:name w:val="Char Char Char Char Char Char Char Char Char Char Char1"/>
    <w:basedOn w:val="1"/>
    <w:semiHidden/>
    <w:qFormat/>
    <w:uiPriority w:val="99"/>
    <w:rPr>
      <w:sz w:val="24"/>
    </w:rPr>
  </w:style>
  <w:style w:type="paragraph" w:customStyle="1" w:styleId="2147">
    <w:name w:val="Char2 Char Char Char Char Char Char1"/>
    <w:basedOn w:val="1"/>
    <w:semiHidden/>
    <w:qFormat/>
    <w:uiPriority w:val="99"/>
    <w:rPr>
      <w:sz w:val="24"/>
    </w:rPr>
  </w:style>
  <w:style w:type="paragraph" w:customStyle="1" w:styleId="2148">
    <w:name w:val="Char41"/>
    <w:basedOn w:val="1"/>
    <w:qFormat/>
    <w:uiPriority w:val="0"/>
    <w:rPr>
      <w:rFonts w:ascii="宋体" w:hAnsi="宋体" w:cs="宋体"/>
      <w:color w:val="000000"/>
      <w:kern w:val="0"/>
      <w:sz w:val="24"/>
    </w:rPr>
  </w:style>
  <w:style w:type="paragraph" w:customStyle="1" w:styleId="2149">
    <w:name w:val="Char Char Char1 Char Char Char Char Char Char Char Char Char Char Char Char Char1"/>
    <w:basedOn w:val="1"/>
    <w:semiHidden/>
    <w:qFormat/>
    <w:uiPriority w:val="99"/>
    <w:rPr>
      <w:sz w:val="24"/>
    </w:rPr>
  </w:style>
  <w:style w:type="paragraph" w:customStyle="1" w:styleId="2150">
    <w:name w:val="Char4 Char Char Char Char Char Char Char Char Char1"/>
    <w:basedOn w:val="1"/>
    <w:qFormat/>
    <w:uiPriority w:val="0"/>
    <w:rPr>
      <w:sz w:val="24"/>
    </w:rPr>
  </w:style>
  <w:style w:type="paragraph" w:customStyle="1" w:styleId="2151">
    <w:name w:val="Char Char Char Char Char Char Char Char Char1 Char Char Char Char Char Char Char1"/>
    <w:basedOn w:val="1"/>
    <w:semiHidden/>
    <w:qFormat/>
    <w:uiPriority w:val="99"/>
    <w:pPr>
      <w:snapToGrid w:val="0"/>
      <w:spacing w:line="360" w:lineRule="auto"/>
      <w:ind w:firstLine="200" w:firstLineChars="200"/>
    </w:pPr>
    <w:rPr>
      <w:rFonts w:eastAsia="仿宋_GB2312"/>
      <w:sz w:val="24"/>
    </w:rPr>
  </w:style>
  <w:style w:type="paragraph" w:customStyle="1" w:styleId="2152">
    <w:name w:val="Char Char Char1 Char Char1"/>
    <w:basedOn w:val="1"/>
    <w:semiHidden/>
    <w:qFormat/>
    <w:uiPriority w:val="99"/>
    <w:rPr>
      <w:rFonts w:ascii="宋体" w:hAnsi="宋体" w:cs="宋体"/>
      <w:color w:val="000000"/>
      <w:kern w:val="0"/>
      <w:sz w:val="24"/>
    </w:rPr>
  </w:style>
  <w:style w:type="paragraph" w:customStyle="1" w:styleId="2153">
    <w:name w:val="(文字) (文字)1"/>
    <w:basedOn w:val="1"/>
    <w:semiHidden/>
    <w:qFormat/>
    <w:uiPriority w:val="99"/>
    <w:rPr>
      <w:sz w:val="24"/>
    </w:rPr>
  </w:style>
  <w:style w:type="paragraph" w:customStyle="1" w:styleId="2154">
    <w:name w:val="Char2 Char Char Char1"/>
    <w:basedOn w:val="1"/>
    <w:semiHidden/>
    <w:qFormat/>
    <w:uiPriority w:val="99"/>
    <w:rPr>
      <w:sz w:val="24"/>
    </w:rPr>
  </w:style>
  <w:style w:type="paragraph" w:customStyle="1" w:styleId="2155">
    <w:name w:val="Char2 Char Char1 Char Char Char Char Char Char Char Char Char Char1"/>
    <w:basedOn w:val="1"/>
    <w:semiHidden/>
    <w:qFormat/>
    <w:uiPriority w:val="99"/>
    <w:rPr>
      <w:sz w:val="24"/>
    </w:rPr>
  </w:style>
  <w:style w:type="paragraph" w:customStyle="1" w:styleId="2156">
    <w:name w:val="Char2 Char Char1"/>
    <w:basedOn w:val="1"/>
    <w:semiHidden/>
    <w:qFormat/>
    <w:uiPriority w:val="99"/>
    <w:rPr>
      <w:sz w:val="24"/>
    </w:rPr>
  </w:style>
  <w:style w:type="paragraph" w:customStyle="1" w:styleId="2157">
    <w:name w:val="Char2 Char Char1 Char Char Char1"/>
    <w:basedOn w:val="1"/>
    <w:semiHidden/>
    <w:qFormat/>
    <w:uiPriority w:val="99"/>
    <w:rPr>
      <w:sz w:val="24"/>
    </w:rPr>
  </w:style>
  <w:style w:type="paragraph" w:customStyle="1" w:styleId="2158">
    <w:name w:val="Char4 Char Char Char Char Char1"/>
    <w:basedOn w:val="1"/>
    <w:semiHidden/>
    <w:qFormat/>
    <w:uiPriority w:val="99"/>
    <w:rPr>
      <w:sz w:val="24"/>
    </w:rPr>
  </w:style>
  <w:style w:type="paragraph" w:customStyle="1" w:styleId="2159">
    <w:name w:val="Char2 Char Char1 Char Char Char Char1"/>
    <w:basedOn w:val="1"/>
    <w:semiHidden/>
    <w:qFormat/>
    <w:uiPriority w:val="99"/>
    <w:rPr>
      <w:sz w:val="24"/>
    </w:rPr>
  </w:style>
  <w:style w:type="paragraph" w:customStyle="1" w:styleId="2160">
    <w:name w:val="Char Char Char Char Char Char11"/>
    <w:basedOn w:val="1"/>
    <w:semiHidden/>
    <w:qFormat/>
    <w:uiPriority w:val="99"/>
    <w:rPr>
      <w:sz w:val="24"/>
    </w:rPr>
  </w:style>
  <w:style w:type="paragraph" w:customStyle="1" w:styleId="2161">
    <w:name w:val="Char Char Char Char Char Char Char Char Char Char Char Char Char Char Char Char1"/>
    <w:basedOn w:val="27"/>
    <w:qFormat/>
    <w:uiPriority w:val="0"/>
    <w:pPr>
      <w:adjustRightInd w:val="0"/>
      <w:spacing w:line="436" w:lineRule="exact"/>
      <w:ind w:left="357"/>
      <w:jc w:val="left"/>
      <w:outlineLvl w:val="3"/>
    </w:pPr>
    <w:rPr>
      <w:rFonts w:ascii="Tahoma" w:hAnsi="Tahoma"/>
      <w:b/>
      <w:sz w:val="24"/>
    </w:rPr>
  </w:style>
  <w:style w:type="paragraph" w:customStyle="1" w:styleId="2162">
    <w:name w:val="Char Char Char Char1 Char Char Char Char Char Char Char1"/>
    <w:basedOn w:val="1"/>
    <w:semiHidden/>
    <w:qFormat/>
    <w:uiPriority w:val="99"/>
    <w:pPr>
      <w:tabs>
        <w:tab w:val="left" w:pos="360"/>
      </w:tabs>
      <w:snapToGrid w:val="0"/>
      <w:spacing w:line="360" w:lineRule="auto"/>
    </w:pPr>
    <w:rPr>
      <w:rFonts w:eastAsia="仿宋_GB2312" w:cs="宋体"/>
      <w:sz w:val="24"/>
    </w:rPr>
  </w:style>
  <w:style w:type="paragraph" w:customStyle="1" w:styleId="2163">
    <w:name w:val="Char Char Char1 Char Char Char Char Char Char1"/>
    <w:basedOn w:val="1"/>
    <w:semiHidden/>
    <w:qFormat/>
    <w:uiPriority w:val="99"/>
    <w:rPr>
      <w:sz w:val="24"/>
    </w:rPr>
  </w:style>
  <w:style w:type="paragraph" w:customStyle="1" w:styleId="2164">
    <w:name w:val="Char Char Char Char1 Char Char Char1"/>
    <w:basedOn w:val="1"/>
    <w:qFormat/>
    <w:uiPriority w:val="0"/>
    <w:rPr>
      <w:sz w:val="24"/>
    </w:rPr>
  </w:style>
  <w:style w:type="paragraph" w:customStyle="1" w:styleId="2165">
    <w:name w:val="Char Char Char1 Char Char Char Char Char Char Char Char1"/>
    <w:basedOn w:val="1"/>
    <w:semiHidden/>
    <w:qFormat/>
    <w:uiPriority w:val="99"/>
  </w:style>
  <w:style w:type="paragraph" w:customStyle="1" w:styleId="2166">
    <w:name w:val="Char Char Char1 Char Char Char1"/>
    <w:basedOn w:val="1"/>
    <w:semiHidden/>
    <w:qFormat/>
    <w:uiPriority w:val="99"/>
    <w:pPr>
      <w:tabs>
        <w:tab w:val="left" w:pos="0"/>
      </w:tabs>
      <w:jc w:val="left"/>
    </w:pPr>
    <w:rPr>
      <w:sz w:val="24"/>
    </w:rPr>
  </w:style>
  <w:style w:type="paragraph" w:customStyle="1" w:styleId="2167">
    <w:name w:val="Char Char Char Char1 Char Char Char Char Char Char Char Char Char Char Char Char1"/>
    <w:basedOn w:val="1"/>
    <w:semiHidden/>
    <w:qFormat/>
    <w:uiPriority w:val="99"/>
    <w:pPr>
      <w:tabs>
        <w:tab w:val="left" w:pos="0"/>
      </w:tabs>
      <w:jc w:val="left"/>
    </w:pPr>
    <w:rPr>
      <w:sz w:val="24"/>
    </w:rPr>
  </w:style>
  <w:style w:type="paragraph" w:customStyle="1" w:styleId="2168">
    <w:name w:val="Char3 Char Char Char2"/>
    <w:basedOn w:val="1"/>
    <w:semiHidden/>
    <w:qFormat/>
    <w:uiPriority w:val="99"/>
    <w:rPr>
      <w:sz w:val="24"/>
    </w:rPr>
  </w:style>
  <w:style w:type="paragraph" w:customStyle="1" w:styleId="2169">
    <w:name w:val="Char2 Char Char1 Char1"/>
    <w:basedOn w:val="1"/>
    <w:semiHidden/>
    <w:qFormat/>
    <w:uiPriority w:val="99"/>
    <w:rPr>
      <w:sz w:val="24"/>
    </w:rPr>
  </w:style>
  <w:style w:type="paragraph" w:customStyle="1" w:styleId="2170">
    <w:name w:val="Char Char Char Char Char Char Char Char Char1 Char Char Char1"/>
    <w:basedOn w:val="1"/>
    <w:semiHidden/>
    <w:qFormat/>
    <w:uiPriority w:val="99"/>
    <w:rPr>
      <w:sz w:val="24"/>
    </w:rPr>
  </w:style>
  <w:style w:type="paragraph" w:customStyle="1" w:styleId="2171">
    <w:name w:val="Char Char Char Char Char Char Char Char Char1 Char Char Char Char Char Char1"/>
    <w:basedOn w:val="1"/>
    <w:semiHidden/>
    <w:qFormat/>
    <w:uiPriority w:val="99"/>
    <w:rPr>
      <w:sz w:val="24"/>
    </w:rPr>
  </w:style>
  <w:style w:type="paragraph" w:customStyle="1" w:styleId="2172">
    <w:name w:val="Char Char161"/>
    <w:basedOn w:val="1"/>
    <w:semiHidden/>
    <w:qFormat/>
    <w:uiPriority w:val="99"/>
    <w:rPr>
      <w:sz w:val="24"/>
    </w:rPr>
  </w:style>
  <w:style w:type="paragraph" w:customStyle="1" w:styleId="2173">
    <w:name w:val="Char1 Char Char Char Char Char Char1 Char Char Char1"/>
    <w:basedOn w:val="1"/>
    <w:next w:val="1"/>
    <w:semiHidden/>
    <w:qFormat/>
    <w:uiPriority w:val="99"/>
    <w:pPr>
      <w:spacing w:line="360" w:lineRule="auto"/>
      <w:ind w:firstLine="200" w:firstLineChars="200"/>
      <w:jc w:val="center"/>
    </w:pPr>
    <w:rPr>
      <w:rFonts w:eastAsia="黑体"/>
      <w:szCs w:val="20"/>
    </w:rPr>
  </w:style>
  <w:style w:type="paragraph" w:customStyle="1" w:styleId="2174">
    <w:name w:val="正文缩进两字符"/>
    <w:basedOn w:val="1"/>
    <w:semiHidden/>
    <w:qFormat/>
    <w:uiPriority w:val="99"/>
    <w:pPr>
      <w:spacing w:line="360" w:lineRule="auto"/>
      <w:ind w:firstLine="200" w:firstLineChars="200"/>
    </w:pPr>
    <w:rPr>
      <w:sz w:val="24"/>
      <w:szCs w:val="22"/>
    </w:rPr>
  </w:style>
  <w:style w:type="paragraph" w:customStyle="1" w:styleId="2175">
    <w:name w:val="font13"/>
    <w:basedOn w:val="1"/>
    <w:qFormat/>
    <w:uiPriority w:val="0"/>
    <w:pPr>
      <w:widowControl/>
      <w:spacing w:before="100" w:beforeAutospacing="1" w:after="100" w:afterAutospacing="1"/>
      <w:jc w:val="left"/>
    </w:pPr>
    <w:rPr>
      <w:rFonts w:ascii="宋体" w:hAnsi="宋体" w:cs="宋体"/>
      <w:color w:val="FF0000"/>
      <w:kern w:val="0"/>
      <w:sz w:val="22"/>
      <w:szCs w:val="22"/>
    </w:rPr>
  </w:style>
  <w:style w:type="paragraph" w:customStyle="1" w:styleId="2176">
    <w:name w:val="xl77"/>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Cs w:val="21"/>
    </w:rPr>
  </w:style>
  <w:style w:type="paragraph" w:customStyle="1" w:styleId="2177">
    <w:name w:val="xl78"/>
    <w:basedOn w:val="1"/>
    <w:qFormat/>
    <w:uiPriority w:val="0"/>
    <w:pPr>
      <w:widowControl/>
      <w:pBdr>
        <w:top w:val="single" w:color="auto" w:sz="4" w:space="0"/>
      </w:pBdr>
      <w:spacing w:before="100" w:beforeAutospacing="1" w:after="100" w:afterAutospacing="1"/>
      <w:jc w:val="center"/>
    </w:pPr>
    <w:rPr>
      <w:rFonts w:ascii="宋体" w:hAnsi="宋体" w:cs="宋体"/>
      <w:kern w:val="0"/>
      <w:szCs w:val="21"/>
    </w:rPr>
  </w:style>
  <w:style w:type="paragraph" w:customStyle="1" w:styleId="217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17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4"/>
    </w:rPr>
  </w:style>
  <w:style w:type="character" w:customStyle="1" w:styleId="2180">
    <w:name w:val="超链接11"/>
    <w:semiHidden/>
    <w:qFormat/>
    <w:uiPriority w:val="0"/>
    <w:rPr>
      <w:color w:val="0000FF"/>
      <w:u w:val="single"/>
    </w:rPr>
  </w:style>
  <w:style w:type="character" w:customStyle="1" w:styleId="2181">
    <w:name w:val="email"/>
    <w:semiHidden/>
    <w:qFormat/>
    <w:uiPriority w:val="0"/>
  </w:style>
  <w:style w:type="character" w:customStyle="1" w:styleId="2182">
    <w:name w:val="newstxt"/>
    <w:semiHidden/>
    <w:qFormat/>
    <w:uiPriority w:val="0"/>
  </w:style>
  <w:style w:type="character" w:customStyle="1" w:styleId="2183">
    <w:name w:val="Char Char41"/>
    <w:qFormat/>
    <w:uiPriority w:val="0"/>
    <w:rPr>
      <w:rFonts w:hint="default" w:ascii="Arial" w:hAnsi="Arial" w:eastAsia="黑体" w:cs="Arial"/>
      <w:b/>
      <w:bCs/>
      <w:kern w:val="2"/>
      <w:sz w:val="32"/>
      <w:szCs w:val="32"/>
      <w:lang w:val="en-US" w:eastAsia="zh-CN"/>
    </w:rPr>
  </w:style>
  <w:style w:type="character" w:customStyle="1" w:styleId="2184">
    <w:name w:val="Char Char111"/>
    <w:qFormat/>
    <w:uiPriority w:val="0"/>
    <w:rPr>
      <w:rFonts w:hint="eastAsia" w:ascii="宋体" w:hAnsi="宋体" w:eastAsia="宋体"/>
      <w:kern w:val="2"/>
      <w:sz w:val="21"/>
      <w:szCs w:val="24"/>
      <w:lang w:val="en-US" w:eastAsia="zh-CN" w:bidi="ar-SA"/>
    </w:rPr>
  </w:style>
  <w:style w:type="character" w:customStyle="1" w:styleId="2185">
    <w:name w:val="Char Char211"/>
    <w:qFormat/>
    <w:uiPriority w:val="0"/>
    <w:rPr>
      <w:rFonts w:hint="default" w:ascii="Calibri" w:hAnsi="Calibri" w:eastAsia="宋体" w:cs="Calibri"/>
      <w:b/>
      <w:kern w:val="2"/>
      <w:sz w:val="24"/>
      <w:lang w:val="en-US" w:eastAsia="zh-CN" w:bidi="ar-SA"/>
    </w:rPr>
  </w:style>
  <w:style w:type="character" w:customStyle="1" w:styleId="2186">
    <w:name w:val="text31"/>
    <w:semiHidden/>
    <w:qFormat/>
    <w:uiPriority w:val="0"/>
    <w:rPr>
      <w:rFonts w:hint="eastAsia" w:ascii="宋体" w:hAnsi="宋体" w:eastAsia="宋体"/>
      <w:color w:val="673434"/>
      <w:sz w:val="22"/>
      <w:szCs w:val="22"/>
      <w:u w:val="none"/>
    </w:rPr>
  </w:style>
  <w:style w:type="character" w:customStyle="1" w:styleId="2187">
    <w:name w:val="a011"/>
    <w:semiHidden/>
    <w:qFormat/>
    <w:uiPriority w:val="0"/>
    <w:rPr>
      <w:rFonts w:hint="default" w:ascii="Arial" w:hAnsi="Arial" w:cs="Arial"/>
      <w:color w:val="000000"/>
      <w:sz w:val="18"/>
      <w:szCs w:val="18"/>
      <w:u w:val="none"/>
    </w:rPr>
  </w:style>
  <w:style w:type="character" w:customStyle="1" w:styleId="2188">
    <w:name w:val="样式 标题 2 + Times New Roman 四号 Char"/>
    <w:semiHidden/>
    <w:qFormat/>
    <w:uiPriority w:val="0"/>
    <w:rPr>
      <w:rFonts w:hint="default" w:ascii="Arial" w:hAnsi="Arial" w:eastAsia="宋体" w:cs="Arial"/>
      <w:b/>
      <w:bCs/>
      <w:kern w:val="2"/>
      <w:sz w:val="30"/>
      <w:szCs w:val="32"/>
      <w:lang w:val="en-US" w:eastAsia="zh-CN" w:bidi="ar-SA"/>
    </w:rPr>
  </w:style>
  <w:style w:type="character" w:customStyle="1" w:styleId="2189">
    <w:name w:val="样式 四号"/>
    <w:qFormat/>
    <w:uiPriority w:val="0"/>
    <w:rPr>
      <w:sz w:val="24"/>
    </w:rPr>
  </w:style>
  <w:style w:type="character" w:customStyle="1" w:styleId="2190">
    <w:name w:val="infodetail2"/>
    <w:semiHidden/>
    <w:qFormat/>
    <w:uiPriority w:val="0"/>
    <w:rPr>
      <w:sz w:val="24"/>
      <w:szCs w:val="24"/>
    </w:rPr>
  </w:style>
  <w:style w:type="character" w:customStyle="1" w:styleId="2191">
    <w:name w:val="style101"/>
    <w:semiHidden/>
    <w:qFormat/>
    <w:uiPriority w:val="0"/>
    <w:rPr>
      <w:color w:val="000000"/>
      <w:sz w:val="15"/>
      <w:szCs w:val="15"/>
    </w:rPr>
  </w:style>
  <w:style w:type="character" w:customStyle="1" w:styleId="2192">
    <w:name w:val="oblog_text"/>
    <w:semiHidden/>
    <w:qFormat/>
    <w:uiPriority w:val="0"/>
  </w:style>
  <w:style w:type="character" w:customStyle="1" w:styleId="2193">
    <w:name w:val="Char Char52"/>
    <w:qFormat/>
    <w:uiPriority w:val="0"/>
    <w:rPr>
      <w:rFonts w:hint="eastAsia" w:ascii="宋体" w:hAnsi="宋体" w:eastAsia="宋体"/>
      <w:kern w:val="2"/>
      <w:sz w:val="21"/>
      <w:szCs w:val="24"/>
      <w:lang w:val="en-US" w:eastAsia="zh-CN" w:bidi="ar-SA"/>
    </w:rPr>
  </w:style>
  <w:style w:type="character" w:customStyle="1" w:styleId="2194">
    <w:name w:val="Char32"/>
    <w:semiHidden/>
    <w:qFormat/>
    <w:uiPriority w:val="0"/>
    <w:rPr>
      <w:rFonts w:hint="eastAsia" w:ascii="宋体" w:hAnsi="宋体" w:eastAsia="宋体"/>
      <w:kern w:val="2"/>
      <w:sz w:val="21"/>
      <w:szCs w:val="24"/>
      <w:lang w:val="en-US" w:eastAsia="zh-CN" w:bidi="ar-SA"/>
    </w:rPr>
  </w:style>
  <w:style w:type="character" w:customStyle="1" w:styleId="2195">
    <w:name w:val="未命名11"/>
    <w:qFormat/>
    <w:uiPriority w:val="0"/>
    <w:rPr>
      <w:rFonts w:hint="eastAsia" w:ascii="宋体" w:hAnsi="宋体" w:eastAsia="宋体"/>
      <w:sz w:val="18"/>
      <w:szCs w:val="18"/>
    </w:rPr>
  </w:style>
  <w:style w:type="character" w:customStyle="1" w:styleId="2196">
    <w:name w:val="b14-1-no1"/>
    <w:semiHidden/>
    <w:qFormat/>
    <w:uiPriority w:val="0"/>
    <w:rPr>
      <w:color w:val="2E2E2E"/>
      <w:sz w:val="20"/>
      <w:szCs w:val="20"/>
      <w:u w:val="none"/>
    </w:rPr>
  </w:style>
  <w:style w:type="character" w:customStyle="1" w:styleId="2197">
    <w:name w:val="m_b21"/>
    <w:semiHidden/>
    <w:qFormat/>
    <w:uiPriority w:val="0"/>
    <w:rPr>
      <w:b/>
      <w:bCs/>
      <w:sz w:val="26"/>
      <w:szCs w:val="26"/>
    </w:rPr>
  </w:style>
  <w:style w:type="character" w:customStyle="1" w:styleId="2198">
    <w:name w:val="m_b11"/>
    <w:semiHidden/>
    <w:qFormat/>
    <w:uiPriority w:val="0"/>
    <w:rPr>
      <w:b/>
      <w:bCs/>
      <w:sz w:val="24"/>
      <w:szCs w:val="24"/>
    </w:rPr>
  </w:style>
  <w:style w:type="character" w:customStyle="1" w:styleId="2199">
    <w:name w:val="m11"/>
    <w:semiHidden/>
    <w:qFormat/>
    <w:uiPriority w:val="0"/>
    <w:rPr>
      <w:sz w:val="24"/>
      <w:szCs w:val="24"/>
    </w:rPr>
  </w:style>
  <w:style w:type="character" w:customStyle="1" w:styleId="2200">
    <w:name w:val="标题6"/>
    <w:semiHidden/>
    <w:qFormat/>
    <w:uiPriority w:val="0"/>
  </w:style>
  <w:style w:type="character" w:customStyle="1" w:styleId="2201">
    <w:name w:val="td9-20bt1"/>
    <w:semiHidden/>
    <w:qFormat/>
    <w:uiPriority w:val="0"/>
    <w:rPr>
      <w:color w:val="FF6600"/>
      <w:sz w:val="18"/>
      <w:szCs w:val="18"/>
    </w:rPr>
  </w:style>
  <w:style w:type="character" w:customStyle="1" w:styleId="2202">
    <w:name w:val="题4 Char"/>
    <w:semiHidden/>
    <w:qFormat/>
    <w:uiPriority w:val="0"/>
    <w:rPr>
      <w:rFonts w:hint="default" w:ascii="Arial" w:hAnsi="Arial" w:eastAsia="宋体" w:cs="Arial"/>
      <w:b/>
      <w:bCs/>
      <w:kern w:val="2"/>
      <w:sz w:val="24"/>
      <w:szCs w:val="28"/>
      <w:lang w:val="en-US" w:eastAsia="zh-CN" w:bidi="ar-SA"/>
    </w:rPr>
  </w:style>
  <w:style w:type="character" w:customStyle="1" w:styleId="2203">
    <w:name w:val="bluesmaller1"/>
    <w:semiHidden/>
    <w:qFormat/>
    <w:uiPriority w:val="0"/>
    <w:rPr>
      <w:rFonts w:hint="eastAsia" w:ascii="宋体" w:hAnsi="宋体" w:eastAsia="宋体"/>
      <w:b/>
      <w:color w:val="003366"/>
      <w:kern w:val="2"/>
      <w:sz w:val="20"/>
      <w:szCs w:val="20"/>
      <w:u w:val="none"/>
      <w:lang w:val="en-US" w:eastAsia="zh-CN" w:bidi="ar-SA"/>
    </w:rPr>
  </w:style>
  <w:style w:type="character" w:customStyle="1" w:styleId="2204">
    <w:name w:val="样式 题2 + (符号) 宋体 Char"/>
    <w:semiHidden/>
    <w:qFormat/>
    <w:uiPriority w:val="0"/>
    <w:rPr>
      <w:rFonts w:hint="eastAsia" w:ascii="宋体" w:hAnsi="宋体" w:eastAsia="宋体"/>
      <w:b/>
      <w:bCs/>
      <w:smallCaps/>
      <w:kern w:val="2"/>
      <w:sz w:val="28"/>
      <w:szCs w:val="28"/>
      <w:lang w:val="en-US" w:eastAsia="zh-CN" w:bidi="ar-SA"/>
    </w:rPr>
  </w:style>
  <w:style w:type="character" w:customStyle="1" w:styleId="2205">
    <w:name w:val="宁联正文 Char"/>
    <w:semiHidden/>
    <w:qFormat/>
    <w:uiPriority w:val="0"/>
    <w:rPr>
      <w:rFonts w:hint="eastAsia" w:ascii="仿宋_GB2312" w:eastAsia="仿宋_GB2312"/>
      <w:b/>
      <w:kern w:val="2"/>
      <w:sz w:val="28"/>
      <w:szCs w:val="28"/>
      <w:lang w:val="en-US" w:eastAsia="zh-CN" w:bidi="ar-SA"/>
    </w:rPr>
  </w:style>
  <w:style w:type="character" w:customStyle="1" w:styleId="2206">
    <w:name w:val="标 Char"/>
    <w:semiHidden/>
    <w:qFormat/>
    <w:uiPriority w:val="0"/>
    <w:rPr>
      <w:rFonts w:hint="eastAsia" w:ascii="黑体" w:hAnsi="黑体" w:eastAsia="黑体"/>
      <w:b/>
      <w:bCs/>
      <w:smallCaps/>
      <w:kern w:val="2"/>
      <w:sz w:val="28"/>
      <w:szCs w:val="28"/>
      <w:lang w:val="en-US" w:eastAsia="zh-CN" w:bidi="ar-SA"/>
    </w:rPr>
  </w:style>
  <w:style w:type="character" w:customStyle="1" w:styleId="2207">
    <w:name w:val="样式5 Char"/>
    <w:qFormat/>
    <w:uiPriority w:val="0"/>
    <w:rPr>
      <w:rFonts w:hint="eastAsia" w:ascii="宋体" w:hAnsi="宋体" w:eastAsia="宋体"/>
      <w:b/>
      <w:bCs/>
      <w:kern w:val="2"/>
      <w:sz w:val="28"/>
      <w:szCs w:val="28"/>
      <w:lang w:val="en-US" w:eastAsia="zh-CN" w:bidi="ar-SA"/>
    </w:rPr>
  </w:style>
  <w:style w:type="character" w:customStyle="1" w:styleId="2208">
    <w:name w:val="标题 3 Char2"/>
    <w:qFormat/>
    <w:uiPriority w:val="0"/>
    <w:rPr>
      <w:rFonts w:hint="eastAsia" w:ascii="宋体" w:hAnsi="宋体" w:eastAsia="宋体"/>
      <w:b/>
      <w:bCs/>
      <w:kern w:val="44"/>
      <w:sz w:val="28"/>
      <w:szCs w:val="24"/>
      <w:lang w:val="en-US" w:eastAsia="zh-CN" w:bidi="ar-SA"/>
    </w:rPr>
  </w:style>
  <w:style w:type="character" w:customStyle="1" w:styleId="2209">
    <w:name w:val="maintitle1"/>
    <w:semiHidden/>
    <w:qFormat/>
    <w:uiPriority w:val="0"/>
    <w:rPr>
      <w:rFonts w:hint="eastAsia" w:ascii="宋体" w:hAnsi="宋体" w:eastAsia="宋体"/>
      <w:b/>
      <w:bCs/>
      <w:color w:val="0033CC"/>
      <w:kern w:val="2"/>
      <w:sz w:val="21"/>
      <w:szCs w:val="21"/>
      <w:lang w:val="en-US" w:eastAsia="zh-CN" w:bidi="ar-SA"/>
    </w:rPr>
  </w:style>
  <w:style w:type="character" w:customStyle="1" w:styleId="2210">
    <w:name w:val="报告书正文 Char Char Char"/>
    <w:semiHidden/>
    <w:qFormat/>
    <w:uiPriority w:val="0"/>
    <w:rPr>
      <w:rFonts w:hint="eastAsia" w:ascii="宋体" w:hAnsi="宋体" w:eastAsia="宋体"/>
      <w:b/>
      <w:kern w:val="2"/>
      <w:sz w:val="24"/>
      <w:szCs w:val="24"/>
      <w:lang w:val="en-US" w:eastAsia="zh-CN" w:bidi="ar-SA"/>
    </w:rPr>
  </w:style>
  <w:style w:type="character" w:customStyle="1" w:styleId="2211">
    <w:name w:val="da1"/>
    <w:semiHidden/>
    <w:qFormat/>
    <w:uiPriority w:val="0"/>
    <w:rPr>
      <w:sz w:val="21"/>
      <w:szCs w:val="21"/>
    </w:rPr>
  </w:style>
  <w:style w:type="character" w:customStyle="1" w:styleId="2212">
    <w:name w:val="text01"/>
    <w:semiHidden/>
    <w:qFormat/>
    <w:uiPriority w:val="0"/>
    <w:rPr>
      <w:rFonts w:hint="default" w:ascii="??" w:hAnsi="??"/>
      <w:color w:val="333333"/>
      <w:sz w:val="18"/>
      <w:szCs w:val="18"/>
      <w:u w:val="none"/>
    </w:rPr>
  </w:style>
  <w:style w:type="character" w:customStyle="1" w:styleId="2213">
    <w:name w:val="zhei"/>
    <w:semiHidden/>
    <w:qFormat/>
    <w:uiPriority w:val="0"/>
  </w:style>
  <w:style w:type="character" w:customStyle="1" w:styleId="2214">
    <w:name w:val="Char Char102"/>
    <w:qFormat/>
    <w:uiPriority w:val="0"/>
    <w:rPr>
      <w:rFonts w:hint="eastAsia" w:ascii="宋体" w:hAnsi="宋体" w:eastAsia="宋体"/>
      <w:kern w:val="2"/>
      <w:sz w:val="21"/>
      <w:szCs w:val="24"/>
      <w:lang w:val="en-US" w:eastAsia="zh-CN" w:bidi="ar-SA"/>
    </w:rPr>
  </w:style>
  <w:style w:type="character" w:customStyle="1" w:styleId="2215">
    <w:name w:val="Char Char Char Char13"/>
    <w:semiHidden/>
    <w:qFormat/>
    <w:uiPriority w:val="0"/>
    <w:rPr>
      <w:rFonts w:hint="eastAsia" w:ascii="宋体" w:hAnsi="宋体" w:eastAsia="宋体"/>
      <w:kern w:val="2"/>
      <w:sz w:val="24"/>
      <w:szCs w:val="24"/>
      <w:lang w:val="en-US" w:eastAsia="zh-CN" w:bidi="ar-SA"/>
    </w:rPr>
  </w:style>
  <w:style w:type="character" w:customStyle="1" w:styleId="2216">
    <w:name w:val="Char Char112"/>
    <w:qFormat/>
    <w:uiPriority w:val="0"/>
    <w:rPr>
      <w:rFonts w:hint="eastAsia" w:ascii="仿宋_GB2312" w:hAnsi="Times New Roman" w:eastAsia="仿宋_GB2312" w:cs="Times New Roman"/>
      <w:sz w:val="28"/>
      <w:szCs w:val="52"/>
    </w:rPr>
  </w:style>
  <w:style w:type="character" w:customStyle="1" w:styleId="2217">
    <w:name w:val="Char Char122"/>
    <w:qFormat/>
    <w:uiPriority w:val="0"/>
  </w:style>
  <w:style w:type="character" w:customStyle="1" w:styleId="2218">
    <w:name w:val="Char Char172"/>
    <w:semiHidden/>
    <w:qFormat/>
    <w:uiPriority w:val="0"/>
    <w:rPr>
      <w:sz w:val="18"/>
      <w:szCs w:val="18"/>
    </w:rPr>
  </w:style>
  <w:style w:type="character" w:customStyle="1" w:styleId="2219">
    <w:name w:val="Char Char202"/>
    <w:semiHidden/>
    <w:qFormat/>
    <w:uiPriority w:val="0"/>
    <w:rPr>
      <w:rFonts w:hint="default" w:ascii="Arial" w:hAnsi="Arial" w:eastAsia="黑体" w:cs="Arial"/>
      <w:kern w:val="2"/>
      <w:sz w:val="24"/>
      <w:lang w:val="en-US" w:eastAsia="zh-CN" w:bidi="ar-SA"/>
    </w:rPr>
  </w:style>
  <w:style w:type="character" w:customStyle="1" w:styleId="2220">
    <w:name w:val="Char Char212"/>
    <w:qFormat/>
    <w:uiPriority w:val="0"/>
    <w:rPr>
      <w:rFonts w:hint="default" w:ascii="Calibri" w:hAnsi="Calibri" w:eastAsia="宋体" w:cs="Calibri"/>
      <w:b/>
      <w:kern w:val="2"/>
      <w:sz w:val="24"/>
      <w:lang w:val="en-US" w:eastAsia="zh-CN" w:bidi="ar-SA"/>
    </w:rPr>
  </w:style>
  <w:style w:type="character" w:customStyle="1" w:styleId="2221">
    <w:name w:val="Char Char222"/>
    <w:semiHidden/>
    <w:qFormat/>
    <w:uiPriority w:val="0"/>
    <w:rPr>
      <w:rFonts w:hint="default" w:ascii="Calibri" w:hAnsi="Calibri" w:eastAsia="宋体" w:cs="Calibri"/>
      <w:kern w:val="2"/>
      <w:sz w:val="24"/>
      <w:lang w:val="en-US" w:eastAsia="zh-CN" w:bidi="ar-SA"/>
    </w:rPr>
  </w:style>
  <w:style w:type="character" w:customStyle="1" w:styleId="2222">
    <w:name w:val="Char Char232"/>
    <w:semiHidden/>
    <w:qFormat/>
    <w:uiPriority w:val="0"/>
    <w:rPr>
      <w:rFonts w:hint="eastAsia" w:ascii="宋体" w:hAnsi="宋体" w:eastAsia="宋体"/>
      <w:b/>
      <w:bCs/>
      <w:kern w:val="2"/>
      <w:sz w:val="28"/>
      <w:szCs w:val="28"/>
      <w:lang w:val="en-US" w:eastAsia="zh-CN" w:bidi="ar-SA"/>
    </w:rPr>
  </w:style>
  <w:style w:type="character" w:customStyle="1" w:styleId="2223">
    <w:name w:val="Char Char242"/>
    <w:semiHidden/>
    <w:qFormat/>
    <w:uiPriority w:val="0"/>
    <w:rPr>
      <w:rFonts w:hint="default" w:ascii="Arial" w:hAnsi="Arial" w:eastAsia="黑体" w:cs="Arial"/>
      <w:b/>
      <w:bCs/>
      <w:kern w:val="2"/>
      <w:sz w:val="28"/>
      <w:szCs w:val="28"/>
      <w:lang w:val="en-US" w:eastAsia="zh-CN" w:bidi="ar-SA"/>
    </w:rPr>
  </w:style>
  <w:style w:type="character" w:customStyle="1" w:styleId="2224">
    <w:name w:val="超链接2"/>
    <w:semiHidden/>
    <w:qFormat/>
    <w:uiPriority w:val="0"/>
    <w:rPr>
      <w:color w:val="0000FF"/>
      <w:u w:val="single"/>
    </w:rPr>
  </w:style>
  <w:style w:type="character" w:customStyle="1" w:styleId="2225">
    <w:name w:val="Char Char Char Char Char3"/>
    <w:semiHidden/>
    <w:qFormat/>
    <w:uiPriority w:val="0"/>
    <w:rPr>
      <w:rFonts w:hint="eastAsia" w:ascii="宋体" w:hAnsi="宋体" w:eastAsia="宋体"/>
      <w:kern w:val="2"/>
      <w:sz w:val="24"/>
      <w:szCs w:val="24"/>
      <w:lang w:val="en-US" w:eastAsia="zh-CN" w:bidi="ar-SA"/>
    </w:rPr>
  </w:style>
  <w:style w:type="character" w:customStyle="1" w:styleId="2226">
    <w:name w:val="Char Char142"/>
    <w:semiHidden/>
    <w:qFormat/>
    <w:uiPriority w:val="0"/>
    <w:rPr>
      <w:rFonts w:hint="eastAsia" w:ascii="宋体" w:hAnsi="宋体" w:eastAsia="宋体"/>
      <w:kern w:val="2"/>
      <w:sz w:val="21"/>
      <w:szCs w:val="24"/>
      <w:lang w:val="en-US" w:eastAsia="zh-CN" w:bidi="ar-SA"/>
    </w:rPr>
  </w:style>
  <w:style w:type="character" w:customStyle="1" w:styleId="2227">
    <w:name w:val="Char Char152"/>
    <w:semiHidden/>
    <w:qFormat/>
    <w:uiPriority w:val="0"/>
    <w:rPr>
      <w:rFonts w:hint="default" w:ascii="Times New Roman" w:hAnsi="Times New Roman" w:eastAsia="宋体" w:cs="Times New Roman"/>
      <w:b/>
      <w:bCs/>
      <w:sz w:val="32"/>
      <w:szCs w:val="32"/>
    </w:rPr>
  </w:style>
  <w:style w:type="character" w:customStyle="1" w:styleId="2228">
    <w:name w:val="文本 Char Char"/>
    <w:semiHidden/>
    <w:qFormat/>
    <w:uiPriority w:val="0"/>
    <w:rPr>
      <w:rFonts w:hint="eastAsia" w:ascii="宋体" w:hAnsi="宋体" w:eastAsia="宋体"/>
      <w:kern w:val="2"/>
      <w:sz w:val="24"/>
      <w:szCs w:val="24"/>
      <w:lang w:val="en-US" w:eastAsia="zh-CN" w:bidi="ar-SA"/>
    </w:rPr>
  </w:style>
  <w:style w:type="character" w:customStyle="1" w:styleId="2229">
    <w:name w:val="Char Char131"/>
    <w:semiHidden/>
    <w:qFormat/>
    <w:uiPriority w:val="0"/>
    <w:rPr>
      <w:rFonts w:hint="default" w:ascii="Times New Roman" w:hAnsi="Times New Roman" w:eastAsia="宋体" w:cs="Times New Roman"/>
      <w:kern w:val="2"/>
      <w:sz w:val="21"/>
      <w:szCs w:val="24"/>
    </w:rPr>
  </w:style>
  <w:style w:type="character" w:customStyle="1" w:styleId="2230">
    <w:name w:val="已访问的超链接1"/>
    <w:semiHidden/>
    <w:qFormat/>
    <w:uiPriority w:val="0"/>
    <w:rPr>
      <w:color w:val="800080"/>
      <w:u w:val="single"/>
    </w:rPr>
  </w:style>
  <w:style w:type="character" w:customStyle="1" w:styleId="2231">
    <w:name w:val="Char Char51"/>
    <w:qFormat/>
    <w:uiPriority w:val="0"/>
    <w:rPr>
      <w:rFonts w:hint="eastAsia" w:ascii="宋体" w:hAnsi="宋体" w:eastAsia="宋体"/>
      <w:kern w:val="2"/>
      <w:sz w:val="21"/>
      <w:szCs w:val="24"/>
      <w:lang w:val="en-US" w:eastAsia="zh-CN" w:bidi="ar-SA"/>
    </w:rPr>
  </w:style>
  <w:style w:type="character" w:customStyle="1" w:styleId="2232">
    <w:name w:val="Char Char101"/>
    <w:semiHidden/>
    <w:qFormat/>
    <w:uiPriority w:val="0"/>
    <w:rPr>
      <w:rFonts w:hint="eastAsia" w:ascii="宋体" w:hAnsi="宋体" w:eastAsia="宋体" w:cs="Times New Roman"/>
      <w:snapToGrid/>
      <w:color w:val="000000"/>
      <w:kern w:val="0"/>
      <w:sz w:val="24"/>
      <w:szCs w:val="24"/>
    </w:rPr>
  </w:style>
  <w:style w:type="character" w:customStyle="1" w:styleId="2233">
    <w:name w:val="Char Char121"/>
    <w:qFormat/>
    <w:uiPriority w:val="0"/>
  </w:style>
  <w:style w:type="character" w:customStyle="1" w:styleId="2234">
    <w:name w:val="Char Char171"/>
    <w:semiHidden/>
    <w:qFormat/>
    <w:uiPriority w:val="0"/>
    <w:rPr>
      <w:sz w:val="18"/>
      <w:szCs w:val="18"/>
    </w:rPr>
  </w:style>
  <w:style w:type="character" w:customStyle="1" w:styleId="2235">
    <w:name w:val="Char Char201"/>
    <w:semiHidden/>
    <w:qFormat/>
    <w:uiPriority w:val="0"/>
    <w:rPr>
      <w:rFonts w:hint="default" w:ascii="Arial" w:hAnsi="Arial" w:eastAsia="黑体" w:cs="Arial"/>
      <w:kern w:val="2"/>
      <w:sz w:val="24"/>
      <w:lang w:val="en-US" w:eastAsia="zh-CN" w:bidi="ar-SA"/>
    </w:rPr>
  </w:style>
  <w:style w:type="character" w:customStyle="1" w:styleId="2236">
    <w:name w:val="Char Char221"/>
    <w:semiHidden/>
    <w:qFormat/>
    <w:uiPriority w:val="0"/>
    <w:rPr>
      <w:rFonts w:hint="default" w:ascii="Calibri" w:hAnsi="Calibri" w:eastAsia="宋体" w:cs="Calibri"/>
      <w:kern w:val="2"/>
      <w:sz w:val="24"/>
      <w:lang w:val="en-US" w:eastAsia="zh-CN" w:bidi="ar-SA"/>
    </w:rPr>
  </w:style>
  <w:style w:type="character" w:customStyle="1" w:styleId="2237">
    <w:name w:val="Char Char231"/>
    <w:semiHidden/>
    <w:qFormat/>
    <w:uiPriority w:val="0"/>
    <w:rPr>
      <w:rFonts w:hint="eastAsia" w:ascii="宋体" w:hAnsi="宋体" w:eastAsia="宋体"/>
      <w:b/>
      <w:bCs/>
      <w:kern w:val="2"/>
      <w:sz w:val="28"/>
      <w:szCs w:val="28"/>
      <w:lang w:val="en-US" w:eastAsia="zh-CN" w:bidi="ar-SA"/>
    </w:rPr>
  </w:style>
  <w:style w:type="character" w:customStyle="1" w:styleId="2238">
    <w:name w:val="Char Char241"/>
    <w:semiHidden/>
    <w:qFormat/>
    <w:uiPriority w:val="0"/>
    <w:rPr>
      <w:rFonts w:hint="default" w:ascii="Arial" w:hAnsi="Arial" w:eastAsia="黑体" w:cs="Arial"/>
      <w:b/>
      <w:bCs/>
      <w:kern w:val="2"/>
      <w:sz w:val="28"/>
      <w:szCs w:val="28"/>
      <w:lang w:val="en-US" w:eastAsia="zh-CN" w:bidi="ar-SA"/>
    </w:rPr>
  </w:style>
  <w:style w:type="character" w:customStyle="1" w:styleId="2239">
    <w:name w:val="Char Char141"/>
    <w:semiHidden/>
    <w:qFormat/>
    <w:uiPriority w:val="0"/>
    <w:rPr>
      <w:rFonts w:hint="eastAsia" w:ascii="宋体" w:hAnsi="宋体" w:eastAsia="宋体"/>
      <w:kern w:val="2"/>
      <w:sz w:val="21"/>
      <w:szCs w:val="24"/>
      <w:lang w:val="en-US" w:eastAsia="zh-CN" w:bidi="ar-SA"/>
    </w:rPr>
  </w:style>
  <w:style w:type="character" w:customStyle="1" w:styleId="2240">
    <w:name w:val="Char Char151"/>
    <w:semiHidden/>
    <w:qFormat/>
    <w:uiPriority w:val="0"/>
    <w:rPr>
      <w:rFonts w:hint="default" w:ascii="Times New Roman" w:hAnsi="Times New Roman" w:eastAsia="宋体" w:cs="Times New Roman"/>
      <w:b/>
      <w:bCs/>
      <w:sz w:val="32"/>
      <w:szCs w:val="32"/>
    </w:rPr>
  </w:style>
  <w:style w:type="character" w:customStyle="1" w:styleId="2241">
    <w:name w:val="mathjye"/>
    <w:semiHidden/>
    <w:qFormat/>
    <w:uiPriority w:val="0"/>
  </w:style>
  <w:style w:type="table" w:customStyle="1" w:styleId="2242">
    <w:name w:val="简明型 11"/>
    <w:basedOn w:val="88"/>
    <w:unhideWhenUsed/>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43">
    <w:name w:val="网格型 11"/>
    <w:basedOn w:val="88"/>
    <w:unhideWhenUsed/>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44">
    <w:name w:val="网格型 71"/>
    <w:basedOn w:val="88"/>
    <w:unhideWhenUsed/>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245">
    <w:name w:val="网格型 81"/>
    <w:basedOn w:val="88"/>
    <w:unhideWhenUsed/>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246">
    <w:name w:val="列表型 31"/>
    <w:basedOn w:val="88"/>
    <w:unhideWhenUsed/>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247">
    <w:name w:val="流行型1"/>
    <w:basedOn w:val="88"/>
    <w:unhideWhenUsed/>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248">
    <w:name w:val="典雅型1"/>
    <w:basedOn w:val="88"/>
    <w:unhideWhenUsed/>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249">
    <w:name w:val="专业型1"/>
    <w:basedOn w:val="88"/>
    <w:unhideWhenUsed/>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250">
    <w:name w:val="网格型刘1"/>
    <w:basedOn w:val="8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1">
    <w:name w:val="wb01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52">
    <w:name w:val="三线表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253">
    <w:name w:val="环评报告书表格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54">
    <w:name w:val="网格型2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55">
    <w:name w:val="古典型 11"/>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56">
    <w:name w:val="网格型 51"/>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57">
    <w:name w:val="报告表格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258">
    <w:name w:val="环评报告书表格2"/>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59">
    <w:name w:val="网格型21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0">
    <w:name w:val="环评报告书表格1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61">
    <w:name w:val="网格型 12"/>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62">
    <w:name w:val="网格型 52"/>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63">
    <w:name w:val="报告表格2"/>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264">
    <w:name w:val="表格主题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65">
    <w:name w:val="专业型2"/>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266">
    <w:name w:val="古典型 12"/>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67">
    <w:name w:val="new1"/>
    <w:basedOn w:val="88"/>
    <w:qFormat/>
    <w:uiPriority w:val="0"/>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2268">
    <w:name w:val="wb012"/>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69">
    <w:name w:val="灰度表格15"/>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0">
    <w:name w:val="典雅型2"/>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271">
    <w:name w:val="流行型2"/>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272">
    <w:name w:val="网格型11"/>
    <w:basedOn w:val="88"/>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3">
    <w:name w:val="简明型 12"/>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74">
    <w:name w:val="三线表2"/>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275">
    <w:name w:val="网格型4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76">
    <w:name w:val="网格型 82"/>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277">
    <w:name w:val="列表型 32"/>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278">
    <w:name w:val="网格型 72"/>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279">
    <w:name w:val="简明型 11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280">
    <w:name w:val="古典型 111"/>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281">
    <w:name w:val="网格型 111"/>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282">
    <w:name w:val="网格型 511"/>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283">
    <w:name w:val="网格型 711"/>
    <w:basedOn w:val="88"/>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284">
    <w:name w:val="网格型 811"/>
    <w:basedOn w:val="88"/>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285">
    <w:name w:val="列表型 311"/>
    <w:basedOn w:val="88"/>
    <w:semiHidden/>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286">
    <w:name w:val="流行型11"/>
    <w:basedOn w:val="88"/>
    <w:semiHidden/>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287">
    <w:name w:val="典雅型11"/>
    <w:basedOn w:val="88"/>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288">
    <w:name w:val="专业型11"/>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289">
    <w:name w:val="报告表格1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290">
    <w:name w:val="wb011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91">
    <w:name w:val="三线表1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292">
    <w:name w:val="环评报告书表格3"/>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93">
    <w:name w:val="网格型22"/>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4">
    <w:name w:val="环评报告书表格12"/>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95">
    <w:name w:val="环评报告书表格4"/>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96">
    <w:name w:val="网格型23"/>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7">
    <w:name w:val="环评报告书表格13"/>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298">
    <w:name w:val="网格型刘2"/>
    <w:basedOn w:val="8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299">
    <w:name w:val="网格型 13"/>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00">
    <w:name w:val="网格型 53"/>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01">
    <w:name w:val="报告表格3"/>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302">
    <w:name w:val="表格主题2"/>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3">
    <w:name w:val="专业型3"/>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304">
    <w:name w:val="古典型 13"/>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05">
    <w:name w:val="new2"/>
    <w:basedOn w:val="88"/>
    <w:qFormat/>
    <w:uiPriority w:val="0"/>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2306">
    <w:name w:val="wb013"/>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07">
    <w:name w:val="灰度表格16"/>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08">
    <w:name w:val="典雅型3"/>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309">
    <w:name w:val="流行型3"/>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310">
    <w:name w:val="网格型12"/>
    <w:basedOn w:val="88"/>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1">
    <w:name w:val="简明型 13"/>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12">
    <w:name w:val="三线表3"/>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313">
    <w:name w:val="网格型42"/>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14">
    <w:name w:val="网格型 83"/>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15">
    <w:name w:val="列表型 33"/>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316">
    <w:name w:val="网格型 73"/>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17">
    <w:name w:val="简明型 112"/>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18">
    <w:name w:val="古典型 112"/>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19">
    <w:name w:val="网格型 112"/>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20">
    <w:name w:val="网格型 512"/>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21">
    <w:name w:val="网格型 712"/>
    <w:basedOn w:val="88"/>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22">
    <w:name w:val="网格型 812"/>
    <w:basedOn w:val="88"/>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23">
    <w:name w:val="列表型 312"/>
    <w:basedOn w:val="88"/>
    <w:semiHidden/>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324">
    <w:name w:val="流行型12"/>
    <w:basedOn w:val="88"/>
    <w:semiHidden/>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325">
    <w:name w:val="典雅型12"/>
    <w:basedOn w:val="88"/>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326">
    <w:name w:val="专业型12"/>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327">
    <w:name w:val="报告表格12"/>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328">
    <w:name w:val="wb0112"/>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29">
    <w:name w:val="三线表12"/>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330">
    <w:name w:val="环评报告书表格2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31">
    <w:name w:val="环评报告书表格11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32">
    <w:name w:val="网格型刘11"/>
    <w:basedOn w:val="8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3">
    <w:name w:val="网格型 12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34">
    <w:name w:val="网格型 521"/>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35">
    <w:name w:val="报告表格2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336">
    <w:name w:val="表格主题1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37">
    <w:name w:val="专业型2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338">
    <w:name w:val="古典型 121"/>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39">
    <w:name w:val="new11"/>
    <w:basedOn w:val="88"/>
    <w:qFormat/>
    <w:uiPriority w:val="0"/>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2340">
    <w:name w:val="wb012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41">
    <w:name w:val="灰度表格15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2">
    <w:name w:val="典雅型21"/>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343">
    <w:name w:val="流行型21"/>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344">
    <w:name w:val="网格型111"/>
    <w:basedOn w:val="88"/>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5">
    <w:name w:val="简明型 12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46">
    <w:name w:val="三线表2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347">
    <w:name w:val="网格型411"/>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8">
    <w:name w:val="网格型 821"/>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49">
    <w:name w:val="列表型 321"/>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350">
    <w:name w:val="网格型 721"/>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51">
    <w:name w:val="简明型 111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52">
    <w:name w:val="古典型 1111"/>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53">
    <w:name w:val="网格型 1111"/>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54">
    <w:name w:val="网格型 5111"/>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55">
    <w:name w:val="网格型 7111"/>
    <w:basedOn w:val="88"/>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56">
    <w:name w:val="网格型 8111"/>
    <w:basedOn w:val="88"/>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57">
    <w:name w:val="列表型 3111"/>
    <w:basedOn w:val="88"/>
    <w:semiHidden/>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358">
    <w:name w:val="流行型111"/>
    <w:basedOn w:val="88"/>
    <w:semiHidden/>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359">
    <w:name w:val="典雅型111"/>
    <w:basedOn w:val="88"/>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360">
    <w:name w:val="专业型111"/>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361">
    <w:name w:val="报告表格11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362">
    <w:name w:val="wb0111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63">
    <w:name w:val="三线表11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364">
    <w:name w:val="环评报告书表格3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65">
    <w:name w:val="网格型221"/>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6">
    <w:name w:val="环评报告书表格12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67">
    <w:name w:val="网格型刘3"/>
    <w:basedOn w:val="8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68">
    <w:name w:val="网格型 14"/>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69">
    <w:name w:val="网格型 54"/>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70">
    <w:name w:val="报告表格4"/>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371">
    <w:name w:val="表格主题3"/>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2">
    <w:name w:val="专业型4"/>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373">
    <w:name w:val="古典型 14"/>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74">
    <w:name w:val="new3"/>
    <w:basedOn w:val="88"/>
    <w:qFormat/>
    <w:uiPriority w:val="0"/>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2375">
    <w:name w:val="wb014"/>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76">
    <w:name w:val="灰度表格17"/>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77">
    <w:name w:val="典雅型4"/>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378">
    <w:name w:val="流行型4"/>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379">
    <w:name w:val="网格型13"/>
    <w:basedOn w:val="88"/>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0">
    <w:name w:val="简明型 14"/>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81">
    <w:name w:val="三线表4"/>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382">
    <w:name w:val="网格型43"/>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3">
    <w:name w:val="网格型 84"/>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84">
    <w:name w:val="环评报告书表格5"/>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385">
    <w:name w:val="列表型 34"/>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386">
    <w:name w:val="网格型 74"/>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87">
    <w:name w:val="网格型24"/>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88">
    <w:name w:val="简明型 113"/>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89">
    <w:name w:val="古典型 113"/>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390">
    <w:name w:val="网格型 113"/>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391">
    <w:name w:val="网格型 513"/>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392">
    <w:name w:val="网格型 713"/>
    <w:basedOn w:val="88"/>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393">
    <w:name w:val="网格型 813"/>
    <w:basedOn w:val="88"/>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394">
    <w:name w:val="列表型 313"/>
    <w:basedOn w:val="88"/>
    <w:semiHidden/>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395">
    <w:name w:val="流行型13"/>
    <w:basedOn w:val="88"/>
    <w:semiHidden/>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396">
    <w:name w:val="典雅型13"/>
    <w:basedOn w:val="88"/>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397">
    <w:name w:val="专业型13"/>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398">
    <w:name w:val="报告表格13"/>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399">
    <w:name w:val="wb0113"/>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00">
    <w:name w:val="三线表13"/>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401">
    <w:name w:val="环评报告书表格14"/>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02">
    <w:name w:val="环评报告书表格22"/>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03">
    <w:name w:val="网格型212"/>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4">
    <w:name w:val="环评报告书表格112"/>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05">
    <w:name w:val="网格型刘12"/>
    <w:basedOn w:val="88"/>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06">
    <w:name w:val="网格型 122"/>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07">
    <w:name w:val="网格型 522"/>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08">
    <w:name w:val="报告表格22"/>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409">
    <w:name w:val="表格主题12"/>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0">
    <w:name w:val="专业型22"/>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411">
    <w:name w:val="古典型 122"/>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412">
    <w:name w:val="new12"/>
    <w:basedOn w:val="88"/>
    <w:qFormat/>
    <w:uiPriority w:val="0"/>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
  </w:style>
  <w:style w:type="table" w:customStyle="1" w:styleId="2413">
    <w:name w:val="wb0122"/>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14">
    <w:name w:val="灰度表格152"/>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5">
    <w:name w:val="典雅型22"/>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416">
    <w:name w:val="流行型22"/>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17">
    <w:name w:val="网格型112"/>
    <w:basedOn w:val="88"/>
    <w:semiHidden/>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18">
    <w:name w:val="简明型 122"/>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19">
    <w:name w:val="三线表22"/>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420">
    <w:name w:val="网格型412"/>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21">
    <w:name w:val="网格型 822"/>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422">
    <w:name w:val="列表型 322"/>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423">
    <w:name w:val="网格型 722"/>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424">
    <w:name w:val="简明型 1112"/>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25">
    <w:name w:val="古典型 1112"/>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426">
    <w:name w:val="网格型 1112"/>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27">
    <w:name w:val="网格型 5112"/>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28">
    <w:name w:val="网格型 7112"/>
    <w:basedOn w:val="88"/>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429">
    <w:name w:val="网格型 8112"/>
    <w:basedOn w:val="88"/>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430">
    <w:name w:val="列表型 3112"/>
    <w:basedOn w:val="88"/>
    <w:semiHidden/>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431">
    <w:name w:val="流行型112"/>
    <w:basedOn w:val="88"/>
    <w:semiHidden/>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32">
    <w:name w:val="典雅型112"/>
    <w:basedOn w:val="88"/>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433">
    <w:name w:val="专业型112"/>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434">
    <w:name w:val="报告表格112"/>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435">
    <w:name w:val="wb01112"/>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36">
    <w:name w:val="三线表112"/>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437">
    <w:name w:val="环评报告书表格32"/>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38">
    <w:name w:val="网格型222"/>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39">
    <w:name w:val="环评报告书表格122"/>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40">
    <w:name w:val="环评报告书表格6"/>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41">
    <w:name w:val="网格型25"/>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2">
    <w:name w:val="环评报告书表格15"/>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43">
    <w:name w:val="网格型3"/>
    <w:basedOn w:val="8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44">
    <w:name w:val="简明型 15"/>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45">
    <w:name w:val="古典型 15"/>
    <w:basedOn w:val="88"/>
    <w:semiHidden/>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446">
    <w:name w:val="网格型 15"/>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47">
    <w:name w:val="网格型 55"/>
    <w:basedOn w:val="88"/>
    <w:semiHidden/>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48">
    <w:name w:val="网格型 75"/>
    <w:basedOn w:val="88"/>
    <w:semiHidden/>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449">
    <w:name w:val="网格型 85"/>
    <w:basedOn w:val="88"/>
    <w:semiHidden/>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450">
    <w:name w:val="列表型 35"/>
    <w:basedOn w:val="88"/>
    <w:semiHidden/>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451">
    <w:name w:val="流行型5"/>
    <w:basedOn w:val="88"/>
    <w:semiHidden/>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52">
    <w:name w:val="典雅型5"/>
    <w:basedOn w:val="88"/>
    <w:semiHidden/>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453">
    <w:name w:val="专业型5"/>
    <w:basedOn w:val="88"/>
    <w:semiHidden/>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454">
    <w:name w:val="报告表格5"/>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455">
    <w:name w:val="wb015"/>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56">
    <w:name w:val="三线表5"/>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457">
    <w:name w:val="环评报告书表格7"/>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58">
    <w:name w:val="网格型26"/>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459">
    <w:name w:val="环评报告书表格16"/>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60">
    <w:name w:val="环评报告书表格23"/>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61">
    <w:name w:val="网格型 123"/>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62">
    <w:name w:val="网格型 523"/>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63">
    <w:name w:val="报告表格23"/>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464">
    <w:name w:val="专业型23"/>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465">
    <w:name w:val="古典型 123"/>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466">
    <w:name w:val="wb0123"/>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67">
    <w:name w:val="典雅型23"/>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468">
    <w:name w:val="流行型23"/>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69">
    <w:name w:val="简明型 123"/>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70">
    <w:name w:val="三线表23"/>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471">
    <w:name w:val="网格型 823"/>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472">
    <w:name w:val="列表型 323"/>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473">
    <w:name w:val="网格型 723"/>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474">
    <w:name w:val="环评报告书表格33"/>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75">
    <w:name w:val="环评报告书表格4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76">
    <w:name w:val="网格型 13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77">
    <w:name w:val="网格型 531"/>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78">
    <w:name w:val="报告表格3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479">
    <w:name w:val="专业型3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480">
    <w:name w:val="古典型 131"/>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481">
    <w:name w:val="wb013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82">
    <w:name w:val="典雅型31"/>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483">
    <w:name w:val="流行型31"/>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84">
    <w:name w:val="简明型 13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85">
    <w:name w:val="三线表3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486">
    <w:name w:val="网格型 831"/>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487">
    <w:name w:val="列表型 331"/>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488">
    <w:name w:val="网格型 731"/>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489">
    <w:name w:val="环评报告书表格21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90">
    <w:name w:val="网格型 121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491">
    <w:name w:val="网格型 5211"/>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492">
    <w:name w:val="报告表格21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493">
    <w:name w:val="专业型21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494">
    <w:name w:val="古典型 1211"/>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495">
    <w:name w:val="wb0121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496">
    <w:name w:val="典雅型211"/>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497">
    <w:name w:val="流行型211"/>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498">
    <w:name w:val="简明型 121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499">
    <w:name w:val="三线表21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500">
    <w:name w:val="网格型 8211"/>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501">
    <w:name w:val="列表型 3211"/>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502">
    <w:name w:val="网格型 7211"/>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503">
    <w:name w:val="环评报告书表格31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04">
    <w:name w:val="网格型 14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05">
    <w:name w:val="网格型 541"/>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506">
    <w:name w:val="报告表格4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507">
    <w:name w:val="专业型4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508">
    <w:name w:val="古典型 141"/>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509">
    <w:name w:val="wb014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10">
    <w:name w:val="典雅型41"/>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511">
    <w:name w:val="流行型41"/>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512">
    <w:name w:val="简明型 14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513">
    <w:name w:val="三线表4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514">
    <w:name w:val="网格型 841"/>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515">
    <w:name w:val="环评报告书表格5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16">
    <w:name w:val="列表型 341"/>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517">
    <w:name w:val="网格型 741"/>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518">
    <w:name w:val="环评报告书表格22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19">
    <w:name w:val="网格型 122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lastRow">
      <w:rPr>
        <w:i/>
        <w:iCs/>
      </w:rPr>
      <w:tcPr>
        <w:tcBorders>
          <w:tl2br w:val="nil"/>
          <w:tr2bl w:val="nil"/>
        </w:tcBorders>
      </w:tcPr>
    </w:tblStylePr>
    <w:tblStylePr w:type="lastCol">
      <w:rPr>
        <w:i/>
        <w:iCs/>
      </w:rPr>
      <w:tcPr>
        <w:tcBorders>
          <w:tl2br w:val="nil"/>
          <w:tr2bl w:val="nil"/>
        </w:tcBorders>
      </w:tcPr>
    </w:tblStylePr>
    <w:tblStylePr w:type="nwCell">
      <w:tcPr>
        <w:tcBorders>
          <w:tl2br w:val="single" w:color="000000" w:sz="6" w:space="0"/>
          <w:tr2bl w:val="nil"/>
        </w:tcBorders>
      </w:tcPr>
    </w:tblStylePr>
  </w:style>
  <w:style w:type="table" w:customStyle="1" w:styleId="2520">
    <w:name w:val="网格型 5221"/>
    <w:basedOn w:val="88"/>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tcPr>
        <w:tcBorders>
          <w:bottom w:val="single" w:color="000000" w:sz="12" w:space="0"/>
          <w:tl2br w:val="nil"/>
          <w:tr2bl w:val="nil"/>
        </w:tcBorders>
      </w:tcPr>
    </w:tblStylePr>
    <w:tblStylePr w:type="lastRow">
      <w:rPr>
        <w:b/>
        <w:bCs/>
      </w:rPr>
      <w:tcPr>
        <w:tcBorders>
          <w:tl2br w:val="nil"/>
          <w:tr2bl w:val="nil"/>
        </w:tcBorders>
      </w:tcPr>
    </w:tblStylePr>
    <w:tblStylePr w:type="lastCol">
      <w:rPr>
        <w:b/>
        <w:bCs/>
      </w:rPr>
      <w:tcPr>
        <w:tcBorders>
          <w:tl2br w:val="nil"/>
          <w:tr2bl w:val="nil"/>
        </w:tcBorders>
      </w:tcPr>
    </w:tblStylePr>
    <w:tblStylePr w:type="nwCell">
      <w:tcPr>
        <w:tcBorders>
          <w:tl2br w:val="single" w:color="000000" w:sz="6" w:space="0"/>
          <w:tr2bl w:val="nil"/>
        </w:tcBorders>
      </w:tcPr>
    </w:tblStylePr>
  </w:style>
  <w:style w:type="table" w:customStyle="1" w:styleId="2521">
    <w:name w:val="报告表格221"/>
    <w:basedOn w:val="88"/>
    <w:qFormat/>
    <w:uiPriority w:val="0"/>
    <w:pPr>
      <w:widowControl w:val="0"/>
      <w:spacing w:line="0" w:lineRule="atLeast"/>
      <w:jc w:val="center"/>
    </w:pPr>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tblStylePr w:type="firstRow">
      <w:rPr>
        <w:rFonts w:hint="default" w:ascii="Times New Roman" w:hAnsi="Times New Roman" w:eastAsia="黑体" w:cs="Times New Roman"/>
      </w:rPr>
    </w:tblStylePr>
    <w:tblStylePr w:type="firstCol">
      <w:rPr>
        <w:rFonts w:hint="default" w:ascii="Times New Roman" w:hAnsi="Times New Roman" w:eastAsia="黑体" w:cs="Times New Roman"/>
      </w:rPr>
    </w:tblStylePr>
  </w:style>
  <w:style w:type="table" w:customStyle="1" w:styleId="2522">
    <w:name w:val="专业型221"/>
    <w:basedOn w:val="88"/>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b/>
        <w:bCs/>
        <w:color w:val="auto"/>
      </w:rPr>
      <w:tcPr>
        <w:tcBorders>
          <w:tl2br w:val="nil"/>
          <w:tr2bl w:val="nil"/>
        </w:tcBorders>
        <w:shd w:val="solid" w:color="000000" w:fill="FFFFFF"/>
      </w:tcPr>
    </w:tblStylePr>
  </w:style>
  <w:style w:type="table" w:customStyle="1" w:styleId="2523">
    <w:name w:val="古典型 1221"/>
    <w:basedOn w:val="88"/>
    <w:qFormat/>
    <w:uiPriority w:val="0"/>
    <w:pPr>
      <w:widowControl w:val="0"/>
      <w:jc w:val="both"/>
    </w:pPr>
    <w:rPr>
      <w:rFonts w:ascii="Times New Roman" w:hAnsi="Times New Roman"/>
    </w:rPr>
    <w:tblPr>
      <w:tblBorders>
        <w:top w:val="single" w:color="000000" w:sz="12" w:space="0"/>
        <w:bottom w:val="single" w:color="000000" w:sz="12" w:space="0"/>
      </w:tblBorders>
      <w:tblCellMar>
        <w:top w:w="0" w:type="dxa"/>
        <w:left w:w="108" w:type="dxa"/>
        <w:bottom w:w="0" w:type="dxa"/>
        <w:right w:w="108" w:type="dxa"/>
      </w:tblCellMar>
    </w:tblPr>
    <w:tblStylePr w:type="firstRow">
      <w:rPr>
        <w:i/>
        <w:i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tcPr>
        <w:tcBorders>
          <w:right w:val="single" w:color="000000" w:sz="6" w:space="0"/>
          <w:tl2br w:val="nil"/>
          <w:tr2bl w:val="nil"/>
        </w:tcBorders>
      </w:tcPr>
    </w:tblStylePr>
    <w:tblStylePr w:type="neCell">
      <w:rPr>
        <w:b/>
        <w:bCs/>
        <w:i w:val="0"/>
        <w:iCs w:val="0"/>
      </w:rPr>
      <w:tcPr>
        <w:tcBorders>
          <w:tl2br w:val="nil"/>
          <w:tr2bl w:val="nil"/>
        </w:tcBorders>
      </w:tcPr>
    </w:tblStylePr>
    <w:tblStylePr w:type="swCell">
      <w:rPr>
        <w:b/>
        <w:bCs/>
      </w:rPr>
      <w:tcPr>
        <w:tcBorders>
          <w:tl2br w:val="nil"/>
          <w:tr2bl w:val="nil"/>
        </w:tcBorders>
      </w:tcPr>
    </w:tblStylePr>
  </w:style>
  <w:style w:type="table" w:customStyle="1" w:styleId="2524">
    <w:name w:val="wb01221"/>
    <w:basedOn w:val="88"/>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25">
    <w:name w:val="典雅型221"/>
    <w:basedOn w:val="88"/>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blStylePr w:type="firstRow">
      <w:rPr>
        <w:caps/>
        <w:color w:val="auto"/>
      </w:rPr>
      <w:tcPr>
        <w:tcBorders>
          <w:tl2br w:val="nil"/>
          <w:tr2bl w:val="nil"/>
        </w:tcBorders>
      </w:tcPr>
    </w:tblStylePr>
  </w:style>
  <w:style w:type="table" w:customStyle="1" w:styleId="2526">
    <w:name w:val="流行型221"/>
    <w:basedOn w:val="88"/>
    <w:qFormat/>
    <w:uiPriority w:val="0"/>
    <w:pPr>
      <w:widowControl w:val="0"/>
      <w:jc w:val="both"/>
    </w:pPr>
    <w:rPr>
      <w:rFonts w:ascii="Times New Roman" w:hAnsi="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cPr>
        <w:tcBorders>
          <w:tl2br w:val="nil"/>
          <w:tr2bl w:val="nil"/>
        </w:tcBorders>
        <w:shd w:val="pct20" w:color="000000" w:fill="FFFFFF"/>
      </w:tcPr>
    </w:tblStylePr>
    <w:tblStylePr w:type="band1Horz">
      <w:rPr>
        <w:color w:val="auto"/>
      </w:rPr>
      <w:tcPr>
        <w:tcBorders>
          <w:tl2br w:val="nil"/>
          <w:tr2bl w:val="nil"/>
        </w:tcBorders>
        <w:shd w:val="pct5" w:color="000000" w:fill="FFFFFF"/>
      </w:tcPr>
    </w:tblStylePr>
    <w:tblStylePr w:type="band2Horz">
      <w:rPr>
        <w:color w:val="auto"/>
      </w:rPr>
      <w:tcPr>
        <w:tcBorders>
          <w:tl2br w:val="nil"/>
          <w:tr2bl w:val="nil"/>
        </w:tcBorders>
        <w:shd w:val="pct20" w:color="000000" w:fill="FFFFFF"/>
      </w:tcPr>
    </w:tblStylePr>
  </w:style>
  <w:style w:type="table" w:customStyle="1" w:styleId="2527">
    <w:name w:val="简明型 1221"/>
    <w:basedOn w:val="88"/>
    <w:semiHidden/>
    <w:qFormat/>
    <w:uiPriority w:val="0"/>
    <w:pPr>
      <w:widowControl w:val="0"/>
      <w:jc w:val="both"/>
    </w:pPr>
    <w:rPr>
      <w:rFonts w:ascii="Times New Roman" w:hAnsi="Times New Roman"/>
    </w:rPr>
    <w:tblPr>
      <w:tblBorders>
        <w:top w:val="single" w:color="008000" w:sz="12" w:space="0"/>
        <w:bottom w:val="single" w:color="008000" w:sz="12" w:space="0"/>
      </w:tblBorders>
      <w:tblCellMar>
        <w:top w:w="0" w:type="dxa"/>
        <w:left w:w="108" w:type="dxa"/>
        <w:bottom w:w="0" w:type="dxa"/>
        <w:right w:w="108" w:type="dxa"/>
      </w:tblCellMar>
    </w:tbl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528">
    <w:name w:val="三线表221"/>
    <w:basedOn w:val="89"/>
    <w:qFormat/>
    <w:uiPriority w:val="0"/>
    <w:pPr>
      <w:adjustRightInd w:val="0"/>
      <w:snapToGrid w:val="0"/>
      <w:spacing w:line="312" w:lineRule="auto"/>
      <w:jc w:val="center"/>
    </w:pPr>
    <w:tblPr>
      <w:tblBorders>
        <w:top w:val="single" w:color="auto" w:sz="12" w:space="0"/>
        <w:bottom w:val="single" w:color="auto" w:sz="12" w:space="0"/>
      </w:tblBorders>
      <w:tblCellMar>
        <w:top w:w="0" w:type="dxa"/>
        <w:left w:w="108" w:type="dxa"/>
        <w:bottom w:w="0" w:type="dxa"/>
        <w:right w:w="108" w:type="dxa"/>
      </w:tblCellMar>
    </w:tblPr>
    <w:tcPr>
      <w:vAlign w:val="center"/>
    </w:tcPr>
  </w:style>
  <w:style w:type="table" w:customStyle="1" w:styleId="2529">
    <w:name w:val="网格型 8221"/>
    <w:basedOn w:val="88"/>
    <w:qFormat/>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blStylePr w:type="firstRow">
      <w:rPr>
        <w:b/>
        <w:bCs/>
        <w:color w:val="FFFFFF"/>
      </w:rPr>
      <w:tcPr>
        <w:tcBorders>
          <w:tl2br w:val="nil"/>
          <w:tr2bl w:val="nil"/>
        </w:tcBorders>
        <w:shd w:val="solid" w:color="000080" w:fill="FFFFFF"/>
      </w:tcPr>
    </w:tblStylePr>
    <w:tblStylePr w:type="lastRow">
      <w:rPr>
        <w:b/>
        <w:bCs/>
        <w:color w:val="auto"/>
      </w:rPr>
      <w:tcPr>
        <w:tcBorders>
          <w:tl2br w:val="nil"/>
          <w:tr2bl w:val="nil"/>
        </w:tcBorders>
      </w:tcPr>
    </w:tblStylePr>
    <w:tblStylePr w:type="lastCol">
      <w:rPr>
        <w:b/>
        <w:bCs/>
        <w:color w:val="auto"/>
      </w:rPr>
      <w:tcPr>
        <w:tcBorders>
          <w:tl2br w:val="nil"/>
          <w:tr2bl w:val="nil"/>
        </w:tcBorders>
      </w:tcPr>
    </w:tblStylePr>
  </w:style>
  <w:style w:type="table" w:customStyle="1" w:styleId="2530">
    <w:name w:val="列表型 3221"/>
    <w:basedOn w:val="88"/>
    <w:qFormat/>
    <w:uiPriority w:val="0"/>
    <w:pPr>
      <w:widowControl w:val="0"/>
      <w:jc w:val="both"/>
    </w:pPr>
    <w:rPr>
      <w:rFonts w:ascii="Times New Roman" w:hAnsi="Times New Roman"/>
    </w:rPr>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531">
    <w:name w:val="网格型 7221"/>
    <w:basedOn w:val="88"/>
    <w:qFormat/>
    <w:uiPriority w:val="0"/>
    <w:pPr>
      <w:widowControl w:val="0"/>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blStylePr w:type="firstRow">
      <w:rPr>
        <w:b w:val="0"/>
        <w:bCs w:val="0"/>
      </w:rPr>
      <w:tcPr>
        <w:tcBorders>
          <w:bottom w:val="single" w:color="000000" w:sz="12" w:space="0"/>
          <w:tl2br w:val="nil"/>
          <w:tr2bl w:val="nil"/>
        </w:tcBorders>
      </w:tcPr>
    </w:tblStylePr>
    <w:tblStylePr w:type="lastRow">
      <w:rPr>
        <w:b w:val="0"/>
        <w:bCs w:val="0"/>
      </w:rPr>
      <w:tcPr>
        <w:tcBorders>
          <w:top w:val="single" w:color="000000" w:sz="6" w:space="0"/>
          <w:tl2br w:val="nil"/>
          <w:tr2bl w:val="nil"/>
        </w:tcBorders>
      </w:tcPr>
    </w:tblStylePr>
    <w:tblStylePr w:type="firstCol">
      <w:rPr>
        <w:b w:val="0"/>
        <w:bCs w:val="0"/>
      </w:rPr>
      <w:tcPr>
        <w:tcBorders>
          <w:tl2br w:val="nil"/>
          <w:tr2bl w:val="nil"/>
        </w:tcBorders>
      </w:tcPr>
    </w:tblStylePr>
    <w:tblStylePr w:type="lastCol">
      <w:rPr>
        <w:b w:val="0"/>
        <w:bCs w:val="0"/>
      </w:rPr>
      <w:tcPr>
        <w:tcBorders>
          <w:tl2br w:val="nil"/>
          <w:tr2bl w:val="nil"/>
        </w:tcBorders>
      </w:tcPr>
    </w:tblStylePr>
    <w:tblStylePr w:type="nwCell">
      <w:tcPr>
        <w:tcBorders>
          <w:tl2br w:val="single" w:color="000000" w:sz="6" w:space="0"/>
          <w:tr2bl w:val="nil"/>
        </w:tcBorders>
      </w:tcPr>
    </w:tblStylePr>
  </w:style>
  <w:style w:type="table" w:customStyle="1" w:styleId="2532">
    <w:name w:val="环评报告书表格32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table" w:customStyle="1" w:styleId="2533">
    <w:name w:val="环评报告书表格61"/>
    <w:basedOn w:val="88"/>
    <w:qFormat/>
    <w:uiPriority w:val="0"/>
    <w:pPr>
      <w:spacing w:line="360" w:lineRule="exact"/>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paragraph" w:customStyle="1" w:styleId="2534">
    <w:name w:val="表格文字（高高）"/>
    <w:basedOn w:val="1972"/>
    <w:semiHidden/>
    <w:qFormat/>
    <w:uiPriority w:val="99"/>
    <w:pPr>
      <w:spacing w:beforeLines="25" w:afterLines="25"/>
    </w:pPr>
    <w:rPr>
      <w:color w:val="FF0000"/>
    </w:rPr>
  </w:style>
  <w:style w:type="paragraph" w:customStyle="1" w:styleId="2535">
    <w:name w:val="已有表格"/>
    <w:basedOn w:val="1"/>
    <w:qFormat/>
    <w:uiPriority w:val="0"/>
    <w:pPr>
      <w:tabs>
        <w:tab w:val="left" w:pos="900"/>
      </w:tabs>
      <w:adjustRightInd w:val="0"/>
      <w:spacing w:before="40" w:after="40"/>
      <w:ind w:firstLine="480"/>
      <w:jc w:val="center"/>
      <w:textAlignment w:val="baseline"/>
    </w:pPr>
    <w:rPr>
      <w:b/>
      <w:kern w:val="0"/>
      <w:sz w:val="24"/>
      <w:szCs w:val="20"/>
    </w:rPr>
  </w:style>
  <w:style w:type="paragraph" w:customStyle="1" w:styleId="2536">
    <w:name w:val="表格标题11"/>
    <w:basedOn w:val="60"/>
    <w:semiHidden/>
    <w:qFormat/>
    <w:uiPriority w:val="0"/>
    <w:pPr>
      <w:numPr>
        <w:ilvl w:val="0"/>
        <w:numId w:val="15"/>
      </w:numPr>
      <w:pBdr>
        <w:top w:val="single" w:color="auto" w:sz="4" w:space="1"/>
      </w:pBdr>
      <w:adjustRightInd w:val="0"/>
      <w:spacing w:after="0" w:line="240" w:lineRule="atLeast"/>
      <w:ind w:leftChars="0"/>
      <w:jc w:val="center"/>
      <w:textAlignment w:val="baseline"/>
    </w:pPr>
    <w:rPr>
      <w:b/>
      <w:kern w:val="0"/>
      <w:szCs w:val="20"/>
    </w:rPr>
  </w:style>
  <w:style w:type="character" w:customStyle="1" w:styleId="2537">
    <w:name w:val="pron1"/>
    <w:qFormat/>
    <w:uiPriority w:val="0"/>
    <w:rPr>
      <w:color w:val="333333"/>
    </w:rPr>
  </w:style>
  <w:style w:type="paragraph" w:customStyle="1" w:styleId="2538">
    <w:name w:val="Char40"/>
    <w:basedOn w:val="27"/>
    <w:qFormat/>
    <w:uiPriority w:val="0"/>
    <w:rPr>
      <w:rFonts w:ascii="Tahoma" w:hAnsi="Tahoma"/>
      <w:sz w:val="24"/>
    </w:rPr>
  </w:style>
  <w:style w:type="paragraph" w:customStyle="1" w:styleId="2539">
    <w:name w:val="Char Char Char6"/>
    <w:basedOn w:val="1"/>
    <w:qFormat/>
    <w:uiPriority w:val="0"/>
    <w:rPr>
      <w:sz w:val="24"/>
    </w:rPr>
  </w:style>
  <w:style w:type="paragraph" w:customStyle="1" w:styleId="2540">
    <w:name w:val="Char Char Char Char9"/>
    <w:basedOn w:val="1"/>
    <w:qFormat/>
    <w:uiPriority w:val="0"/>
    <w:pPr>
      <w:spacing w:line="360" w:lineRule="auto"/>
      <w:ind w:firstLine="200" w:firstLineChars="200"/>
    </w:pPr>
    <w:rPr>
      <w:rFonts w:ascii="宋体" w:hAnsi="宋体" w:cs="宋体"/>
      <w:sz w:val="24"/>
    </w:rPr>
  </w:style>
  <w:style w:type="paragraph" w:customStyle="1" w:styleId="2541">
    <w:name w:val="Char Char Char Char Char Char5"/>
    <w:basedOn w:val="1"/>
    <w:qFormat/>
    <w:uiPriority w:val="0"/>
  </w:style>
  <w:style w:type="paragraph" w:customStyle="1" w:styleId="2542">
    <w:name w:val="Char Char Char Char Char Char Char19"/>
    <w:basedOn w:val="1"/>
    <w:qFormat/>
    <w:uiPriority w:val="0"/>
    <w:rPr>
      <w:sz w:val="24"/>
    </w:rPr>
  </w:style>
  <w:style w:type="paragraph" w:customStyle="1" w:styleId="2543">
    <w:name w:val="Char Char Char Char Char Char Char Char Char5"/>
    <w:basedOn w:val="1"/>
    <w:semiHidden/>
    <w:qFormat/>
    <w:uiPriority w:val="0"/>
    <w:pPr>
      <w:spacing w:line="360" w:lineRule="auto"/>
      <w:ind w:firstLine="200" w:firstLineChars="200"/>
    </w:pPr>
    <w:rPr>
      <w:rFonts w:ascii="宋体" w:hAnsi="宋体" w:cs="宋体"/>
      <w:sz w:val="24"/>
    </w:rPr>
  </w:style>
  <w:style w:type="paragraph" w:customStyle="1" w:styleId="2544">
    <w:name w:val="Char Char Char Char Char Char Char Char Char Char4"/>
    <w:basedOn w:val="1"/>
    <w:qFormat/>
    <w:uiPriority w:val="0"/>
    <w:rPr>
      <w:sz w:val="24"/>
    </w:rPr>
  </w:style>
  <w:style w:type="paragraph" w:customStyle="1" w:styleId="2545">
    <w:name w:val="Char Char Char Char Char Char Char Char Char Char Char Char Char Char Char Char Char Char Char Char Char Char Char Char Char Char Char Char Char Char Char Char Char Char Char Char Char Char Char Char4"/>
    <w:basedOn w:val="1"/>
    <w:qFormat/>
    <w:uiPriority w:val="0"/>
    <w:rPr>
      <w:sz w:val="24"/>
    </w:rPr>
  </w:style>
  <w:style w:type="paragraph" w:customStyle="1" w:styleId="2546">
    <w:name w:val="Char Char Char Char Char Char Char Char Char1 Char Char Char Char4"/>
    <w:basedOn w:val="1"/>
    <w:qFormat/>
    <w:uiPriority w:val="0"/>
    <w:rPr>
      <w:szCs w:val="21"/>
    </w:rPr>
  </w:style>
  <w:style w:type="paragraph" w:customStyle="1" w:styleId="2547">
    <w:name w:val="Char Char Char Char Char Char Char Char1 Char Char Char Char Char Char Char Char Char Char Char Char1 Char4"/>
    <w:basedOn w:val="1"/>
    <w:semiHidden/>
    <w:qFormat/>
    <w:uiPriority w:val="0"/>
    <w:rPr>
      <w:sz w:val="24"/>
    </w:rPr>
  </w:style>
  <w:style w:type="character" w:customStyle="1" w:styleId="2548">
    <w:name w:val="Char Char Char Char15"/>
    <w:semiHidden/>
    <w:qFormat/>
    <w:uiPriority w:val="0"/>
    <w:rPr>
      <w:rFonts w:eastAsia="宋体"/>
      <w:kern w:val="2"/>
      <w:sz w:val="24"/>
      <w:szCs w:val="24"/>
      <w:lang w:val="en-US" w:eastAsia="zh-CN" w:bidi="ar-SA"/>
    </w:rPr>
  </w:style>
  <w:style w:type="paragraph" w:customStyle="1" w:styleId="2549">
    <w:name w:val="Char Char Char Char1 Char Char Char Char Char Char4"/>
    <w:basedOn w:val="1"/>
    <w:next w:val="1"/>
    <w:semiHidden/>
    <w:qFormat/>
    <w:uiPriority w:val="0"/>
    <w:pPr>
      <w:spacing w:line="360" w:lineRule="auto"/>
      <w:ind w:firstLine="200" w:firstLineChars="200"/>
    </w:pPr>
    <w:rPr>
      <w:rFonts w:ascii="宋体" w:hAnsi="宋体" w:cs="宋体"/>
      <w:sz w:val="24"/>
    </w:rPr>
  </w:style>
  <w:style w:type="paragraph" w:customStyle="1" w:styleId="2550">
    <w:name w:val="Char Char Char1 Char5"/>
    <w:basedOn w:val="1"/>
    <w:qFormat/>
    <w:uiPriority w:val="0"/>
    <w:rPr>
      <w:sz w:val="24"/>
    </w:rPr>
  </w:style>
  <w:style w:type="paragraph" w:customStyle="1" w:styleId="2551">
    <w:name w:val="Char Char Char1 Char Char Char Char11"/>
    <w:basedOn w:val="1"/>
    <w:qFormat/>
    <w:uiPriority w:val="0"/>
    <w:pPr>
      <w:spacing w:line="360" w:lineRule="auto"/>
    </w:pPr>
  </w:style>
  <w:style w:type="paragraph" w:customStyle="1" w:styleId="2552">
    <w:name w:val="Char Char Char1 Char Char Char Char Char Char Char Char Char Char Char4"/>
    <w:basedOn w:val="1"/>
    <w:semiHidden/>
    <w:qFormat/>
    <w:uiPriority w:val="0"/>
  </w:style>
  <w:style w:type="paragraph" w:customStyle="1" w:styleId="2553">
    <w:name w:val="Char Char1 Char Char Char Char5"/>
    <w:basedOn w:val="1"/>
    <w:qFormat/>
    <w:uiPriority w:val="0"/>
    <w:rPr>
      <w:sz w:val="24"/>
    </w:rPr>
  </w:style>
  <w:style w:type="paragraph" w:customStyle="1" w:styleId="2554">
    <w:name w:val="Char Char1 Char Char Char Char Char Char Char Char Char Char Char Char Char4"/>
    <w:basedOn w:val="1"/>
    <w:semiHidden/>
    <w:qFormat/>
    <w:uiPriority w:val="0"/>
    <w:pPr>
      <w:spacing w:line="360" w:lineRule="auto"/>
      <w:ind w:firstLine="200" w:firstLineChars="200"/>
    </w:pPr>
    <w:rPr>
      <w:rFonts w:ascii="宋体" w:hAnsi="宋体" w:cs="宋体"/>
      <w:sz w:val="24"/>
    </w:rPr>
  </w:style>
  <w:style w:type="character" w:customStyle="1" w:styleId="2555">
    <w:name w:val="Char Char104"/>
    <w:qFormat/>
    <w:uiPriority w:val="0"/>
    <w:rPr>
      <w:rFonts w:ascii="宋体" w:hAnsi="宋体" w:eastAsia="宋体" w:cs="Times New Roman"/>
      <w:snapToGrid w:val="0"/>
      <w:color w:val="000000"/>
      <w:kern w:val="0"/>
      <w:sz w:val="24"/>
      <w:szCs w:val="24"/>
    </w:rPr>
  </w:style>
  <w:style w:type="character" w:customStyle="1" w:styleId="2556">
    <w:name w:val="Char Char115"/>
    <w:qFormat/>
    <w:uiPriority w:val="0"/>
    <w:rPr>
      <w:rFonts w:ascii="仿宋_GB2312" w:hAnsi="Times New Roman" w:eastAsia="仿宋_GB2312" w:cs="Times New Roman"/>
      <w:sz w:val="28"/>
      <w:szCs w:val="52"/>
    </w:rPr>
  </w:style>
  <w:style w:type="character" w:customStyle="1" w:styleId="2557">
    <w:name w:val="Char Char124"/>
    <w:qFormat/>
    <w:uiPriority w:val="0"/>
  </w:style>
  <w:style w:type="character" w:customStyle="1" w:styleId="2558">
    <w:name w:val="Char Char174"/>
    <w:semiHidden/>
    <w:qFormat/>
    <w:uiPriority w:val="0"/>
    <w:rPr>
      <w:sz w:val="18"/>
      <w:szCs w:val="18"/>
    </w:rPr>
  </w:style>
  <w:style w:type="character" w:customStyle="1" w:styleId="2559">
    <w:name w:val="Char Char216"/>
    <w:qFormat/>
    <w:uiPriority w:val="0"/>
    <w:rPr>
      <w:rFonts w:eastAsia="宋体"/>
      <w:b/>
      <w:bCs/>
      <w:snapToGrid w:val="0"/>
      <w:sz w:val="28"/>
      <w:szCs w:val="32"/>
      <w:lang w:val="en-US" w:eastAsia="zh-CN" w:bidi="ar-SA"/>
    </w:rPr>
  </w:style>
  <w:style w:type="character" w:customStyle="1" w:styleId="2560">
    <w:name w:val="Char Char204"/>
    <w:semiHidden/>
    <w:qFormat/>
    <w:uiPriority w:val="0"/>
    <w:rPr>
      <w:rFonts w:ascii="Arial" w:hAnsi="Arial" w:eastAsia="黑体"/>
      <w:kern w:val="2"/>
      <w:sz w:val="24"/>
      <w:lang w:val="en-US" w:eastAsia="zh-CN" w:bidi="ar-SA"/>
    </w:rPr>
  </w:style>
  <w:style w:type="character" w:customStyle="1" w:styleId="2561">
    <w:name w:val="Char Char215"/>
    <w:qFormat/>
    <w:uiPriority w:val="0"/>
    <w:rPr>
      <w:rFonts w:ascii="Calibri" w:hAnsi="Calibri" w:eastAsia="宋体"/>
      <w:b/>
      <w:kern w:val="2"/>
      <w:sz w:val="24"/>
      <w:lang w:val="en-US" w:eastAsia="zh-CN" w:bidi="ar-SA"/>
    </w:rPr>
  </w:style>
  <w:style w:type="character" w:customStyle="1" w:styleId="2562">
    <w:name w:val="Char Char224"/>
    <w:qFormat/>
    <w:uiPriority w:val="0"/>
    <w:rPr>
      <w:rFonts w:ascii="Calibri" w:hAnsi="Calibri" w:eastAsia="宋体"/>
      <w:kern w:val="2"/>
      <w:sz w:val="24"/>
      <w:lang w:val="en-US" w:eastAsia="zh-CN" w:bidi="ar-SA"/>
    </w:rPr>
  </w:style>
  <w:style w:type="character" w:customStyle="1" w:styleId="2563">
    <w:name w:val="Char Char234"/>
    <w:semiHidden/>
    <w:qFormat/>
    <w:uiPriority w:val="0"/>
    <w:rPr>
      <w:rFonts w:eastAsia="宋体"/>
      <w:b/>
      <w:bCs/>
      <w:kern w:val="2"/>
      <w:sz w:val="28"/>
      <w:szCs w:val="28"/>
      <w:lang w:val="en-US" w:eastAsia="zh-CN" w:bidi="ar-SA"/>
    </w:rPr>
  </w:style>
  <w:style w:type="character" w:customStyle="1" w:styleId="2564">
    <w:name w:val="Char Char244"/>
    <w:semiHidden/>
    <w:qFormat/>
    <w:uiPriority w:val="0"/>
    <w:rPr>
      <w:rFonts w:ascii="Arial" w:hAnsi="Arial" w:eastAsia="黑体"/>
      <w:b/>
      <w:bCs/>
      <w:kern w:val="2"/>
      <w:sz w:val="28"/>
      <w:szCs w:val="28"/>
      <w:lang w:val="en-US" w:eastAsia="zh-CN" w:bidi="ar-SA"/>
    </w:rPr>
  </w:style>
  <w:style w:type="character" w:customStyle="1" w:styleId="2565">
    <w:name w:val="Char Char44"/>
    <w:qFormat/>
    <w:uiPriority w:val="0"/>
    <w:rPr>
      <w:rFonts w:eastAsia="黑体"/>
      <w:b/>
      <w:bCs/>
      <w:snapToGrid w:val="0"/>
      <w:kern w:val="44"/>
      <w:sz w:val="44"/>
      <w:szCs w:val="44"/>
      <w:lang w:val="en-US" w:eastAsia="zh-CN" w:bidi="ar-SA"/>
    </w:rPr>
  </w:style>
  <w:style w:type="paragraph" w:customStyle="1" w:styleId="2566">
    <w:name w:val="Char118"/>
    <w:basedOn w:val="1"/>
    <w:qFormat/>
    <w:uiPriority w:val="0"/>
    <w:pPr>
      <w:widowControl/>
      <w:spacing w:after="160" w:line="240" w:lineRule="exact"/>
      <w:jc w:val="left"/>
    </w:pPr>
    <w:rPr>
      <w:rFonts w:ascii="Verdana" w:hAnsi="Verdana"/>
      <w:kern w:val="0"/>
      <w:sz w:val="20"/>
      <w:szCs w:val="20"/>
      <w:lang w:eastAsia="en-US"/>
    </w:rPr>
  </w:style>
  <w:style w:type="paragraph" w:customStyle="1" w:styleId="2567">
    <w:name w:val="Char1 Char Char4"/>
    <w:basedOn w:val="1"/>
    <w:qFormat/>
    <w:uiPriority w:val="0"/>
  </w:style>
  <w:style w:type="paragraph" w:customStyle="1" w:styleId="2568">
    <w:name w:val="Char1 Char Char Char5"/>
    <w:basedOn w:val="1"/>
    <w:qFormat/>
    <w:uiPriority w:val="0"/>
  </w:style>
  <w:style w:type="paragraph" w:customStyle="1" w:styleId="2569">
    <w:name w:val="Char1 Char Char Char Char Char Char5"/>
    <w:basedOn w:val="1"/>
    <w:qFormat/>
    <w:uiPriority w:val="0"/>
  </w:style>
  <w:style w:type="paragraph" w:customStyle="1" w:styleId="2570">
    <w:name w:val="Char1 Char Char Char Char Char Char Char Char Char4"/>
    <w:basedOn w:val="1"/>
    <w:qFormat/>
    <w:uiPriority w:val="0"/>
  </w:style>
  <w:style w:type="paragraph" w:customStyle="1" w:styleId="2571">
    <w:name w:val="Char1 Char Char Char Char Char Char Char Char Char Char Char Char4"/>
    <w:basedOn w:val="1"/>
    <w:qFormat/>
    <w:uiPriority w:val="0"/>
  </w:style>
  <w:style w:type="paragraph" w:customStyle="1" w:styleId="2572">
    <w:name w:val="Char2 Char Char Char Char Char Char Char Char Char Char Char Char Char Char Char Char Char Char Char Char Char4"/>
    <w:basedOn w:val="1"/>
    <w:qFormat/>
    <w:uiPriority w:val="0"/>
    <w:pPr>
      <w:spacing w:line="360" w:lineRule="auto"/>
      <w:ind w:firstLine="200" w:firstLineChars="200"/>
    </w:pPr>
    <w:rPr>
      <w:rFonts w:eastAsia="黑体"/>
      <w:sz w:val="28"/>
      <w:szCs w:val="28"/>
    </w:rPr>
  </w:style>
  <w:style w:type="paragraph" w:customStyle="1" w:styleId="2573">
    <w:name w:val="Char4 Char Char Char4"/>
    <w:basedOn w:val="1"/>
    <w:qFormat/>
    <w:uiPriority w:val="0"/>
    <w:rPr>
      <w:sz w:val="24"/>
    </w:rPr>
  </w:style>
  <w:style w:type="paragraph" w:customStyle="1" w:styleId="2574">
    <w:name w:val="日期7"/>
    <w:basedOn w:val="1"/>
    <w:next w:val="1"/>
    <w:semiHidden/>
    <w:qFormat/>
    <w:uiPriority w:val="0"/>
    <w:pPr>
      <w:autoSpaceDE w:val="0"/>
      <w:autoSpaceDN w:val="0"/>
      <w:adjustRightInd w:val="0"/>
      <w:textAlignment w:val="baseline"/>
    </w:pPr>
    <w:rPr>
      <w:spacing w:val="5"/>
      <w:kern w:val="0"/>
      <w:sz w:val="24"/>
      <w:szCs w:val="20"/>
    </w:rPr>
  </w:style>
  <w:style w:type="paragraph" w:customStyle="1" w:styleId="2575">
    <w:name w:val="纯文本3"/>
    <w:basedOn w:val="1"/>
    <w:semiHidden/>
    <w:qFormat/>
    <w:uiPriority w:val="0"/>
    <w:pPr>
      <w:adjustRightInd w:val="0"/>
      <w:textAlignment w:val="baseline"/>
    </w:pPr>
    <w:rPr>
      <w:rFonts w:ascii="宋体" w:hAnsi="Courier New"/>
      <w:szCs w:val="20"/>
    </w:rPr>
  </w:style>
  <w:style w:type="character" w:customStyle="1" w:styleId="2576">
    <w:name w:val="标题3"/>
    <w:semiHidden/>
    <w:qFormat/>
    <w:uiPriority w:val="0"/>
  </w:style>
  <w:style w:type="paragraph" w:customStyle="1" w:styleId="2577">
    <w:name w:val="字元 字元4"/>
    <w:basedOn w:val="1"/>
    <w:qFormat/>
    <w:uiPriority w:val="0"/>
    <w:rPr>
      <w:sz w:val="24"/>
    </w:rPr>
  </w:style>
  <w:style w:type="character" w:customStyle="1" w:styleId="2578">
    <w:name w:val="Char Char114"/>
    <w:qFormat/>
    <w:uiPriority w:val="0"/>
    <w:rPr>
      <w:rFonts w:ascii="仿宋_GB2312" w:eastAsia="仿宋_GB2312"/>
      <w:b/>
      <w:bCs/>
      <w:kern w:val="44"/>
      <w:sz w:val="32"/>
      <w:szCs w:val="44"/>
      <w:lang w:val="en-US" w:eastAsia="zh-CN" w:bidi="ar-SA"/>
    </w:rPr>
  </w:style>
  <w:style w:type="paragraph" w:customStyle="1" w:styleId="2579">
    <w:name w:val="Char4 Char Char Char Char Char Char Char Char Char Char Char Char Char Char Char Char Char1 Char Char Char Char Char Char1 Char Char Char Char Char Char Char Char Char Char Char Char Char Char Char Char Char Char Char4"/>
    <w:basedOn w:val="1"/>
    <w:semiHidden/>
    <w:qFormat/>
    <w:uiPriority w:val="0"/>
    <w:pPr>
      <w:spacing w:line="240" w:lineRule="exact"/>
      <w:ind w:firstLine="200" w:firstLineChars="200"/>
    </w:pPr>
    <w:rPr>
      <w:sz w:val="28"/>
      <w:szCs w:val="28"/>
    </w:rPr>
  </w:style>
  <w:style w:type="paragraph" w:customStyle="1" w:styleId="2580">
    <w:name w:val="Char1 Char Char Char Char Char Char Char Char4"/>
    <w:basedOn w:val="1"/>
    <w:qFormat/>
    <w:uiPriority w:val="0"/>
    <w:rPr>
      <w:sz w:val="24"/>
    </w:rPr>
  </w:style>
  <w:style w:type="paragraph" w:customStyle="1" w:styleId="2581">
    <w:name w:val="Char3 Char Char Char Char Char Char4"/>
    <w:basedOn w:val="1"/>
    <w:semiHidden/>
    <w:qFormat/>
    <w:uiPriority w:val="0"/>
    <w:rPr>
      <w:szCs w:val="21"/>
    </w:rPr>
  </w:style>
  <w:style w:type="paragraph" w:customStyle="1" w:styleId="2582">
    <w:name w:val="Char Char Char2 Char Char Char Char Char Char Char Char Char Char4"/>
    <w:basedOn w:val="1"/>
    <w:semiHidden/>
    <w:qFormat/>
    <w:uiPriority w:val="0"/>
    <w:rPr>
      <w:szCs w:val="21"/>
    </w:rPr>
  </w:style>
  <w:style w:type="paragraph" w:customStyle="1" w:styleId="2583">
    <w:name w:val="字元14"/>
    <w:basedOn w:val="1"/>
    <w:semiHidden/>
    <w:qFormat/>
    <w:uiPriority w:val="0"/>
    <w:rPr>
      <w:szCs w:val="21"/>
    </w:rPr>
  </w:style>
  <w:style w:type="paragraph" w:customStyle="1" w:styleId="2584">
    <w:name w:val="Char Char Char Char Char Char Char Char Char1 Char5"/>
    <w:basedOn w:val="1"/>
    <w:qFormat/>
    <w:uiPriority w:val="0"/>
    <w:rPr>
      <w:sz w:val="24"/>
    </w:rPr>
  </w:style>
  <w:style w:type="paragraph" w:customStyle="1" w:styleId="2585">
    <w:name w:val="Char Char Char1 Char Char Char Char Char Char Char4"/>
    <w:basedOn w:val="1"/>
    <w:qFormat/>
    <w:uiPriority w:val="0"/>
    <w:rPr>
      <w:rFonts w:ascii="Tahoma" w:hAnsi="Tahoma"/>
      <w:sz w:val="24"/>
      <w:szCs w:val="20"/>
    </w:rPr>
  </w:style>
  <w:style w:type="paragraph" w:customStyle="1" w:styleId="2586">
    <w:name w:val="正文4"/>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2587">
    <w:name w:val="正文文本缩进 23"/>
    <w:basedOn w:val="1"/>
    <w:semiHidden/>
    <w:qFormat/>
    <w:uiPriority w:val="0"/>
    <w:pPr>
      <w:adjustRightInd w:val="0"/>
      <w:ind w:firstLine="525"/>
      <w:textAlignment w:val="baseline"/>
    </w:pPr>
    <w:rPr>
      <w:rFonts w:ascii="仿宋_GB2312" w:eastAsia="仿宋_GB2312"/>
      <w:snapToGrid w:val="0"/>
      <w:kern w:val="11"/>
      <w:sz w:val="28"/>
      <w:szCs w:val="20"/>
    </w:rPr>
  </w:style>
  <w:style w:type="paragraph" w:customStyle="1" w:styleId="2588">
    <w:name w:val="Char1 Char Char Char14"/>
    <w:basedOn w:val="1"/>
    <w:semiHidden/>
    <w:qFormat/>
    <w:uiPriority w:val="0"/>
    <w:rPr>
      <w:sz w:val="24"/>
    </w:rPr>
  </w:style>
  <w:style w:type="paragraph" w:customStyle="1" w:styleId="2589">
    <w:name w:val="正文首行缩进 Char Char"/>
    <w:basedOn w:val="1"/>
    <w:qFormat/>
    <w:uiPriority w:val="0"/>
    <w:pPr>
      <w:spacing w:line="606" w:lineRule="atLeast"/>
      <w:ind w:firstLine="538"/>
    </w:pPr>
    <w:rPr>
      <w:rFonts w:hint="eastAsia"/>
      <w:sz w:val="24"/>
      <w:szCs w:val="20"/>
    </w:rPr>
  </w:style>
  <w:style w:type="paragraph" w:customStyle="1" w:styleId="2590">
    <w:name w:val="Char Char Char Char Char5"/>
    <w:basedOn w:val="1"/>
    <w:qFormat/>
    <w:uiPriority w:val="0"/>
    <w:rPr>
      <w:sz w:val="24"/>
      <w:szCs w:val="20"/>
    </w:rPr>
  </w:style>
  <w:style w:type="paragraph" w:customStyle="1" w:styleId="2591">
    <w:name w:val="Char Char Char Char Char Char Char Char Char Char Char Char Char7"/>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592">
    <w:name w:val="Char Char1 Char4"/>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593">
    <w:name w:val="Char1 Char Char Char Char Char Char Char Char Char1 Char Char Char Char Char Char4"/>
    <w:basedOn w:val="1"/>
    <w:qFormat/>
    <w:uiPriority w:val="0"/>
    <w:pPr>
      <w:widowControl/>
      <w:spacing w:before="100" w:beforeAutospacing="1" w:after="100" w:afterAutospacing="1"/>
      <w:ind w:firstLine="200" w:firstLineChars="200"/>
      <w:jc w:val="left"/>
    </w:pPr>
    <w:rPr>
      <w:rFonts w:ascii="Verdana" w:hAnsi="Verdana" w:eastAsia="仿宋_GB2312"/>
      <w:kern w:val="0"/>
      <w:sz w:val="20"/>
      <w:szCs w:val="21"/>
      <w:lang w:eastAsia="en-US"/>
    </w:rPr>
  </w:style>
  <w:style w:type="paragraph" w:customStyle="1" w:styleId="2594">
    <w:name w:val="Char Char Char Char Char Char Char Char Char Char Char4"/>
    <w:basedOn w:val="1"/>
    <w:qFormat/>
    <w:uiPriority w:val="0"/>
    <w:rPr>
      <w:sz w:val="24"/>
    </w:rPr>
  </w:style>
  <w:style w:type="paragraph" w:customStyle="1" w:styleId="2595">
    <w:name w:val="Char2 Char Char Char Char Char Char4"/>
    <w:basedOn w:val="1"/>
    <w:semiHidden/>
    <w:qFormat/>
    <w:uiPriority w:val="0"/>
    <w:rPr>
      <w:sz w:val="24"/>
    </w:rPr>
  </w:style>
  <w:style w:type="paragraph" w:customStyle="1" w:styleId="2596">
    <w:name w:val="Char Char Char Char Char Char Char Char Char Char Char Char4"/>
    <w:basedOn w:val="1"/>
    <w:qFormat/>
    <w:uiPriority w:val="0"/>
    <w:rPr>
      <w:sz w:val="24"/>
    </w:rPr>
  </w:style>
  <w:style w:type="paragraph" w:customStyle="1" w:styleId="2597">
    <w:name w:val="Char49"/>
    <w:basedOn w:val="1"/>
    <w:qFormat/>
    <w:uiPriority w:val="0"/>
    <w:rPr>
      <w:rFonts w:ascii="宋体" w:hAnsi="宋体" w:cs="宋体"/>
      <w:color w:val="000000"/>
      <w:kern w:val="0"/>
      <w:sz w:val="24"/>
    </w:rPr>
  </w:style>
  <w:style w:type="paragraph" w:customStyle="1" w:styleId="2598">
    <w:name w:val="文本块2"/>
    <w:basedOn w:val="1"/>
    <w:semiHidden/>
    <w:qFormat/>
    <w:uiPriority w:val="0"/>
    <w:pPr>
      <w:widowControl/>
      <w:spacing w:before="100" w:after="100"/>
      <w:jc w:val="left"/>
    </w:pPr>
    <w:rPr>
      <w:rFonts w:eastAsia="Times New Roman"/>
      <w:kern w:val="0"/>
      <w:sz w:val="22"/>
      <w:szCs w:val="20"/>
      <w:lang w:eastAsia="en-US"/>
    </w:rPr>
  </w:style>
  <w:style w:type="paragraph" w:customStyle="1" w:styleId="2599">
    <w:name w:val="普通(网站)3"/>
    <w:basedOn w:val="1"/>
    <w:semiHidden/>
    <w:qFormat/>
    <w:uiPriority w:val="0"/>
    <w:pPr>
      <w:adjustRightInd w:val="0"/>
      <w:textAlignment w:val="baseline"/>
    </w:pPr>
    <w:rPr>
      <w:sz w:val="24"/>
      <w:szCs w:val="20"/>
    </w:rPr>
  </w:style>
  <w:style w:type="character" w:customStyle="1" w:styleId="2600">
    <w:name w:val="超链接3"/>
    <w:semiHidden/>
    <w:qFormat/>
    <w:uiPriority w:val="0"/>
    <w:rPr>
      <w:color w:val="0000FF"/>
      <w:u w:val="single"/>
    </w:rPr>
  </w:style>
  <w:style w:type="paragraph" w:customStyle="1" w:styleId="2601">
    <w:name w:val="宏文本3"/>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2602">
    <w:name w:val="标题 34"/>
    <w:basedOn w:val="1"/>
    <w:next w:val="1"/>
    <w:semiHidden/>
    <w:qFormat/>
    <w:uiPriority w:val="0"/>
    <w:pPr>
      <w:keepNext/>
      <w:keepLines/>
      <w:adjustRightInd w:val="0"/>
      <w:spacing w:before="120" w:after="120" w:line="500" w:lineRule="exact"/>
      <w:textAlignment w:val="baseline"/>
    </w:pPr>
    <w:rPr>
      <w:rFonts w:hint="eastAsia" w:ascii="宋体" w:hAnsi="宋体" w:eastAsia="黑体"/>
      <w:sz w:val="30"/>
      <w:szCs w:val="20"/>
    </w:rPr>
  </w:style>
  <w:style w:type="paragraph" w:customStyle="1" w:styleId="2603">
    <w:name w:val="Char Char Char1 Char Char Char Char Char Char Char Char Char Char Char Char Char4"/>
    <w:basedOn w:val="1"/>
    <w:qFormat/>
    <w:uiPriority w:val="0"/>
    <w:rPr>
      <w:sz w:val="24"/>
    </w:rPr>
  </w:style>
  <w:style w:type="paragraph" w:customStyle="1" w:styleId="2604">
    <w:name w:val="Char4 Char Char Char Char Char Char Char Char Char4"/>
    <w:basedOn w:val="1"/>
    <w:semiHidden/>
    <w:qFormat/>
    <w:uiPriority w:val="0"/>
    <w:rPr>
      <w:sz w:val="24"/>
    </w:rPr>
  </w:style>
  <w:style w:type="paragraph" w:customStyle="1" w:styleId="2605">
    <w:name w:val="Char Char Char Char Char Char Char Char Char1 Char Char Char Char Char Char Char4"/>
    <w:basedOn w:val="1"/>
    <w:semiHidden/>
    <w:qFormat/>
    <w:uiPriority w:val="0"/>
    <w:pPr>
      <w:snapToGrid w:val="0"/>
      <w:spacing w:line="360" w:lineRule="auto"/>
      <w:ind w:firstLine="200" w:firstLineChars="200"/>
    </w:pPr>
    <w:rPr>
      <w:rFonts w:eastAsia="仿宋_GB2312"/>
      <w:sz w:val="24"/>
    </w:rPr>
  </w:style>
  <w:style w:type="paragraph" w:customStyle="1" w:styleId="2606">
    <w:name w:val="Char Char Char1 Char Char4"/>
    <w:basedOn w:val="1"/>
    <w:qFormat/>
    <w:uiPriority w:val="0"/>
    <w:rPr>
      <w:rFonts w:ascii="宋体" w:hAnsi="宋体" w:cs="宋体"/>
      <w:color w:val="000000"/>
      <w:kern w:val="0"/>
      <w:sz w:val="24"/>
    </w:rPr>
  </w:style>
  <w:style w:type="paragraph" w:customStyle="1" w:styleId="2607">
    <w:name w:val="(文字) (文字)4"/>
    <w:basedOn w:val="1"/>
    <w:semiHidden/>
    <w:qFormat/>
    <w:uiPriority w:val="0"/>
    <w:rPr>
      <w:sz w:val="24"/>
    </w:rPr>
  </w:style>
  <w:style w:type="paragraph" w:customStyle="1" w:styleId="2608">
    <w:name w:val="Char212"/>
    <w:basedOn w:val="1"/>
    <w:qFormat/>
    <w:uiPriority w:val="0"/>
    <w:rPr>
      <w:sz w:val="24"/>
    </w:rPr>
  </w:style>
  <w:style w:type="paragraph" w:customStyle="1" w:styleId="2609">
    <w:name w:val="Char2 Char Char Char4"/>
    <w:basedOn w:val="1"/>
    <w:qFormat/>
    <w:uiPriority w:val="0"/>
    <w:rPr>
      <w:sz w:val="24"/>
    </w:rPr>
  </w:style>
  <w:style w:type="paragraph" w:customStyle="1" w:styleId="2610">
    <w:name w:val="Char2 Char Char1 Char Char Char Char Char Char Char Char Char Char4"/>
    <w:basedOn w:val="1"/>
    <w:semiHidden/>
    <w:qFormat/>
    <w:uiPriority w:val="0"/>
    <w:rPr>
      <w:sz w:val="24"/>
    </w:rPr>
  </w:style>
  <w:style w:type="paragraph" w:customStyle="1" w:styleId="2611">
    <w:name w:val="Char2 Char Char4"/>
    <w:basedOn w:val="1"/>
    <w:semiHidden/>
    <w:qFormat/>
    <w:uiPriority w:val="0"/>
    <w:rPr>
      <w:sz w:val="24"/>
    </w:rPr>
  </w:style>
  <w:style w:type="paragraph" w:customStyle="1" w:styleId="2612">
    <w:name w:val="Char2 Char Char1 Char Char Char4"/>
    <w:basedOn w:val="1"/>
    <w:semiHidden/>
    <w:qFormat/>
    <w:uiPriority w:val="0"/>
    <w:rPr>
      <w:sz w:val="24"/>
    </w:rPr>
  </w:style>
  <w:style w:type="paragraph" w:customStyle="1" w:styleId="2613">
    <w:name w:val="Char4 Char Char Char Char Char4"/>
    <w:basedOn w:val="1"/>
    <w:semiHidden/>
    <w:qFormat/>
    <w:uiPriority w:val="0"/>
    <w:rPr>
      <w:sz w:val="24"/>
    </w:rPr>
  </w:style>
  <w:style w:type="paragraph" w:customStyle="1" w:styleId="2614">
    <w:name w:val="Char2 Char Char1 Char Char Char Char4"/>
    <w:basedOn w:val="1"/>
    <w:semiHidden/>
    <w:qFormat/>
    <w:uiPriority w:val="0"/>
    <w:rPr>
      <w:sz w:val="24"/>
    </w:rPr>
  </w:style>
  <w:style w:type="paragraph" w:customStyle="1" w:styleId="2615">
    <w:name w:val="Char Char Char Char Char Char14"/>
    <w:basedOn w:val="1"/>
    <w:semiHidden/>
    <w:qFormat/>
    <w:uiPriority w:val="0"/>
    <w:rPr>
      <w:sz w:val="24"/>
    </w:rPr>
  </w:style>
  <w:style w:type="paragraph" w:customStyle="1" w:styleId="2616">
    <w:name w:val="Char Char Char Char Char Char Char Char Char Char Char Char Char Char Char Char4"/>
    <w:basedOn w:val="27"/>
    <w:qFormat/>
    <w:uiPriority w:val="0"/>
    <w:pPr>
      <w:adjustRightInd w:val="0"/>
      <w:spacing w:line="436" w:lineRule="exact"/>
      <w:ind w:left="357"/>
      <w:jc w:val="left"/>
      <w:outlineLvl w:val="3"/>
    </w:pPr>
    <w:rPr>
      <w:rFonts w:ascii="Tahoma" w:hAnsi="Tahoma"/>
      <w:b/>
      <w:sz w:val="24"/>
    </w:rPr>
  </w:style>
  <w:style w:type="character" w:customStyle="1" w:styleId="2617">
    <w:name w:val="Char Char145"/>
    <w:semiHidden/>
    <w:qFormat/>
    <w:uiPriority w:val="0"/>
    <w:rPr>
      <w:rFonts w:eastAsia="宋体"/>
      <w:kern w:val="2"/>
      <w:sz w:val="21"/>
      <w:szCs w:val="24"/>
      <w:lang w:val="en-US" w:eastAsia="zh-CN" w:bidi="ar-SA"/>
    </w:rPr>
  </w:style>
  <w:style w:type="character" w:customStyle="1" w:styleId="2618">
    <w:name w:val="Char Char37"/>
    <w:qFormat/>
    <w:uiPriority w:val="0"/>
    <w:rPr>
      <w:rFonts w:eastAsia="宋体"/>
      <w:sz w:val="24"/>
      <w:lang w:val="en-US" w:eastAsia="zh-CN" w:bidi="ar-SA"/>
    </w:rPr>
  </w:style>
  <w:style w:type="paragraph" w:customStyle="1" w:styleId="2619">
    <w:name w:val="Char Char Char Char1 Char Char Char Char Char Char Char4"/>
    <w:basedOn w:val="1"/>
    <w:qFormat/>
    <w:uiPriority w:val="0"/>
    <w:pPr>
      <w:tabs>
        <w:tab w:val="left" w:pos="360"/>
      </w:tabs>
      <w:snapToGrid w:val="0"/>
      <w:spacing w:line="360" w:lineRule="auto"/>
    </w:pPr>
    <w:rPr>
      <w:rFonts w:eastAsia="仿宋_GB2312" w:cs="宋体"/>
      <w:sz w:val="24"/>
    </w:rPr>
  </w:style>
  <w:style w:type="paragraph" w:customStyle="1" w:styleId="2620">
    <w:name w:val="Char Char Char1 Char Char Char Char Char Char4"/>
    <w:basedOn w:val="1"/>
    <w:qFormat/>
    <w:uiPriority w:val="0"/>
    <w:rPr>
      <w:sz w:val="24"/>
    </w:rPr>
  </w:style>
  <w:style w:type="paragraph" w:customStyle="1" w:styleId="2621">
    <w:name w:val="Char Char Char Char1 Char Char Char7"/>
    <w:basedOn w:val="1"/>
    <w:qFormat/>
    <w:uiPriority w:val="0"/>
    <w:rPr>
      <w:sz w:val="24"/>
    </w:rPr>
  </w:style>
  <w:style w:type="paragraph" w:customStyle="1" w:styleId="2622">
    <w:name w:val="Char Char Char1 Char Char Char Char Char Char Char Char4"/>
    <w:basedOn w:val="1"/>
    <w:semiHidden/>
    <w:qFormat/>
    <w:uiPriority w:val="0"/>
  </w:style>
  <w:style w:type="paragraph" w:customStyle="1" w:styleId="2623">
    <w:name w:val="Char Char Char1 Char Char Char4"/>
    <w:basedOn w:val="1"/>
    <w:semiHidden/>
    <w:qFormat/>
    <w:uiPriority w:val="0"/>
    <w:pPr>
      <w:tabs>
        <w:tab w:val="left" w:pos="0"/>
      </w:tabs>
      <w:jc w:val="left"/>
    </w:pPr>
    <w:rPr>
      <w:sz w:val="24"/>
    </w:rPr>
  </w:style>
  <w:style w:type="paragraph" w:customStyle="1" w:styleId="2624">
    <w:name w:val="Char Char Char Char1 Char Char Char Char Char Char Char Char Char Char Char Char4"/>
    <w:basedOn w:val="1"/>
    <w:semiHidden/>
    <w:qFormat/>
    <w:uiPriority w:val="0"/>
    <w:pPr>
      <w:tabs>
        <w:tab w:val="left" w:pos="0"/>
      </w:tabs>
      <w:jc w:val="left"/>
    </w:pPr>
    <w:rPr>
      <w:sz w:val="24"/>
    </w:rPr>
  </w:style>
  <w:style w:type="paragraph" w:customStyle="1" w:styleId="2625">
    <w:name w:val="Char3 Char Char Char5"/>
    <w:basedOn w:val="1"/>
    <w:semiHidden/>
    <w:qFormat/>
    <w:uiPriority w:val="0"/>
    <w:rPr>
      <w:sz w:val="24"/>
    </w:rPr>
  </w:style>
  <w:style w:type="paragraph" w:customStyle="1" w:styleId="2626">
    <w:name w:val="Char2 Char Char1 Char4"/>
    <w:basedOn w:val="1"/>
    <w:semiHidden/>
    <w:qFormat/>
    <w:uiPriority w:val="0"/>
    <w:rPr>
      <w:sz w:val="24"/>
    </w:rPr>
  </w:style>
  <w:style w:type="paragraph" w:customStyle="1" w:styleId="2627">
    <w:name w:val="正文缩进5"/>
    <w:basedOn w:val="1"/>
    <w:semiHidden/>
    <w:qFormat/>
    <w:uiPriority w:val="0"/>
    <w:pPr>
      <w:ind w:firstLine="420" w:firstLineChars="200"/>
    </w:pPr>
    <w:rPr>
      <w:rFonts w:hint="eastAsia"/>
      <w:szCs w:val="20"/>
    </w:rPr>
  </w:style>
  <w:style w:type="character" w:customStyle="1" w:styleId="2628">
    <w:name w:val="访问过的超链接3"/>
    <w:semiHidden/>
    <w:qFormat/>
    <w:uiPriority w:val="0"/>
    <w:rPr>
      <w:rFonts w:hint="default"/>
      <w:color w:val="800080"/>
      <w:u w:val="single"/>
    </w:rPr>
  </w:style>
  <w:style w:type="paragraph" w:customStyle="1" w:styleId="2629">
    <w:name w:val="Char Char Char15"/>
    <w:basedOn w:val="1"/>
    <w:qFormat/>
    <w:uiPriority w:val="0"/>
    <w:rPr>
      <w:sz w:val="24"/>
      <w:szCs w:val="20"/>
    </w:rPr>
  </w:style>
  <w:style w:type="paragraph" w:customStyle="1" w:styleId="2630">
    <w:name w:val="批注主题2"/>
    <w:basedOn w:val="29"/>
    <w:next w:val="29"/>
    <w:semiHidden/>
    <w:qFormat/>
    <w:uiPriority w:val="0"/>
    <w:pPr>
      <w:spacing w:line="240" w:lineRule="auto"/>
      <w:ind w:firstLine="0" w:firstLineChars="0"/>
    </w:pPr>
    <w:rPr>
      <w:rFonts w:hint="eastAsia" w:ascii="宋体" w:hAnsi="宋体"/>
      <w:b/>
      <w:kern w:val="2"/>
    </w:rPr>
  </w:style>
  <w:style w:type="paragraph" w:customStyle="1" w:styleId="2631">
    <w:name w:val="批注框文本2"/>
    <w:basedOn w:val="1"/>
    <w:semiHidden/>
    <w:qFormat/>
    <w:uiPriority w:val="0"/>
    <w:pPr>
      <w:spacing w:after="120" w:line="440" w:lineRule="exact"/>
    </w:pPr>
    <w:rPr>
      <w:rFonts w:hint="eastAsia" w:ascii="Arial" w:hAnsi="Arial"/>
      <w:kern w:val="0"/>
      <w:sz w:val="18"/>
      <w:szCs w:val="20"/>
    </w:rPr>
  </w:style>
  <w:style w:type="paragraph" w:customStyle="1" w:styleId="2632">
    <w:name w:val="标题 42"/>
    <w:basedOn w:val="1"/>
    <w:next w:val="1"/>
    <w:semiHidden/>
    <w:qFormat/>
    <w:uiPriority w:val="0"/>
    <w:pPr>
      <w:adjustRightInd w:val="0"/>
      <w:snapToGrid w:val="0"/>
      <w:textAlignment w:val="baseline"/>
    </w:pPr>
    <w:rPr>
      <w:rFonts w:hint="eastAsia" w:ascii="宋体" w:hAnsi="宋体"/>
      <w:sz w:val="32"/>
      <w:szCs w:val="20"/>
    </w:rPr>
  </w:style>
  <w:style w:type="paragraph" w:customStyle="1" w:styleId="2633">
    <w:name w:val="Char39"/>
    <w:basedOn w:val="1"/>
    <w:qFormat/>
    <w:uiPriority w:val="0"/>
    <w:pPr>
      <w:spacing w:line="240" w:lineRule="exact"/>
      <w:ind w:firstLine="200" w:firstLineChars="200"/>
    </w:pPr>
    <w:rPr>
      <w:sz w:val="28"/>
      <w:szCs w:val="28"/>
    </w:rPr>
  </w:style>
  <w:style w:type="character" w:customStyle="1" w:styleId="2634">
    <w:name w:val="Char Char154"/>
    <w:semiHidden/>
    <w:qFormat/>
    <w:uiPriority w:val="0"/>
    <w:rPr>
      <w:rFonts w:ascii="Times New Roman" w:hAnsi="Times New Roman" w:eastAsia="宋体" w:cs="Times New Roman"/>
      <w:b/>
      <w:bCs/>
      <w:sz w:val="32"/>
      <w:szCs w:val="32"/>
    </w:rPr>
  </w:style>
  <w:style w:type="paragraph" w:customStyle="1" w:styleId="2635">
    <w:name w:val="正文文本3"/>
    <w:basedOn w:val="1"/>
    <w:semiHidden/>
    <w:qFormat/>
    <w:uiPriority w:val="0"/>
    <w:pPr>
      <w:spacing w:after="120"/>
    </w:pPr>
    <w:rPr>
      <w:rFonts w:hint="eastAsia"/>
      <w:szCs w:val="20"/>
    </w:rPr>
  </w:style>
  <w:style w:type="paragraph" w:customStyle="1" w:styleId="2636">
    <w:name w:val="列表3"/>
    <w:basedOn w:val="1"/>
    <w:semiHidden/>
    <w:qFormat/>
    <w:uiPriority w:val="0"/>
    <w:pPr>
      <w:spacing w:line="360" w:lineRule="exact"/>
      <w:jc w:val="center"/>
    </w:pPr>
    <w:rPr>
      <w:rFonts w:hint="eastAsia" w:eastAsia="仿宋_GB2312"/>
      <w:sz w:val="24"/>
      <w:szCs w:val="20"/>
    </w:rPr>
  </w:style>
  <w:style w:type="paragraph" w:customStyle="1" w:styleId="2637">
    <w:name w:val="Char Char Char Char Char Char Char Char Char1 Char Char Char4"/>
    <w:basedOn w:val="1"/>
    <w:qFormat/>
    <w:uiPriority w:val="0"/>
    <w:rPr>
      <w:sz w:val="24"/>
    </w:rPr>
  </w:style>
  <w:style w:type="paragraph" w:customStyle="1" w:styleId="2638">
    <w:name w:val="Char Char Char Char Char Char Char Char Char1 Char Char Char Char Char Char4"/>
    <w:basedOn w:val="1"/>
    <w:semiHidden/>
    <w:qFormat/>
    <w:uiPriority w:val="0"/>
    <w:rPr>
      <w:sz w:val="24"/>
    </w:rPr>
  </w:style>
  <w:style w:type="paragraph" w:customStyle="1" w:styleId="2639">
    <w:name w:val="Char Char164"/>
    <w:basedOn w:val="1"/>
    <w:qFormat/>
    <w:uiPriority w:val="0"/>
    <w:rPr>
      <w:sz w:val="24"/>
    </w:rPr>
  </w:style>
  <w:style w:type="paragraph" w:customStyle="1" w:styleId="2640">
    <w:name w:val="Char1 Char Char Char Char Char Char1 Char Char Char4"/>
    <w:basedOn w:val="1"/>
    <w:next w:val="1"/>
    <w:semiHidden/>
    <w:qFormat/>
    <w:uiPriority w:val="0"/>
    <w:pPr>
      <w:spacing w:line="360" w:lineRule="auto"/>
      <w:ind w:firstLine="200" w:firstLineChars="200"/>
      <w:jc w:val="center"/>
    </w:pPr>
    <w:rPr>
      <w:rFonts w:eastAsia="黑体"/>
      <w:szCs w:val="20"/>
    </w:rPr>
  </w:style>
  <w:style w:type="paragraph" w:customStyle="1" w:styleId="2641">
    <w:name w:val="Char1 Char Char Char Char Char Char13"/>
    <w:basedOn w:val="1"/>
    <w:next w:val="1"/>
    <w:qFormat/>
    <w:uiPriority w:val="0"/>
    <w:pPr>
      <w:spacing w:line="360" w:lineRule="auto"/>
      <w:ind w:firstLine="200" w:firstLineChars="200"/>
      <w:jc w:val="center"/>
    </w:pPr>
    <w:rPr>
      <w:rFonts w:eastAsia="黑体"/>
      <w:szCs w:val="20"/>
    </w:rPr>
  </w:style>
  <w:style w:type="paragraph" w:customStyle="1" w:styleId="2642">
    <w:name w:val="Char Char Char Char Char Char1 Char4"/>
    <w:basedOn w:val="1"/>
    <w:qFormat/>
    <w:uiPriority w:val="0"/>
    <w:pPr>
      <w:spacing w:line="360" w:lineRule="auto"/>
      <w:ind w:firstLine="200" w:firstLineChars="200"/>
    </w:pPr>
    <w:rPr>
      <w:rFonts w:ascii="宋体" w:hAnsi="宋体" w:cs="宋体"/>
      <w:sz w:val="24"/>
    </w:rPr>
  </w:style>
  <w:style w:type="paragraph" w:customStyle="1" w:styleId="2643">
    <w:name w:val="正文首行缩进4"/>
    <w:basedOn w:val="22"/>
    <w:semiHidden/>
    <w:qFormat/>
    <w:uiPriority w:val="0"/>
    <w:pPr>
      <w:widowControl/>
      <w:tabs>
        <w:tab w:val="left" w:pos="425"/>
        <w:tab w:val="left" w:pos="1134"/>
      </w:tabs>
      <w:adjustRightInd w:val="0"/>
      <w:spacing w:line="360" w:lineRule="auto"/>
      <w:ind w:left="425" w:hanging="425" w:firstLineChars="0"/>
    </w:pPr>
    <w:rPr>
      <w:rFonts w:ascii="Garamond" w:hAnsi="Garamond"/>
      <w:sz w:val="28"/>
      <w:szCs w:val="20"/>
    </w:rPr>
  </w:style>
  <w:style w:type="paragraph" w:customStyle="1" w:styleId="2644">
    <w:name w:val="Char Char Char1 Char Char Char Char Char Char Char Char Char Char Char Char Char Char Char Char Char Char Char3"/>
    <w:basedOn w:val="1"/>
    <w:qFormat/>
    <w:uiPriority w:val="0"/>
    <w:rPr>
      <w:sz w:val="24"/>
    </w:rPr>
  </w:style>
  <w:style w:type="paragraph" w:customStyle="1" w:styleId="2645">
    <w:name w:val="Char1 Char Char Char Char Char Char Char Char Char Char Char Char Char Char Char3"/>
    <w:basedOn w:val="1"/>
    <w:qFormat/>
    <w:uiPriority w:val="0"/>
  </w:style>
  <w:style w:type="paragraph" w:customStyle="1" w:styleId="2646">
    <w:name w:val="Char Char Char Char Char Char Char Char Char Char Char Char Char Char Char Char Char Char Char Char Char Char4"/>
    <w:basedOn w:val="1"/>
    <w:qFormat/>
    <w:uiPriority w:val="0"/>
    <w:pPr>
      <w:spacing w:line="480" w:lineRule="exact"/>
    </w:pPr>
  </w:style>
  <w:style w:type="paragraph" w:customStyle="1" w:styleId="2647">
    <w:name w:val="Char Char Char1 Char Char Char Char Char Char Char Char Char Char Char Char Char Char Char Char Char Char Char Char Char Char Char Char Char Char Char3"/>
    <w:basedOn w:val="1"/>
    <w:qFormat/>
    <w:uiPriority w:val="0"/>
    <w:pPr>
      <w:spacing w:line="360" w:lineRule="auto"/>
      <w:jc w:val="left"/>
    </w:pPr>
    <w:rPr>
      <w:sz w:val="24"/>
    </w:rPr>
  </w:style>
  <w:style w:type="paragraph" w:customStyle="1" w:styleId="2648">
    <w:name w:val="Char Char Char Char Char1 Char3"/>
    <w:basedOn w:val="1"/>
    <w:qFormat/>
    <w:uiPriority w:val="0"/>
  </w:style>
  <w:style w:type="paragraph" w:customStyle="1" w:styleId="2649">
    <w:name w:val="Char Char Char Char Char Char Char Char Char1 Char Char Char Char Char Char Char Char Char Char3"/>
    <w:basedOn w:val="1"/>
    <w:qFormat/>
    <w:uiPriority w:val="0"/>
    <w:rPr>
      <w:szCs w:val="21"/>
    </w:rPr>
  </w:style>
  <w:style w:type="paragraph" w:customStyle="1" w:styleId="2650">
    <w:name w:val="Char Char1 Char Char Char Char13"/>
    <w:basedOn w:val="1"/>
    <w:qFormat/>
    <w:uiPriority w:val="0"/>
    <w:rPr>
      <w:szCs w:val="20"/>
    </w:rPr>
  </w:style>
  <w:style w:type="paragraph" w:customStyle="1" w:styleId="2651">
    <w:name w:val="Char3 Char Char Char1 Char Char1 Char3"/>
    <w:basedOn w:val="1"/>
    <w:qFormat/>
    <w:uiPriority w:val="0"/>
    <w:rPr>
      <w:szCs w:val="21"/>
    </w:rPr>
  </w:style>
  <w:style w:type="paragraph" w:customStyle="1" w:styleId="2652">
    <w:name w:val="Char Char3 Char3"/>
    <w:basedOn w:val="1"/>
    <w:next w:val="1"/>
    <w:qFormat/>
    <w:uiPriority w:val="0"/>
    <w:pPr>
      <w:spacing w:line="360" w:lineRule="auto"/>
      <w:ind w:firstLine="200" w:firstLineChars="200"/>
      <w:jc w:val="center"/>
    </w:pPr>
    <w:rPr>
      <w:rFonts w:eastAsia="黑体"/>
      <w:szCs w:val="20"/>
    </w:rPr>
  </w:style>
  <w:style w:type="paragraph" w:customStyle="1" w:styleId="2653">
    <w:name w:val="Char1 Char Char Char Char Char3"/>
    <w:basedOn w:val="1"/>
    <w:next w:val="1"/>
    <w:qFormat/>
    <w:uiPriority w:val="0"/>
    <w:pPr>
      <w:spacing w:line="360" w:lineRule="auto"/>
      <w:ind w:firstLine="200" w:firstLineChars="200"/>
      <w:jc w:val="center"/>
    </w:pPr>
    <w:rPr>
      <w:rFonts w:eastAsia="黑体"/>
      <w:szCs w:val="20"/>
    </w:rPr>
  </w:style>
  <w:style w:type="paragraph" w:customStyle="1" w:styleId="2654">
    <w:name w:val="Char2 Char Char Char Char Char Char Char Char Char Char Char1 Char Char Char Char Char Char Char3"/>
    <w:basedOn w:val="1"/>
    <w:semiHidden/>
    <w:qFormat/>
    <w:uiPriority w:val="0"/>
    <w:rPr>
      <w:sz w:val="24"/>
    </w:rPr>
  </w:style>
  <w:style w:type="paragraph" w:customStyle="1" w:styleId="2655">
    <w:name w:val="Char Char36"/>
    <w:basedOn w:val="1"/>
    <w:qFormat/>
    <w:uiPriority w:val="0"/>
    <w:rPr>
      <w:sz w:val="24"/>
    </w:rPr>
  </w:style>
  <w:style w:type="paragraph" w:customStyle="1" w:styleId="2656">
    <w:name w:val="正文文本缩进 32"/>
    <w:basedOn w:val="1"/>
    <w:semiHidden/>
    <w:qFormat/>
    <w:uiPriority w:val="0"/>
    <w:pPr>
      <w:adjustRightInd w:val="0"/>
      <w:spacing w:line="480" w:lineRule="exact"/>
      <w:ind w:firstLine="525"/>
      <w:textAlignment w:val="baseline"/>
    </w:pPr>
    <w:rPr>
      <w:rFonts w:ascii="宋体" w:hAnsi="宋体" w:cs="宋体"/>
      <w:color w:val="000000"/>
      <w:kern w:val="0"/>
      <w:sz w:val="28"/>
      <w:szCs w:val="20"/>
    </w:rPr>
  </w:style>
  <w:style w:type="paragraph" w:customStyle="1" w:styleId="2657">
    <w:name w:val="Char3 Char Char3"/>
    <w:basedOn w:val="1"/>
    <w:semiHidden/>
    <w:qFormat/>
    <w:uiPriority w:val="0"/>
    <w:rPr>
      <w:rFonts w:ascii="宋体" w:hAnsi="宋体" w:cs="宋体"/>
      <w:color w:val="000000"/>
      <w:kern w:val="0"/>
      <w:sz w:val="24"/>
    </w:rPr>
  </w:style>
  <w:style w:type="paragraph" w:customStyle="1" w:styleId="2658">
    <w:name w:val="Char117"/>
    <w:basedOn w:val="1"/>
    <w:qFormat/>
    <w:uiPriority w:val="0"/>
    <w:pPr>
      <w:widowControl/>
      <w:jc w:val="left"/>
    </w:pPr>
    <w:rPr>
      <w:rFonts w:ascii="宋体" w:hAnsi="宋体" w:cs="宋体"/>
      <w:kern w:val="0"/>
      <w:sz w:val="24"/>
    </w:rPr>
  </w:style>
  <w:style w:type="paragraph" w:customStyle="1" w:styleId="2659">
    <w:name w:val="正文000"/>
    <w:basedOn w:val="1"/>
    <w:link w:val="2660"/>
    <w:qFormat/>
    <w:uiPriority w:val="0"/>
    <w:pPr>
      <w:adjustRightInd w:val="0"/>
      <w:spacing w:line="360" w:lineRule="auto"/>
      <w:ind w:firstLine="480" w:firstLineChars="200"/>
      <w:textAlignment w:val="center"/>
    </w:pPr>
    <w:rPr>
      <w:rFonts w:ascii="Calibri" w:hAnsi="Calibri"/>
      <w:kern w:val="0"/>
      <w:sz w:val="24"/>
      <w:szCs w:val="20"/>
    </w:rPr>
  </w:style>
  <w:style w:type="character" w:customStyle="1" w:styleId="2660">
    <w:name w:val="正文000 Char"/>
    <w:link w:val="2659"/>
    <w:qFormat/>
    <w:uiPriority w:val="0"/>
    <w:rPr>
      <w:rFonts w:ascii="Calibri" w:hAnsi="Calibri" w:eastAsia="宋体" w:cs="Times New Roman"/>
      <w:kern w:val="0"/>
      <w:sz w:val="24"/>
      <w:szCs w:val="20"/>
    </w:rPr>
  </w:style>
  <w:style w:type="paragraph" w:customStyle="1" w:styleId="2661">
    <w:name w:val="正文缩进6"/>
    <w:basedOn w:val="1"/>
    <w:qFormat/>
    <w:uiPriority w:val="0"/>
    <w:pPr>
      <w:adjustRightInd w:val="0"/>
      <w:ind w:firstLine="420" w:firstLineChars="200"/>
      <w:textAlignment w:val="baseline"/>
    </w:pPr>
    <w:rPr>
      <w:rFonts w:hint="eastAsia" w:hAnsi="宋体"/>
      <w:sz w:val="24"/>
      <w:szCs w:val="20"/>
    </w:rPr>
  </w:style>
  <w:style w:type="character" w:customStyle="1" w:styleId="2662">
    <w:name w:val="标题7"/>
    <w:qFormat/>
    <w:uiPriority w:val="0"/>
  </w:style>
  <w:style w:type="character" w:customStyle="1" w:styleId="2663">
    <w:name w:val="访问过的超链接4"/>
    <w:qFormat/>
    <w:uiPriority w:val="0"/>
    <w:rPr>
      <w:rFonts w:hint="default"/>
      <w:color w:val="800080"/>
      <w:u w:val="single"/>
    </w:rPr>
  </w:style>
  <w:style w:type="paragraph" w:customStyle="1" w:styleId="2664">
    <w:name w:val="标题 43"/>
    <w:basedOn w:val="1"/>
    <w:next w:val="1"/>
    <w:qFormat/>
    <w:uiPriority w:val="0"/>
    <w:pPr>
      <w:adjustRightInd w:val="0"/>
      <w:snapToGrid w:val="0"/>
      <w:textAlignment w:val="baseline"/>
    </w:pPr>
    <w:rPr>
      <w:rFonts w:hint="eastAsia" w:ascii="宋体" w:hAnsi="宋体"/>
      <w:sz w:val="32"/>
      <w:szCs w:val="20"/>
    </w:rPr>
  </w:style>
  <w:style w:type="paragraph" w:customStyle="1" w:styleId="2665">
    <w:name w:val="普通(网站)4"/>
    <w:basedOn w:val="1"/>
    <w:qFormat/>
    <w:uiPriority w:val="0"/>
    <w:pPr>
      <w:adjustRightInd w:val="0"/>
      <w:textAlignment w:val="baseline"/>
    </w:pPr>
    <w:rPr>
      <w:rFonts w:hint="eastAsia"/>
      <w:sz w:val="24"/>
      <w:szCs w:val="20"/>
    </w:rPr>
  </w:style>
  <w:style w:type="paragraph" w:customStyle="1" w:styleId="2666">
    <w:name w:val="宏文本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hint="eastAsia" w:ascii="Courier New" w:hAnsi="Courier New" w:eastAsia="宋体" w:cs="Times New Roman"/>
      <w:kern w:val="2"/>
      <w:sz w:val="24"/>
      <w:lang w:val="en-US" w:eastAsia="zh-CN" w:bidi="ar-SA"/>
    </w:rPr>
  </w:style>
  <w:style w:type="paragraph" w:customStyle="1" w:styleId="2667">
    <w:name w:val="纯文本4"/>
    <w:basedOn w:val="1"/>
    <w:qFormat/>
    <w:uiPriority w:val="0"/>
    <w:pPr>
      <w:autoSpaceDE w:val="0"/>
      <w:autoSpaceDN w:val="0"/>
      <w:adjustRightInd w:val="0"/>
      <w:snapToGrid w:val="0"/>
      <w:spacing w:line="500" w:lineRule="exact"/>
      <w:textAlignment w:val="baseline"/>
    </w:pPr>
    <w:rPr>
      <w:rFonts w:ascii="宋体" w:hAnsi="宋体"/>
      <w:kern w:val="0"/>
      <w:sz w:val="24"/>
      <w:szCs w:val="20"/>
    </w:rPr>
  </w:style>
  <w:style w:type="paragraph" w:customStyle="1" w:styleId="2668">
    <w:name w:val="表头2"/>
    <w:basedOn w:val="1"/>
    <w:qFormat/>
    <w:uiPriority w:val="0"/>
    <w:pPr>
      <w:spacing w:line="320" w:lineRule="atLeast"/>
      <w:jc w:val="center"/>
    </w:pPr>
    <w:rPr>
      <w:rFonts w:eastAsia="黑体"/>
      <w:spacing w:val="-10"/>
      <w:kern w:val="0"/>
      <w:szCs w:val="20"/>
    </w:rPr>
  </w:style>
  <w:style w:type="paragraph" w:customStyle="1" w:styleId="2669">
    <w:name w:val="标题 35"/>
    <w:basedOn w:val="1"/>
    <w:next w:val="1"/>
    <w:qFormat/>
    <w:uiPriority w:val="0"/>
    <w:pPr>
      <w:adjustRightInd w:val="0"/>
      <w:snapToGrid w:val="0"/>
      <w:spacing w:before="120" w:after="120"/>
      <w:textAlignment w:val="baseline"/>
    </w:pPr>
    <w:rPr>
      <w:rFonts w:hint="eastAsia" w:ascii="宋体" w:hAnsi="宋体" w:eastAsia="黑体"/>
      <w:b/>
      <w:sz w:val="32"/>
      <w:szCs w:val="20"/>
    </w:rPr>
  </w:style>
  <w:style w:type="paragraph" w:customStyle="1" w:styleId="2670">
    <w:name w:val="批注框文本3"/>
    <w:basedOn w:val="1"/>
    <w:qFormat/>
    <w:uiPriority w:val="0"/>
    <w:pPr>
      <w:spacing w:after="120" w:line="440" w:lineRule="exact"/>
    </w:pPr>
    <w:rPr>
      <w:rFonts w:hint="eastAsia" w:ascii="Arial" w:hAnsi="Arial"/>
      <w:kern w:val="0"/>
      <w:sz w:val="18"/>
      <w:szCs w:val="20"/>
    </w:rPr>
  </w:style>
  <w:style w:type="paragraph" w:customStyle="1" w:styleId="2671">
    <w:name w:val="批注主题3"/>
    <w:basedOn w:val="29"/>
    <w:next w:val="29"/>
    <w:qFormat/>
    <w:uiPriority w:val="0"/>
    <w:pPr>
      <w:spacing w:line="240" w:lineRule="auto"/>
      <w:ind w:firstLine="0" w:firstLineChars="0"/>
    </w:pPr>
    <w:rPr>
      <w:rFonts w:hint="eastAsia" w:ascii="宋体" w:hAnsi="宋体"/>
      <w:b/>
      <w:kern w:val="2"/>
      <w:lang w:val="zh-CN"/>
    </w:rPr>
  </w:style>
  <w:style w:type="paragraph" w:customStyle="1" w:styleId="2672">
    <w:name w:val="Char1 Char Char Char Char Char Char Char Char 字元 字元 Char Char Char Char Char"/>
    <w:basedOn w:val="1"/>
    <w:qFormat/>
    <w:uiPriority w:val="0"/>
    <w:rPr>
      <w:sz w:val="24"/>
    </w:rPr>
  </w:style>
  <w:style w:type="paragraph" w:customStyle="1" w:styleId="2673">
    <w:name w:val="标题 53"/>
    <w:basedOn w:val="1"/>
    <w:qFormat/>
    <w:uiPriority w:val="0"/>
    <w:pPr>
      <w:adjustRightInd w:val="0"/>
      <w:textAlignment w:val="baseline"/>
    </w:pPr>
    <w:rPr>
      <w:rFonts w:ascii="宋体" w:hAnsi="宋体"/>
      <w:sz w:val="24"/>
      <w:szCs w:val="20"/>
    </w:rPr>
  </w:style>
  <w:style w:type="paragraph" w:customStyle="1" w:styleId="2674">
    <w:name w:val="标题 52"/>
    <w:basedOn w:val="1"/>
    <w:qFormat/>
    <w:uiPriority w:val="0"/>
    <w:pPr>
      <w:adjustRightInd w:val="0"/>
      <w:textAlignment w:val="baseline"/>
    </w:pPr>
    <w:rPr>
      <w:rFonts w:ascii="宋体" w:hAnsi="宋体"/>
      <w:sz w:val="24"/>
      <w:szCs w:val="20"/>
    </w:rPr>
  </w:style>
  <w:style w:type="paragraph" w:customStyle="1" w:styleId="2675">
    <w:name w:val="xl19"/>
    <w:basedOn w:val="1"/>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2676">
    <w:name w:val="xl17"/>
    <w:basedOn w:val="1"/>
    <w:qFormat/>
    <w:uiPriority w:val="0"/>
    <w:pPr>
      <w:widowControl/>
      <w:spacing w:before="100" w:beforeAutospacing="1" w:after="100" w:afterAutospacing="1"/>
      <w:jc w:val="center"/>
      <w:textAlignment w:val="center"/>
    </w:pPr>
    <w:rPr>
      <w:rFonts w:ascii="宋体" w:hAnsi="宋体"/>
      <w:kern w:val="0"/>
      <w:sz w:val="18"/>
      <w:szCs w:val="18"/>
    </w:rPr>
  </w:style>
  <w:style w:type="paragraph" w:customStyle="1" w:styleId="2677">
    <w:name w:val="Char1 Char Char Char Char Char Char Char Char 字元 字元"/>
    <w:basedOn w:val="1"/>
    <w:qFormat/>
    <w:uiPriority w:val="0"/>
    <w:rPr>
      <w:sz w:val="24"/>
    </w:rPr>
  </w:style>
  <w:style w:type="character" w:customStyle="1" w:styleId="2678">
    <w:name w:val="font141"/>
    <w:qFormat/>
    <w:uiPriority w:val="0"/>
    <w:rPr>
      <w:rFonts w:hint="default" w:ascii="Arial" w:hAnsi="Arial" w:cs="Arial"/>
      <w:color w:val="000000"/>
      <w:sz w:val="21"/>
      <w:szCs w:val="21"/>
    </w:rPr>
  </w:style>
  <w:style w:type="paragraph" w:customStyle="1" w:styleId="2679">
    <w:name w:val="TY"/>
    <w:basedOn w:val="1"/>
    <w:qFormat/>
    <w:uiPriority w:val="0"/>
    <w:pPr>
      <w:adjustRightInd w:val="0"/>
      <w:snapToGrid w:val="0"/>
      <w:spacing w:before="40" w:after="40"/>
    </w:pPr>
    <w:rPr>
      <w:szCs w:val="20"/>
    </w:rPr>
  </w:style>
  <w:style w:type="paragraph" w:customStyle="1" w:styleId="2680">
    <w:name w:val="TT"/>
    <w:basedOn w:val="1"/>
    <w:qFormat/>
    <w:uiPriority w:val="0"/>
    <w:pPr>
      <w:adjustRightInd w:val="0"/>
      <w:snapToGrid w:val="0"/>
      <w:spacing w:before="40" w:after="40" w:line="300" w:lineRule="auto"/>
      <w:jc w:val="left"/>
    </w:pPr>
    <w:rPr>
      <w:b/>
      <w:sz w:val="24"/>
      <w:szCs w:val="20"/>
    </w:rPr>
  </w:style>
  <w:style w:type="paragraph" w:customStyle="1" w:styleId="2681">
    <w:name w:val="QIXIN"/>
    <w:basedOn w:val="1"/>
    <w:qFormat/>
    <w:uiPriority w:val="0"/>
    <w:pPr>
      <w:spacing w:line="360" w:lineRule="auto"/>
      <w:ind w:firstLine="600" w:firstLineChars="200"/>
    </w:pPr>
    <w:rPr>
      <w:rFonts w:ascii="宋体" w:hAnsi="宋体"/>
      <w:sz w:val="30"/>
      <w:szCs w:val="30"/>
    </w:rPr>
  </w:style>
  <w:style w:type="character" w:customStyle="1" w:styleId="2682">
    <w:name w:val="标题 2 Char1 Char Char"/>
    <w:qFormat/>
    <w:uiPriority w:val="0"/>
    <w:rPr>
      <w:rFonts w:ascii="仿宋_GB2312" w:hAnsi="Arial" w:eastAsia="仿宋_GB2312"/>
      <w:b/>
      <w:bCs/>
      <w:kern w:val="2"/>
      <w:sz w:val="28"/>
      <w:szCs w:val="32"/>
      <w:lang w:val="en-US" w:eastAsia="zh-CN" w:bidi="ar-SA"/>
    </w:rPr>
  </w:style>
  <w:style w:type="character" w:customStyle="1" w:styleId="2683">
    <w:name w:val="work4"/>
    <w:qFormat/>
    <w:uiPriority w:val="0"/>
    <w:rPr>
      <w:sz w:val="18"/>
      <w:szCs w:val="18"/>
      <w:u w:val="none"/>
    </w:rPr>
  </w:style>
  <w:style w:type="paragraph" w:customStyle="1" w:styleId="2684">
    <w:name w:val="9 Char Char Char3"/>
    <w:basedOn w:val="1"/>
    <w:qFormat/>
    <w:uiPriority w:val="0"/>
    <w:pPr>
      <w:spacing w:line="240" w:lineRule="exact"/>
      <w:ind w:firstLine="200" w:firstLineChars="200"/>
    </w:pPr>
    <w:rPr>
      <w:sz w:val="28"/>
      <w:szCs w:val="28"/>
    </w:rPr>
  </w:style>
  <w:style w:type="paragraph" w:customStyle="1" w:styleId="2685">
    <w:name w:val="Char4 Char Char Char Char Char Char Char Char Char Char Char Char Char Char Char Char Char1 Char Char Char Char Char Char1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686">
    <w:name w:val="Char4 Char Char Char Char Char Char Char Char Char Char Char Char Char Char Char Char Char1 Char Char Char"/>
    <w:basedOn w:val="1"/>
    <w:qFormat/>
    <w:uiPriority w:val="0"/>
    <w:pPr>
      <w:spacing w:line="240" w:lineRule="exact"/>
      <w:ind w:firstLine="200" w:firstLineChars="200"/>
    </w:pPr>
    <w:rPr>
      <w:sz w:val="28"/>
      <w:szCs w:val="28"/>
    </w:rPr>
  </w:style>
  <w:style w:type="paragraph" w:customStyle="1" w:styleId="2687">
    <w:name w:val="Char4 Char Char Char Char Char Char Char Char Char Char Char Char Char Char Char Char Char1 Char"/>
    <w:basedOn w:val="1"/>
    <w:qFormat/>
    <w:uiPriority w:val="0"/>
    <w:pPr>
      <w:spacing w:line="240" w:lineRule="exact"/>
      <w:ind w:firstLine="200" w:firstLineChars="200"/>
    </w:pPr>
    <w:rPr>
      <w:sz w:val="28"/>
      <w:szCs w:val="28"/>
    </w:rPr>
  </w:style>
  <w:style w:type="paragraph" w:customStyle="1" w:styleId="2688">
    <w:name w:val="Char Char Char3 Char Char Char Char Char Char Char Char Char Char Char Char Char Char Char Char Char Char Char Char Char4 Char"/>
    <w:basedOn w:val="1"/>
    <w:next w:val="1"/>
    <w:qFormat/>
    <w:uiPriority w:val="0"/>
    <w:pPr>
      <w:spacing w:line="360" w:lineRule="auto"/>
      <w:ind w:firstLine="200" w:firstLineChars="200"/>
    </w:pPr>
    <w:rPr>
      <w:rFonts w:ascii="宋体" w:hAnsi="宋体" w:cs="宋体"/>
      <w:sz w:val="24"/>
    </w:rPr>
  </w:style>
  <w:style w:type="paragraph" w:customStyle="1" w:styleId="2689">
    <w:name w:val="表中字"/>
    <w:qFormat/>
    <w:uiPriority w:val="0"/>
    <w:pPr>
      <w:widowControl w:val="0"/>
      <w:adjustRightInd w:val="0"/>
      <w:snapToGrid w:val="0"/>
      <w:jc w:val="center"/>
    </w:pPr>
    <w:rPr>
      <w:rFonts w:ascii="Times New Roman" w:hAnsi="Times New Roman" w:eastAsia="宋体" w:cs="Times New Roman"/>
      <w:w w:val="90"/>
      <w:sz w:val="21"/>
      <w:lang w:val="en-US" w:eastAsia="zh-CN" w:bidi="ar-SA"/>
    </w:rPr>
  </w:style>
  <w:style w:type="paragraph" w:customStyle="1" w:styleId="2690">
    <w:name w:val="样式 标题 4 + 图案: 清除 (白色)1"/>
    <w:basedOn w:val="7"/>
    <w:qFormat/>
    <w:uiPriority w:val="0"/>
    <w:pPr>
      <w:numPr>
        <w:numId w:val="0"/>
      </w:numPr>
      <w:tabs>
        <w:tab w:val="left" w:pos="980"/>
        <w:tab w:val="left" w:pos="1704"/>
      </w:tabs>
      <w:spacing w:line="300" w:lineRule="auto"/>
      <w:ind w:left="1704" w:hanging="864"/>
      <w:jc w:val="left"/>
    </w:pPr>
    <w:rPr>
      <w:rFonts w:ascii="Arial Narrow" w:hAnsi="Arial Narrow" w:eastAsia="仿宋_GB2312"/>
      <w:bCs w:val="0"/>
      <w:kern w:val="0"/>
      <w:sz w:val="24"/>
      <w:szCs w:val="20"/>
      <w:shd w:val="clear" w:color="auto" w:fill="FFFFFF"/>
      <w:lang w:val="zh-CN"/>
    </w:rPr>
  </w:style>
  <w:style w:type="paragraph" w:customStyle="1" w:styleId="2691">
    <w:name w:val="样式 标题 1 + 段前: 1.5 行 段后: 1.5 行"/>
    <w:basedOn w:val="4"/>
    <w:qFormat/>
    <w:uiPriority w:val="0"/>
    <w:pPr>
      <w:numPr>
        <w:numId w:val="0"/>
      </w:numPr>
      <w:tabs>
        <w:tab w:val="left" w:pos="432"/>
      </w:tabs>
      <w:spacing w:line="300" w:lineRule="auto"/>
      <w:ind w:left="431" w:hanging="431"/>
      <w:jc w:val="both"/>
    </w:pPr>
    <w:rPr>
      <w:rFonts w:ascii="仿宋_GB2312" w:eastAsia="仿宋_GB2312" w:cs="宋体"/>
      <w:b/>
      <w:sz w:val="32"/>
      <w:szCs w:val="20"/>
    </w:rPr>
  </w:style>
  <w:style w:type="paragraph" w:customStyle="1" w:styleId="2692">
    <w:name w:val="表前文"/>
    <w:basedOn w:val="1"/>
    <w:qFormat/>
    <w:uiPriority w:val="0"/>
    <w:pPr>
      <w:adjustRightInd w:val="0"/>
      <w:spacing w:after="120" w:line="400" w:lineRule="exact"/>
      <w:textAlignment w:val="baseline"/>
    </w:pPr>
    <w:rPr>
      <w:rFonts w:ascii="宋体" w:hAnsi="宋体"/>
      <w:spacing w:val="8"/>
      <w:kern w:val="0"/>
      <w:szCs w:val="20"/>
    </w:rPr>
  </w:style>
  <w:style w:type="paragraph" w:customStyle="1" w:styleId="2693">
    <w:name w:val="抚顺项目章节标题"/>
    <w:basedOn w:val="1"/>
    <w:qFormat/>
    <w:uiPriority w:val="0"/>
    <w:pPr>
      <w:tabs>
        <w:tab w:val="left" w:pos="567"/>
      </w:tabs>
      <w:spacing w:line="360" w:lineRule="auto"/>
    </w:pPr>
    <w:rPr>
      <w:rFonts w:ascii="黑体" w:hAnsi="宋体" w:eastAsia="黑体"/>
      <w:sz w:val="24"/>
      <w:szCs w:val="20"/>
    </w:rPr>
  </w:style>
  <w:style w:type="paragraph" w:customStyle="1" w:styleId="2694">
    <w:name w:val="节标题"/>
    <w:basedOn w:val="1"/>
    <w:next w:val="1"/>
    <w:qFormat/>
    <w:uiPriority w:val="0"/>
    <w:pPr>
      <w:snapToGrid w:val="0"/>
      <w:spacing w:line="360" w:lineRule="auto"/>
      <w:jc w:val="left"/>
    </w:pPr>
    <w:rPr>
      <w:rFonts w:hint="eastAsia" w:hAnsi="黑体" w:eastAsia="黑体"/>
      <w:sz w:val="28"/>
      <w:szCs w:val="20"/>
    </w:rPr>
  </w:style>
  <w:style w:type="paragraph" w:customStyle="1" w:styleId="2695">
    <w:name w:val="正文aa"/>
    <w:basedOn w:val="1"/>
    <w:qFormat/>
    <w:uiPriority w:val="0"/>
    <w:pPr>
      <w:spacing w:line="360" w:lineRule="auto"/>
      <w:ind w:firstLine="200" w:firstLineChars="200"/>
    </w:pPr>
    <w:rPr>
      <w:sz w:val="24"/>
    </w:rPr>
  </w:style>
  <w:style w:type="character" w:customStyle="1" w:styleId="2696">
    <w:name w:val="样式7 Char"/>
    <w:qFormat/>
    <w:uiPriority w:val="0"/>
    <w:rPr>
      <w:rFonts w:eastAsia="楷体_GB2312"/>
      <w:b/>
      <w:w w:val="95"/>
      <w:kern w:val="28"/>
      <w:sz w:val="36"/>
      <w:lang w:val="en-US" w:eastAsia="zh-CN" w:bidi="ar-SA"/>
    </w:rPr>
  </w:style>
  <w:style w:type="character" w:customStyle="1" w:styleId="2697">
    <w:name w:val="font31"/>
    <w:qFormat/>
    <w:uiPriority w:val="0"/>
    <w:rPr>
      <w:color w:val="660099"/>
      <w:sz w:val="18"/>
      <w:szCs w:val="18"/>
    </w:rPr>
  </w:style>
  <w:style w:type="paragraph" w:customStyle="1" w:styleId="2698">
    <w:name w:val="MG"/>
    <w:basedOn w:val="4"/>
    <w:qFormat/>
    <w:uiPriority w:val="0"/>
    <w:pPr>
      <w:keepNext w:val="0"/>
      <w:keepLines w:val="0"/>
      <w:widowControl/>
      <w:numPr>
        <w:numId w:val="0"/>
      </w:numPr>
      <w:tabs>
        <w:tab w:val="left" w:pos="2260"/>
        <w:tab w:val="left" w:pos="2820"/>
        <w:tab w:val="left" w:pos="3420"/>
      </w:tabs>
      <w:spacing w:beforeLines="0" w:afterLines="0"/>
      <w:ind w:left="851" w:right="-28" w:hanging="851"/>
      <w:jc w:val="both"/>
    </w:pPr>
    <w:rPr>
      <w:rFonts w:ascii="Arial" w:eastAsia="宋体"/>
      <w:bCs w:val="0"/>
      <w:kern w:val="0"/>
      <w:sz w:val="22"/>
      <w:szCs w:val="20"/>
      <w:lang w:val="en-GB"/>
    </w:rPr>
  </w:style>
  <w:style w:type="paragraph" w:customStyle="1" w:styleId="2699">
    <w:name w:val="M"/>
    <w:basedOn w:val="4"/>
    <w:qFormat/>
    <w:uiPriority w:val="0"/>
    <w:pPr>
      <w:keepNext w:val="0"/>
      <w:keepLines w:val="0"/>
      <w:widowControl/>
      <w:numPr>
        <w:numId w:val="0"/>
      </w:numPr>
      <w:tabs>
        <w:tab w:val="left" w:pos="2260"/>
        <w:tab w:val="left" w:pos="2820"/>
        <w:tab w:val="left" w:pos="3420"/>
      </w:tabs>
      <w:spacing w:beforeLines="0" w:afterLines="0"/>
      <w:ind w:left="851" w:right="-28" w:hanging="851"/>
      <w:jc w:val="both"/>
    </w:pPr>
    <w:rPr>
      <w:rFonts w:ascii="Arial" w:eastAsia="宋体"/>
      <w:b/>
      <w:bCs w:val="0"/>
      <w:kern w:val="0"/>
      <w:sz w:val="22"/>
      <w:szCs w:val="20"/>
      <w:lang w:val="en-GB"/>
    </w:rPr>
  </w:style>
  <w:style w:type="paragraph" w:customStyle="1" w:styleId="2700">
    <w:name w:val="GM"/>
    <w:basedOn w:val="4"/>
    <w:qFormat/>
    <w:uiPriority w:val="0"/>
    <w:pPr>
      <w:keepNext w:val="0"/>
      <w:keepLines w:val="0"/>
      <w:widowControl/>
      <w:numPr>
        <w:numId w:val="0"/>
      </w:numPr>
      <w:tabs>
        <w:tab w:val="left" w:pos="2260"/>
        <w:tab w:val="left" w:pos="2820"/>
        <w:tab w:val="left" w:pos="3420"/>
      </w:tabs>
      <w:spacing w:beforeLines="0" w:afterLines="0"/>
      <w:ind w:left="851" w:right="-28" w:hanging="851"/>
      <w:jc w:val="both"/>
    </w:pPr>
    <w:rPr>
      <w:rFonts w:ascii="Arial" w:eastAsia="宋体"/>
      <w:bCs w:val="0"/>
      <w:kern w:val="0"/>
      <w:sz w:val="22"/>
      <w:szCs w:val="20"/>
      <w:lang w:val="en-GB"/>
    </w:rPr>
  </w:style>
  <w:style w:type="paragraph" w:customStyle="1" w:styleId="2701">
    <w:name w:val="puce"/>
    <w:basedOn w:val="1"/>
    <w:qFormat/>
    <w:uiPriority w:val="0"/>
    <w:pPr>
      <w:widowControl/>
      <w:tabs>
        <w:tab w:val="left" w:pos="720"/>
        <w:tab w:val="left" w:pos="1200"/>
      </w:tabs>
      <w:adjustRightInd w:val="0"/>
      <w:snapToGrid w:val="0"/>
      <w:spacing w:before="120" w:line="300" w:lineRule="auto"/>
      <w:ind w:left="1200" w:hanging="480"/>
    </w:pPr>
    <w:rPr>
      <w:rFonts w:ascii="Arial" w:hAnsi="Arial"/>
      <w:kern w:val="0"/>
      <w:sz w:val="24"/>
      <w:szCs w:val="20"/>
    </w:rPr>
  </w:style>
  <w:style w:type="paragraph" w:customStyle="1" w:styleId="2702">
    <w:name w:val="ENUM"/>
    <w:basedOn w:val="1"/>
    <w:qFormat/>
    <w:uiPriority w:val="0"/>
    <w:pPr>
      <w:widowControl/>
      <w:tabs>
        <w:tab w:val="left" w:pos="1320"/>
        <w:tab w:val="left" w:pos="1418"/>
      </w:tabs>
      <w:spacing w:before="60" w:after="60"/>
      <w:ind w:left="1418" w:hanging="284" w:firstLineChars="200"/>
    </w:pPr>
    <w:rPr>
      <w:rFonts w:ascii="Arial" w:hAnsi="Arial"/>
      <w:kern w:val="0"/>
      <w:sz w:val="22"/>
      <w:szCs w:val="20"/>
      <w:lang w:val="en-GB"/>
    </w:rPr>
  </w:style>
  <w:style w:type="paragraph" w:customStyle="1" w:styleId="2703">
    <w:name w:val="日期8"/>
    <w:basedOn w:val="1"/>
    <w:next w:val="1"/>
    <w:qFormat/>
    <w:uiPriority w:val="0"/>
    <w:pPr>
      <w:adjustRightInd w:val="0"/>
      <w:jc w:val="left"/>
      <w:textAlignment w:val="baseline"/>
    </w:pPr>
    <w:rPr>
      <w:rFonts w:ascii="宋体"/>
      <w:spacing w:val="24"/>
      <w:kern w:val="24"/>
      <w:sz w:val="24"/>
      <w:szCs w:val="20"/>
    </w:rPr>
  </w:style>
  <w:style w:type="character" w:customStyle="1" w:styleId="2704">
    <w:name w:val="normal1"/>
    <w:qFormat/>
    <w:uiPriority w:val="0"/>
    <w:rPr>
      <w:rFonts w:hint="default" w:ascii="Arial" w:hAnsi="Arial" w:cs="Arial"/>
      <w:color w:val="555555"/>
      <w:sz w:val="19"/>
      <w:szCs w:val="19"/>
    </w:rPr>
  </w:style>
  <w:style w:type="paragraph" w:customStyle="1" w:styleId="2705">
    <w:name w:val="正文文本缩进 24"/>
    <w:basedOn w:val="1"/>
    <w:qFormat/>
    <w:uiPriority w:val="0"/>
    <w:pPr>
      <w:overflowPunct w:val="0"/>
      <w:autoSpaceDE w:val="0"/>
      <w:autoSpaceDN w:val="0"/>
      <w:adjustRightInd w:val="0"/>
      <w:ind w:left="810"/>
      <w:jc w:val="left"/>
      <w:textAlignment w:val="baseline"/>
    </w:pPr>
    <w:rPr>
      <w:kern w:val="0"/>
      <w:sz w:val="20"/>
      <w:szCs w:val="20"/>
    </w:rPr>
  </w:style>
  <w:style w:type="paragraph" w:customStyle="1" w:styleId="2706">
    <w:name w:val="首页页眉样式"/>
    <w:basedOn w:val="1"/>
    <w:qFormat/>
    <w:uiPriority w:val="0"/>
    <w:pPr>
      <w:snapToGrid w:val="0"/>
      <w:spacing w:line="240" w:lineRule="atLeast"/>
      <w:jc w:val="center"/>
    </w:pPr>
    <w:rPr>
      <w:rFonts w:ascii="宋体" w:hAnsi="宋体" w:eastAsia="仿宋_GB2312"/>
      <w:b/>
      <w:kern w:val="0"/>
      <w:szCs w:val="20"/>
    </w:rPr>
  </w:style>
  <w:style w:type="paragraph" w:customStyle="1" w:styleId="2707">
    <w:name w:val="标题01"/>
    <w:basedOn w:val="1"/>
    <w:qFormat/>
    <w:uiPriority w:val="0"/>
    <w:pPr>
      <w:spacing w:after="120" w:line="460" w:lineRule="atLeast"/>
      <w:ind w:firstLine="480"/>
      <w:jc w:val="center"/>
      <w:outlineLvl w:val="0"/>
    </w:pPr>
    <w:rPr>
      <w:b/>
      <w:sz w:val="30"/>
      <w:szCs w:val="20"/>
    </w:rPr>
  </w:style>
  <w:style w:type="paragraph" w:customStyle="1" w:styleId="2708">
    <w:name w:val="样式 四号 行距: 固定值 25 磅"/>
    <w:basedOn w:val="1"/>
    <w:qFormat/>
    <w:uiPriority w:val="0"/>
    <w:pPr>
      <w:spacing w:line="480" w:lineRule="atLeast"/>
      <w:ind w:firstLine="200" w:firstLineChars="200"/>
    </w:pPr>
    <w:rPr>
      <w:sz w:val="24"/>
    </w:rPr>
  </w:style>
  <w:style w:type="paragraph" w:customStyle="1" w:styleId="2709">
    <w:name w:val="样式 四号 黑色 首行缩进:  2 字符"/>
    <w:basedOn w:val="1"/>
    <w:qFormat/>
    <w:uiPriority w:val="0"/>
    <w:pPr>
      <w:spacing w:line="480" w:lineRule="atLeast"/>
      <w:ind w:firstLine="200" w:firstLineChars="200"/>
    </w:pPr>
    <w:rPr>
      <w:color w:val="000000"/>
      <w:sz w:val="24"/>
    </w:rPr>
  </w:style>
  <w:style w:type="paragraph" w:customStyle="1" w:styleId="2710">
    <w:name w:val="热电厂正文 Char Char Char Char"/>
    <w:basedOn w:val="1"/>
    <w:link w:val="2711"/>
    <w:qFormat/>
    <w:uiPriority w:val="0"/>
    <w:pPr>
      <w:spacing w:line="440" w:lineRule="exact"/>
      <w:ind w:firstLine="480" w:firstLineChars="200"/>
    </w:pPr>
    <w:rPr>
      <w:sz w:val="24"/>
    </w:rPr>
  </w:style>
  <w:style w:type="character" w:customStyle="1" w:styleId="2711">
    <w:name w:val="热电厂正文 Char Char Char Char Char"/>
    <w:link w:val="2710"/>
    <w:qFormat/>
    <w:uiPriority w:val="0"/>
    <w:rPr>
      <w:rFonts w:ascii="Times New Roman" w:hAnsi="Times New Roman" w:eastAsia="宋体" w:cs="Times New Roman"/>
      <w:sz w:val="24"/>
      <w:szCs w:val="24"/>
    </w:rPr>
  </w:style>
  <w:style w:type="paragraph" w:customStyle="1" w:styleId="2712">
    <w:name w:val="热电厂正文 Char Char"/>
    <w:basedOn w:val="1"/>
    <w:qFormat/>
    <w:uiPriority w:val="0"/>
    <w:pPr>
      <w:spacing w:line="440" w:lineRule="exact"/>
      <w:ind w:firstLine="480" w:firstLineChars="200"/>
    </w:pPr>
    <w:rPr>
      <w:sz w:val="24"/>
    </w:rPr>
  </w:style>
  <w:style w:type="paragraph" w:customStyle="1" w:styleId="2713">
    <w:name w:val="热电厂正文 Char"/>
    <w:basedOn w:val="1"/>
    <w:qFormat/>
    <w:uiPriority w:val="0"/>
    <w:pPr>
      <w:spacing w:line="440" w:lineRule="exact"/>
      <w:ind w:firstLine="480" w:firstLineChars="200"/>
    </w:pPr>
    <w:rPr>
      <w:sz w:val="24"/>
    </w:rPr>
  </w:style>
  <w:style w:type="paragraph" w:customStyle="1" w:styleId="2714">
    <w:name w:val="节标"/>
    <w:basedOn w:val="1"/>
    <w:qFormat/>
    <w:uiPriority w:val="0"/>
    <w:pPr>
      <w:widowControl/>
      <w:autoSpaceDE w:val="0"/>
      <w:autoSpaceDN w:val="0"/>
      <w:adjustRightInd w:val="0"/>
      <w:spacing w:line="480" w:lineRule="exact"/>
      <w:ind w:firstLine="567"/>
      <w:jc w:val="center"/>
      <w:textAlignment w:val="bottom"/>
    </w:pPr>
    <w:rPr>
      <w:b/>
      <w:kern w:val="0"/>
      <w:sz w:val="30"/>
      <w:szCs w:val="20"/>
    </w:rPr>
  </w:style>
  <w:style w:type="paragraph" w:customStyle="1" w:styleId="2715">
    <w:name w:val="段标"/>
    <w:basedOn w:val="1"/>
    <w:qFormat/>
    <w:uiPriority w:val="0"/>
    <w:pPr>
      <w:adjustRightInd w:val="0"/>
      <w:spacing w:line="360" w:lineRule="auto"/>
      <w:ind w:firstLine="567"/>
      <w:jc w:val="left"/>
      <w:textAlignment w:val="baseline"/>
    </w:pPr>
    <w:rPr>
      <w:kern w:val="0"/>
      <w:sz w:val="28"/>
      <w:szCs w:val="20"/>
    </w:rPr>
  </w:style>
  <w:style w:type="paragraph" w:customStyle="1" w:styleId="2716">
    <w:name w:val="首页脚注"/>
    <w:basedOn w:val="55"/>
    <w:qFormat/>
    <w:uiPriority w:val="0"/>
    <w:pPr>
      <w:keepLines/>
      <w:widowControl/>
      <w:tabs>
        <w:tab w:val="center" w:pos="4320"/>
        <w:tab w:val="clear" w:pos="4153"/>
        <w:tab w:val="clear" w:pos="8306"/>
      </w:tabs>
      <w:overflowPunct w:val="0"/>
      <w:autoSpaceDE w:val="0"/>
      <w:autoSpaceDN w:val="0"/>
      <w:adjustRightInd w:val="0"/>
      <w:snapToGrid/>
      <w:spacing w:line="360" w:lineRule="auto"/>
      <w:jc w:val="center"/>
      <w:textAlignment w:val="baseline"/>
    </w:pPr>
    <w:rPr>
      <w:kern w:val="0"/>
      <w:sz w:val="28"/>
      <w:szCs w:val="20"/>
    </w:rPr>
  </w:style>
  <w:style w:type="paragraph" w:customStyle="1" w:styleId="2717">
    <w:name w:val="gb1"/>
    <w:basedOn w:val="1"/>
    <w:qFormat/>
    <w:uiPriority w:val="0"/>
    <w:pPr>
      <w:widowControl/>
      <w:tabs>
        <w:tab w:val="left" w:pos="227"/>
      </w:tabs>
      <w:overflowPunct w:val="0"/>
      <w:autoSpaceDE w:val="0"/>
      <w:autoSpaceDN w:val="0"/>
      <w:adjustRightInd w:val="0"/>
      <w:spacing w:before="120" w:after="120"/>
      <w:textAlignment w:val="baseline"/>
    </w:pPr>
    <w:rPr>
      <w:rFonts w:ascii="Arial" w:hAnsi="Arial" w:eastAsia="仿宋体"/>
      <w:kern w:val="0"/>
      <w:szCs w:val="20"/>
    </w:rPr>
  </w:style>
  <w:style w:type="paragraph" w:customStyle="1" w:styleId="2718">
    <w:name w:val="Achievement"/>
    <w:basedOn w:val="2"/>
    <w:qFormat/>
    <w:uiPriority w:val="0"/>
    <w:pPr>
      <w:widowControl/>
      <w:tabs>
        <w:tab w:val="left" w:pos="960"/>
      </w:tabs>
      <w:spacing w:after="60" w:line="220" w:lineRule="atLeast"/>
      <w:ind w:left="960" w:right="-360" w:hanging="960" w:firstLineChars="0"/>
      <w:jc w:val="left"/>
    </w:pPr>
    <w:rPr>
      <w:snapToGrid/>
      <w:sz w:val="20"/>
      <w:lang w:val="zh-CN"/>
    </w:rPr>
  </w:style>
  <w:style w:type="paragraph" w:customStyle="1" w:styleId="2719">
    <w:name w:val="In Table (II)"/>
    <w:basedOn w:val="1477"/>
    <w:qFormat/>
    <w:uiPriority w:val="0"/>
    <w:pPr>
      <w:tabs>
        <w:tab w:val="left" w:pos="2200"/>
      </w:tabs>
      <w:adjustRightInd/>
      <w:snapToGrid/>
      <w:spacing w:before="60" w:after="60"/>
      <w:ind w:left="52"/>
      <w:jc w:val="left"/>
      <w:textAlignment w:val="auto"/>
    </w:pPr>
    <w:rPr>
      <w:kern w:val="2"/>
    </w:rPr>
  </w:style>
  <w:style w:type="paragraph" w:customStyle="1" w:styleId="2720">
    <w:name w:val="Items"/>
    <w:basedOn w:val="1"/>
    <w:qFormat/>
    <w:uiPriority w:val="0"/>
    <w:pPr>
      <w:tabs>
        <w:tab w:val="left" w:pos="720"/>
        <w:tab w:val="left" w:pos="992"/>
      </w:tabs>
      <w:spacing w:before="10" w:after="20" w:line="460" w:lineRule="atLeast"/>
      <w:ind w:left="992" w:hanging="425"/>
    </w:pPr>
    <w:rPr>
      <w:rFonts w:ascii="Tahoma" w:hAnsi="Tahoma" w:eastAsia="华文中宋"/>
      <w:sz w:val="28"/>
      <w:szCs w:val="20"/>
    </w:rPr>
  </w:style>
  <w:style w:type="paragraph" w:customStyle="1" w:styleId="2721">
    <w:name w:val="表格文字居中"/>
    <w:basedOn w:val="1"/>
    <w:qFormat/>
    <w:uiPriority w:val="0"/>
    <w:pPr>
      <w:widowControl/>
      <w:tabs>
        <w:tab w:val="left" w:pos="-1843"/>
        <w:tab w:val="left" w:pos="1458"/>
        <w:tab w:val="left" w:pos="1727"/>
        <w:tab w:val="left" w:pos="1884"/>
      </w:tabs>
      <w:spacing w:line="300" w:lineRule="exact"/>
      <w:textAlignment w:val="bottom"/>
      <w:outlineLvl w:val="0"/>
    </w:pPr>
    <w:rPr>
      <w:rFonts w:ascii="宋体"/>
      <w:color w:val="000000"/>
      <w:spacing w:val="-12"/>
      <w:kern w:val="0"/>
    </w:rPr>
  </w:style>
  <w:style w:type="paragraph" w:customStyle="1" w:styleId="2722">
    <w:name w:val="农业部一"/>
    <w:next w:val="2"/>
    <w:qFormat/>
    <w:uiPriority w:val="0"/>
    <w:pPr>
      <w:widowControl w:val="0"/>
      <w:topLinePunct/>
      <w:spacing w:line="480" w:lineRule="atLeast"/>
      <w:jc w:val="center"/>
    </w:pPr>
    <w:rPr>
      <w:rFonts w:ascii="Times New Roman" w:hAnsi="Times New Roman" w:eastAsia="宋体" w:cs="Times New Roman"/>
      <w:kern w:val="2"/>
      <w:sz w:val="21"/>
      <w:szCs w:val="24"/>
      <w:lang w:val="en-US" w:eastAsia="zh-CN" w:bidi="ar-SA"/>
    </w:rPr>
  </w:style>
  <w:style w:type="paragraph" w:customStyle="1" w:styleId="2723">
    <w:name w:val="Address 2"/>
    <w:basedOn w:val="1"/>
    <w:qFormat/>
    <w:uiPriority w:val="0"/>
    <w:pPr>
      <w:framePr w:w="2405" w:wrap="notBeside" w:vAnchor="page" w:hAnchor="page" w:x="5761" w:y="1009" w:anchorLock="1"/>
      <w:widowControl/>
      <w:spacing w:line="200" w:lineRule="atLeast"/>
      <w:jc w:val="left"/>
    </w:pPr>
    <w:rPr>
      <w:kern w:val="0"/>
      <w:sz w:val="16"/>
      <w:szCs w:val="20"/>
    </w:rPr>
  </w:style>
  <w:style w:type="paragraph" w:customStyle="1" w:styleId="2724">
    <w:name w:val="ljw表格"/>
    <w:basedOn w:val="1"/>
    <w:next w:val="1"/>
    <w:qFormat/>
    <w:uiPriority w:val="0"/>
    <w:pPr>
      <w:adjustRightInd w:val="0"/>
      <w:snapToGrid w:val="0"/>
      <w:spacing w:beforeLines="25" w:afterLines="25"/>
      <w:jc w:val="center"/>
    </w:pPr>
    <w:rPr>
      <w:rFonts w:ascii="宋体" w:hAnsi="宋体"/>
      <w:bCs/>
      <w:sz w:val="22"/>
      <w:szCs w:val="28"/>
    </w:rPr>
  </w:style>
  <w:style w:type="paragraph" w:customStyle="1" w:styleId="2725">
    <w:name w:val="ljw正文"/>
    <w:basedOn w:val="1"/>
    <w:qFormat/>
    <w:uiPriority w:val="0"/>
    <w:pPr>
      <w:adjustRightInd w:val="0"/>
      <w:snapToGrid w:val="0"/>
      <w:spacing w:afterLines="50" w:line="300" w:lineRule="auto"/>
      <w:ind w:firstLine="480" w:firstLineChars="200"/>
    </w:pPr>
    <w:rPr>
      <w:rFonts w:ascii="宋体" w:hAnsi="宋体"/>
      <w:bCs/>
      <w:sz w:val="24"/>
      <w:szCs w:val="28"/>
    </w:rPr>
  </w:style>
  <w:style w:type="paragraph" w:customStyle="1" w:styleId="2726">
    <w:name w:val="列表项目符号1.缩2"/>
    <w:basedOn w:val="2727"/>
    <w:qFormat/>
    <w:uiPriority w:val="0"/>
    <w:pPr>
      <w:tabs>
        <w:tab w:val="left" w:pos="945"/>
        <w:tab w:val="left" w:pos="1992"/>
      </w:tabs>
      <w:spacing w:line="360" w:lineRule="auto"/>
      <w:ind w:left="0" w:firstLine="425"/>
    </w:pPr>
    <w:rPr>
      <w:sz w:val="24"/>
      <w:szCs w:val="24"/>
    </w:rPr>
  </w:style>
  <w:style w:type="paragraph" w:customStyle="1" w:styleId="2727">
    <w:name w:val="列表项目符号1."/>
    <w:basedOn w:val="1"/>
    <w:qFormat/>
    <w:uiPriority w:val="0"/>
    <w:pPr>
      <w:keepNext/>
      <w:adjustRightInd w:val="0"/>
      <w:spacing w:line="312" w:lineRule="atLeast"/>
      <w:ind w:left="425" w:hanging="425"/>
      <w:textAlignment w:val="baseline"/>
    </w:pPr>
    <w:rPr>
      <w:kern w:val="0"/>
      <w:szCs w:val="21"/>
    </w:rPr>
  </w:style>
  <w:style w:type="paragraph" w:customStyle="1" w:styleId="2728">
    <w:name w:val="自定义缩进"/>
    <w:basedOn w:val="1"/>
    <w:qFormat/>
    <w:uiPriority w:val="0"/>
    <w:pPr>
      <w:keepNext/>
      <w:spacing w:line="336" w:lineRule="auto"/>
      <w:ind w:firstLine="480" w:firstLineChars="200"/>
      <w:jc w:val="left"/>
    </w:pPr>
    <w:rPr>
      <w:rFonts w:ascii="宋体" w:hAnsi="宋体"/>
      <w:kern w:val="0"/>
      <w:sz w:val="24"/>
    </w:rPr>
  </w:style>
  <w:style w:type="paragraph" w:customStyle="1" w:styleId="2729">
    <w:name w:val="表格内"/>
    <w:basedOn w:val="1"/>
    <w:qFormat/>
    <w:uiPriority w:val="0"/>
    <w:pPr>
      <w:adjustRightInd w:val="0"/>
      <w:spacing w:line="240" w:lineRule="atLeast"/>
      <w:jc w:val="center"/>
      <w:textAlignment w:val="baseline"/>
    </w:pPr>
    <w:rPr>
      <w:rFonts w:ascii="宋体"/>
      <w:kern w:val="0"/>
      <w:sz w:val="28"/>
      <w:szCs w:val="20"/>
    </w:rPr>
  </w:style>
  <w:style w:type="paragraph" w:customStyle="1" w:styleId="2730">
    <w:name w:val="Sun"/>
    <w:basedOn w:val="1"/>
    <w:qFormat/>
    <w:uiPriority w:val="0"/>
    <w:pPr>
      <w:adjustRightInd w:val="0"/>
      <w:spacing w:line="360" w:lineRule="auto"/>
      <w:ind w:firstLine="567"/>
      <w:textAlignment w:val="baseline"/>
    </w:pPr>
    <w:rPr>
      <w:kern w:val="28"/>
      <w:sz w:val="28"/>
      <w:szCs w:val="20"/>
    </w:rPr>
  </w:style>
  <w:style w:type="paragraph" w:customStyle="1" w:styleId="2731">
    <w:name w:val="sms"/>
    <w:basedOn w:val="1"/>
    <w:qFormat/>
    <w:uiPriority w:val="0"/>
    <w:pPr>
      <w:widowControl/>
      <w:overflowPunct w:val="0"/>
      <w:autoSpaceDE w:val="0"/>
      <w:autoSpaceDN w:val="0"/>
      <w:adjustRightInd w:val="0"/>
      <w:spacing w:line="360" w:lineRule="auto"/>
      <w:ind w:left="2126" w:right="992" w:firstLine="709"/>
      <w:jc w:val="left"/>
      <w:textAlignment w:val="baseline"/>
    </w:pPr>
    <w:rPr>
      <w:rFonts w:ascii="宋体"/>
      <w:spacing w:val="20"/>
      <w:kern w:val="0"/>
      <w:sz w:val="26"/>
      <w:szCs w:val="20"/>
    </w:rPr>
  </w:style>
  <w:style w:type="paragraph" w:customStyle="1" w:styleId="2732">
    <w:name w:val="zxl正文首行缩进  2 字符 行距: Char"/>
    <w:basedOn w:val="1"/>
    <w:qFormat/>
    <w:uiPriority w:val="0"/>
    <w:pPr>
      <w:widowControl/>
      <w:tabs>
        <w:tab w:val="left" w:pos="-1843"/>
        <w:tab w:val="left" w:pos="1727"/>
        <w:tab w:val="left" w:pos="1884"/>
      </w:tabs>
      <w:ind w:firstLine="527"/>
      <w:textAlignment w:val="bottom"/>
      <w:outlineLvl w:val="0"/>
    </w:pPr>
    <w:rPr>
      <w:rFonts w:ascii="宋体" w:hAnsi="宋体"/>
      <w:sz w:val="24"/>
    </w:rPr>
  </w:style>
  <w:style w:type="paragraph" w:customStyle="1" w:styleId="2733">
    <w:name w:val="ljw子标题"/>
    <w:basedOn w:val="1"/>
    <w:next w:val="2"/>
    <w:qFormat/>
    <w:uiPriority w:val="0"/>
    <w:pPr>
      <w:adjustRightInd w:val="0"/>
      <w:snapToGrid w:val="0"/>
      <w:spacing w:beforeLines="50" w:afterLines="50"/>
      <w:jc w:val="left"/>
    </w:pPr>
    <w:rPr>
      <w:rFonts w:ascii="宋体" w:hAnsi="宋体"/>
      <w:b/>
      <w:sz w:val="24"/>
      <w:szCs w:val="28"/>
    </w:rPr>
  </w:style>
  <w:style w:type="character" w:customStyle="1" w:styleId="2734">
    <w:name w:val="正文不缩进 Char Char Char Char Char Char"/>
    <w:qFormat/>
    <w:uiPriority w:val="0"/>
    <w:rPr>
      <w:rFonts w:eastAsia="宋体"/>
      <w:kern w:val="2"/>
      <w:sz w:val="21"/>
      <w:szCs w:val="24"/>
      <w:lang w:val="en-US" w:eastAsia="zh-CN" w:bidi="ar-SA"/>
    </w:rPr>
  </w:style>
  <w:style w:type="paragraph" w:customStyle="1" w:styleId="2735">
    <w:name w:val="热电厂正文"/>
    <w:basedOn w:val="1"/>
    <w:qFormat/>
    <w:uiPriority w:val="0"/>
    <w:pPr>
      <w:spacing w:line="440" w:lineRule="exact"/>
      <w:ind w:firstLine="480" w:firstLineChars="200"/>
    </w:pPr>
    <w:rPr>
      <w:sz w:val="24"/>
    </w:rPr>
  </w:style>
  <w:style w:type="paragraph" w:customStyle="1" w:styleId="2736">
    <w:name w:val="表格内正文"/>
    <w:qFormat/>
    <w:uiPriority w:val="0"/>
    <w:pPr>
      <w:widowControl w:val="0"/>
      <w:spacing w:line="360" w:lineRule="exact"/>
      <w:ind w:firstLine="420" w:firstLineChars="200"/>
      <w:jc w:val="both"/>
    </w:pPr>
    <w:rPr>
      <w:rFonts w:ascii="Times New Roman" w:hAnsi="Times New Roman" w:eastAsia="宋体" w:cs="Times New Roman"/>
      <w:kern w:val="2"/>
      <w:sz w:val="21"/>
      <w:szCs w:val="24"/>
      <w:lang w:val="en-US" w:eastAsia="zh-CN" w:bidi="ar-SA"/>
    </w:rPr>
  </w:style>
  <w:style w:type="paragraph" w:customStyle="1" w:styleId="2737">
    <w:name w:val="样式 小四 行距: 固定值 24 磅 首行缩进:  2 字符"/>
    <w:basedOn w:val="1"/>
    <w:qFormat/>
    <w:uiPriority w:val="0"/>
    <w:pPr>
      <w:spacing w:line="440" w:lineRule="exact"/>
      <w:ind w:firstLine="200" w:firstLineChars="200"/>
    </w:pPr>
    <w:rPr>
      <w:sz w:val="24"/>
    </w:rPr>
  </w:style>
  <w:style w:type="paragraph" w:customStyle="1" w:styleId="2738">
    <w:name w:val="样式 (西文) 宋体 首行缩进:  0.85 厘米 行距: 1.5 倍行距"/>
    <w:basedOn w:val="1"/>
    <w:qFormat/>
    <w:uiPriority w:val="0"/>
    <w:pPr>
      <w:adjustRightInd w:val="0"/>
      <w:snapToGrid w:val="0"/>
      <w:spacing w:line="360" w:lineRule="auto"/>
      <w:ind w:firstLine="480" w:firstLineChars="200"/>
      <w:jc w:val="left"/>
    </w:pPr>
    <w:rPr>
      <w:rFonts w:ascii="宋体" w:hAnsi="宋体"/>
      <w:color w:val="000000"/>
      <w:sz w:val="24"/>
    </w:rPr>
  </w:style>
  <w:style w:type="paragraph" w:customStyle="1" w:styleId="2739">
    <w:name w:val="样式 首行缩进:  2 字符 行距: 1.5 倍行距"/>
    <w:basedOn w:val="1"/>
    <w:qFormat/>
    <w:uiPriority w:val="0"/>
    <w:pPr>
      <w:spacing w:line="440" w:lineRule="exact"/>
      <w:ind w:firstLine="200" w:firstLineChars="200"/>
    </w:pPr>
    <w:rPr>
      <w:rFonts w:cs="宋体"/>
      <w:sz w:val="24"/>
      <w:szCs w:val="20"/>
    </w:rPr>
  </w:style>
  <w:style w:type="paragraph" w:customStyle="1" w:styleId="2740">
    <w:name w:val="样式 样式2 + (符号) 宋体 Char"/>
    <w:basedOn w:val="1"/>
    <w:qFormat/>
    <w:uiPriority w:val="0"/>
    <w:pPr>
      <w:adjustRightInd w:val="0"/>
      <w:snapToGrid w:val="0"/>
      <w:spacing w:line="480" w:lineRule="exact"/>
      <w:ind w:firstLine="480" w:firstLineChars="200"/>
    </w:pPr>
    <w:rPr>
      <w:sz w:val="24"/>
      <w:szCs w:val="28"/>
    </w:rPr>
  </w:style>
  <w:style w:type="character" w:customStyle="1" w:styleId="2741">
    <w:name w:val="样式 样式2 + (符号) 宋体1 Char"/>
    <w:qFormat/>
    <w:uiPriority w:val="0"/>
    <w:rPr>
      <w:rFonts w:ascii="宋体" w:eastAsia="宋体"/>
      <w:kern w:val="2"/>
      <w:sz w:val="28"/>
      <w:szCs w:val="28"/>
      <w:lang w:val="en-US" w:eastAsia="zh-CN" w:bidi="ar-SA"/>
    </w:rPr>
  </w:style>
  <w:style w:type="paragraph" w:customStyle="1" w:styleId="2742">
    <w:name w:val="中文表标题"/>
    <w:basedOn w:val="1"/>
    <w:next w:val="1"/>
    <w:qFormat/>
    <w:uiPriority w:val="0"/>
    <w:pPr>
      <w:keepNext/>
      <w:widowControl/>
      <w:overflowPunct w:val="0"/>
      <w:adjustRightInd w:val="0"/>
      <w:snapToGrid w:val="0"/>
      <w:spacing w:before="480" w:after="360" w:line="500" w:lineRule="exact"/>
      <w:ind w:firstLine="200" w:firstLineChars="200"/>
      <w:jc w:val="center"/>
      <w:textAlignment w:val="baseline"/>
    </w:pPr>
    <w:rPr>
      <w:rFonts w:eastAsia="仿宋_GB2312"/>
      <w:kern w:val="0"/>
      <w:sz w:val="28"/>
      <w:szCs w:val="20"/>
    </w:rPr>
  </w:style>
  <w:style w:type="paragraph" w:customStyle="1" w:styleId="2743">
    <w:name w:val="表内"/>
    <w:basedOn w:val="1"/>
    <w:qFormat/>
    <w:uiPriority w:val="0"/>
    <w:pPr>
      <w:jc w:val="center"/>
      <w:textAlignment w:val="center"/>
    </w:pPr>
    <w:rPr>
      <w:rFonts w:ascii="仿宋_GB2312" w:eastAsia="仿宋_GB2312"/>
      <w:sz w:val="24"/>
      <w:szCs w:val="20"/>
    </w:rPr>
  </w:style>
  <w:style w:type="paragraph" w:customStyle="1" w:styleId="2744">
    <w:name w:val="样式 表格标题 + 首行缩进:  2 字符"/>
    <w:basedOn w:val="1"/>
    <w:qFormat/>
    <w:uiPriority w:val="0"/>
    <w:pPr>
      <w:adjustRightInd w:val="0"/>
      <w:spacing w:before="120" w:line="360" w:lineRule="auto"/>
      <w:ind w:firstLine="480" w:firstLineChars="200"/>
      <w:jc w:val="center"/>
      <w:textAlignment w:val="baseline"/>
    </w:pPr>
    <w:rPr>
      <w:rFonts w:eastAsia="汉鼎简特宋"/>
      <w:kern w:val="0"/>
      <w:sz w:val="24"/>
      <w:szCs w:val="20"/>
    </w:rPr>
  </w:style>
  <w:style w:type="paragraph" w:customStyle="1" w:styleId="2745">
    <w:name w:val="样式 (中文) 楷体_GB2312 居中 行距: 固定值 12 磅"/>
    <w:basedOn w:val="1"/>
    <w:qFormat/>
    <w:uiPriority w:val="0"/>
    <w:pPr>
      <w:spacing w:line="240" w:lineRule="exact"/>
      <w:jc w:val="center"/>
    </w:pPr>
    <w:rPr>
      <w:rFonts w:eastAsia="楷体_GB2312" w:cs="宋体"/>
      <w:szCs w:val="20"/>
    </w:rPr>
  </w:style>
  <w:style w:type="paragraph" w:customStyle="1" w:styleId="2746">
    <w:name w:val="样式 样式 样式 样式 样式 样式 首行缩进:  2 字符 + 首行缩进:  2 字符2 + 仿宋_GB2312 + 首行缩进:..."/>
    <w:basedOn w:val="1"/>
    <w:link w:val="2747"/>
    <w:qFormat/>
    <w:uiPriority w:val="0"/>
    <w:pPr>
      <w:spacing w:line="560" w:lineRule="exact"/>
      <w:ind w:firstLine="624" w:firstLineChars="200"/>
    </w:pPr>
    <w:rPr>
      <w:rFonts w:eastAsia="楷体_GB2312"/>
      <w:spacing w:val="12"/>
      <w:kern w:val="0"/>
      <w:sz w:val="28"/>
      <w:szCs w:val="28"/>
    </w:rPr>
  </w:style>
  <w:style w:type="character" w:customStyle="1" w:styleId="2747">
    <w:name w:val="样式 样式 样式 样式 样式 样式 首行缩进:  2 字符 + 首行缩进:  2 字符2 + 仿宋_GB2312 + 首行缩进:... Char"/>
    <w:link w:val="2746"/>
    <w:qFormat/>
    <w:uiPriority w:val="0"/>
    <w:rPr>
      <w:rFonts w:ascii="Times New Roman" w:hAnsi="Times New Roman" w:eastAsia="楷体_GB2312" w:cs="Times New Roman"/>
      <w:spacing w:val="12"/>
      <w:kern w:val="0"/>
      <w:sz w:val="28"/>
      <w:szCs w:val="28"/>
    </w:rPr>
  </w:style>
  <w:style w:type="character" w:customStyle="1" w:styleId="2748">
    <w:name w:val="style211"/>
    <w:qFormat/>
    <w:uiPriority w:val="0"/>
    <w:rPr>
      <w:color w:val="000000"/>
    </w:rPr>
  </w:style>
  <w:style w:type="character" w:customStyle="1" w:styleId="2749">
    <w:name w:val="z_gray1"/>
    <w:qFormat/>
    <w:uiPriority w:val="0"/>
    <w:rPr>
      <w:color w:val="666666"/>
    </w:rPr>
  </w:style>
  <w:style w:type="paragraph" w:customStyle="1" w:styleId="2750">
    <w:name w:val="Char Char Char Char Char Char Char Char"/>
    <w:basedOn w:val="1"/>
    <w:qFormat/>
    <w:uiPriority w:val="0"/>
    <w:pPr>
      <w:spacing w:line="240" w:lineRule="exact"/>
      <w:ind w:firstLine="200" w:firstLineChars="200"/>
    </w:pPr>
    <w:rPr>
      <w:sz w:val="28"/>
      <w:szCs w:val="28"/>
    </w:rPr>
  </w:style>
  <w:style w:type="character" w:customStyle="1" w:styleId="2751">
    <w:name w:val="news_body"/>
    <w:qFormat/>
    <w:uiPriority w:val="0"/>
  </w:style>
  <w:style w:type="character" w:customStyle="1" w:styleId="2752">
    <w:name w:val="rsdesckey1"/>
    <w:qFormat/>
    <w:uiPriority w:val="0"/>
    <w:rPr>
      <w:color w:val="FF0000"/>
    </w:rPr>
  </w:style>
  <w:style w:type="paragraph" w:customStyle="1" w:styleId="2753">
    <w:name w:val="text12"/>
    <w:basedOn w:val="1"/>
    <w:qFormat/>
    <w:uiPriority w:val="0"/>
    <w:pPr>
      <w:widowControl/>
      <w:spacing w:before="100" w:beforeAutospacing="1" w:after="100" w:afterAutospacing="1" w:line="360" w:lineRule="auto"/>
      <w:jc w:val="left"/>
    </w:pPr>
    <w:rPr>
      <w:rFonts w:ascii="宋体" w:hAnsi="宋体" w:cs="宋体"/>
      <w:kern w:val="0"/>
      <w:sz w:val="18"/>
      <w:szCs w:val="18"/>
    </w:rPr>
  </w:style>
  <w:style w:type="paragraph" w:customStyle="1" w:styleId="2754">
    <w:name w:val="正文格式 Char Char Char2"/>
    <w:basedOn w:val="1"/>
    <w:link w:val="2755"/>
    <w:qFormat/>
    <w:uiPriority w:val="0"/>
    <w:pPr>
      <w:spacing w:line="360" w:lineRule="auto"/>
      <w:ind w:firstLine="482"/>
    </w:pPr>
    <w:rPr>
      <w:rFonts w:ascii="宋体" w:cs="宋体"/>
      <w:sz w:val="24"/>
    </w:rPr>
  </w:style>
  <w:style w:type="character" w:customStyle="1" w:styleId="2755">
    <w:name w:val="正文格式 Char Char Char2 Char"/>
    <w:link w:val="2754"/>
    <w:qFormat/>
    <w:uiPriority w:val="0"/>
    <w:rPr>
      <w:rFonts w:ascii="宋体" w:hAnsi="Times New Roman" w:eastAsia="宋体" w:cs="宋体"/>
      <w:sz w:val="24"/>
      <w:szCs w:val="24"/>
    </w:rPr>
  </w:style>
  <w:style w:type="paragraph" w:customStyle="1" w:styleId="2756">
    <w:name w:val="cauc-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2757">
    <w:name w:val="cucd-0"/>
    <w:link w:val="2758"/>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2758">
    <w:name w:val="cucd-0 Char"/>
    <w:link w:val="2757"/>
    <w:qFormat/>
    <w:uiPriority w:val="0"/>
    <w:rPr>
      <w:rFonts w:ascii="Times New Roman" w:hAnsi="Times New Roman" w:eastAsia="宋体" w:cs="Times New Roman"/>
      <w:sz w:val="24"/>
      <w:szCs w:val="24"/>
    </w:rPr>
  </w:style>
  <w:style w:type="table" w:customStyle="1" w:styleId="2759">
    <w:name w:val="cucd-table"/>
    <w:basedOn w:val="88"/>
    <w:qFormat/>
    <w:uiPriority w:val="0"/>
    <w:pPr>
      <w:jc w:val="center"/>
    </w:pPr>
    <w:rPr>
      <w:rFonts w:ascii="Times New Roman" w:hAnsi="Times New Roman"/>
    </w:r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CellMar>
        <w:top w:w="0" w:type="dxa"/>
        <w:left w:w="108" w:type="dxa"/>
        <w:bottom w:w="0" w:type="dxa"/>
        <w:right w:w="108" w:type="dxa"/>
      </w:tblCellMar>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paragraph" w:customStyle="1" w:styleId="2760">
    <w:name w:val="0"/>
    <w:basedOn w:val="1"/>
    <w:qFormat/>
    <w:uiPriority w:val="0"/>
    <w:pPr>
      <w:widowControl/>
      <w:snapToGrid w:val="0"/>
    </w:pPr>
    <w:rPr>
      <w:kern w:val="0"/>
      <w:szCs w:val="21"/>
    </w:rPr>
  </w:style>
  <w:style w:type="character" w:customStyle="1" w:styleId="2761">
    <w:name w:val="项2 Char"/>
    <w:link w:val="2762"/>
    <w:qFormat/>
    <w:uiPriority w:val="0"/>
    <w:rPr>
      <w:rFonts w:ascii="宋体" w:hAnsi="宋体" w:eastAsia="黑体"/>
      <w:b/>
      <w:bCs/>
      <w:sz w:val="30"/>
      <w:szCs w:val="30"/>
    </w:rPr>
  </w:style>
  <w:style w:type="paragraph" w:customStyle="1" w:styleId="2762">
    <w:name w:val="项2"/>
    <w:basedOn w:val="1"/>
    <w:link w:val="2761"/>
    <w:qFormat/>
    <w:uiPriority w:val="0"/>
    <w:pPr>
      <w:keepNext/>
      <w:keepLines/>
      <w:tabs>
        <w:tab w:val="left" w:pos="720"/>
      </w:tabs>
      <w:adjustRightInd w:val="0"/>
      <w:snapToGrid w:val="0"/>
      <w:spacing w:beforeLines="50" w:line="360" w:lineRule="auto"/>
      <w:outlineLvl w:val="1"/>
    </w:pPr>
    <w:rPr>
      <w:rFonts w:ascii="宋体" w:hAnsi="宋体" w:eastAsia="黑体"/>
      <w:b/>
      <w:bCs/>
      <w:sz w:val="30"/>
      <w:szCs w:val="30"/>
    </w:rPr>
  </w:style>
  <w:style w:type="character" w:customStyle="1" w:styleId="2763">
    <w:name w:val="标题 2 Char Char Char Char Char Char Char Char Char Char Char Char Char Char Char Char Char Char Char Char Char Char Char Char Char Char Char"/>
    <w:qFormat/>
    <w:uiPriority w:val="0"/>
    <w:rPr>
      <w:rFonts w:eastAsia="黑体"/>
      <w:bCs/>
      <w:color w:val="000000"/>
      <w:kern w:val="2"/>
      <w:sz w:val="28"/>
      <w:szCs w:val="32"/>
      <w:lang w:val="en-US" w:eastAsia="zh-CN" w:bidi="ar-SA"/>
    </w:rPr>
  </w:style>
  <w:style w:type="character" w:customStyle="1" w:styleId="2764">
    <w:name w:val="Footer-Even Char Char1"/>
    <w:qFormat/>
    <w:uiPriority w:val="0"/>
    <w:rPr>
      <w:rFonts w:eastAsia="宋体"/>
      <w:kern w:val="2"/>
      <w:sz w:val="18"/>
      <w:lang w:val="en-US" w:eastAsia="zh-CN" w:bidi="ar-SA"/>
    </w:rPr>
  </w:style>
  <w:style w:type="paragraph" w:customStyle="1" w:styleId="2765">
    <w:name w:val="样式 标题 2标题 2 Char标2h2H2标题21.1标题 2 + Times New Roman"/>
    <w:basedOn w:val="5"/>
    <w:qFormat/>
    <w:uiPriority w:val="0"/>
    <w:pPr>
      <w:numPr>
        <w:ilvl w:val="0"/>
        <w:numId w:val="0"/>
      </w:numPr>
      <w:autoSpaceDE w:val="0"/>
      <w:autoSpaceDN w:val="0"/>
      <w:snapToGrid/>
      <w:spacing w:beforeLines="0" w:afterLines="0" w:line="360" w:lineRule="auto"/>
      <w:jc w:val="center"/>
    </w:pPr>
    <w:rPr>
      <w:rFonts w:eastAsia="仿宋_GB2312"/>
      <w:bCs w:val="0"/>
      <w:color w:val="000000"/>
      <w:kern w:val="0"/>
      <w:sz w:val="28"/>
      <w:szCs w:val="28"/>
    </w:rPr>
  </w:style>
  <w:style w:type="paragraph" w:customStyle="1" w:styleId="2766">
    <w:name w:val="样式 标题 2节第一章 标题 2Heading 2 HiddenHeading 2 CCBSheading 2H2...1"/>
    <w:basedOn w:val="5"/>
    <w:qFormat/>
    <w:uiPriority w:val="0"/>
    <w:pPr>
      <w:numPr>
        <w:ilvl w:val="0"/>
        <w:numId w:val="0"/>
      </w:numPr>
      <w:adjustRightInd/>
      <w:snapToGrid/>
      <w:spacing w:beforeLines="0" w:afterLines="0" w:line="500" w:lineRule="exact"/>
      <w:jc w:val="both"/>
    </w:pPr>
    <w:rPr>
      <w:rFonts w:ascii="宋体" w:hAnsi="宋体" w:eastAsia="宋体"/>
      <w:b/>
      <w:bCs w:val="0"/>
      <w:color w:val="000000"/>
      <w:sz w:val="28"/>
      <w:szCs w:val="28"/>
    </w:rPr>
  </w:style>
  <w:style w:type="paragraph" w:customStyle="1" w:styleId="2767">
    <w:name w:val="无间隔1"/>
    <w:next w:val="1"/>
    <w:link w:val="4053"/>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2768">
    <w:name w:val="正文(首行缩进)宋旭峰 Char Char"/>
    <w:link w:val="2769"/>
    <w:qFormat/>
    <w:uiPriority w:val="0"/>
    <w:rPr>
      <w:rFonts w:ascii="楷体_GB2312" w:hAnsi="宋体" w:eastAsia="楷体_GB2312" w:cs="Arial"/>
      <w:b/>
      <w:snapToGrid w:val="0"/>
      <w:sz w:val="24"/>
      <w:szCs w:val="24"/>
    </w:rPr>
  </w:style>
  <w:style w:type="paragraph" w:customStyle="1" w:styleId="2769">
    <w:name w:val="正文(首行缩进)宋旭峰"/>
    <w:basedOn w:val="22"/>
    <w:link w:val="2768"/>
    <w:qFormat/>
    <w:uiPriority w:val="0"/>
    <w:pPr>
      <w:spacing w:line="500" w:lineRule="exact"/>
      <w:ind w:firstLine="482"/>
      <w:jc w:val="center"/>
    </w:pPr>
    <w:rPr>
      <w:rFonts w:ascii="楷体_GB2312" w:hAnsi="宋体" w:eastAsia="楷体_GB2312" w:cs="Arial"/>
      <w:b/>
      <w:snapToGrid w:val="0"/>
      <w:sz w:val="24"/>
    </w:rPr>
  </w:style>
  <w:style w:type="paragraph" w:customStyle="1" w:styleId="2770">
    <w:name w:val="正文首行缩进5"/>
    <w:basedOn w:val="22"/>
    <w:qFormat/>
    <w:uiPriority w:val="0"/>
    <w:pPr>
      <w:widowControl/>
      <w:tabs>
        <w:tab w:val="left" w:pos="1134"/>
        <w:tab w:val="left" w:pos="1287"/>
      </w:tabs>
      <w:adjustRightInd w:val="0"/>
      <w:spacing w:line="360" w:lineRule="auto"/>
      <w:ind w:firstLine="567" w:firstLineChars="0"/>
    </w:pPr>
    <w:rPr>
      <w:rFonts w:ascii="Garamond" w:hAnsi="Garamond"/>
      <w:sz w:val="28"/>
      <w:szCs w:val="20"/>
    </w:rPr>
  </w:style>
  <w:style w:type="character" w:customStyle="1" w:styleId="2771">
    <w:name w:val="超链接4"/>
    <w:qFormat/>
    <w:uiPriority w:val="0"/>
    <w:rPr>
      <w:color w:val="0000FF"/>
      <w:u w:val="single"/>
    </w:rPr>
  </w:style>
  <w:style w:type="character" w:customStyle="1" w:styleId="2772">
    <w:name w:val="三级标题 Char"/>
    <w:qFormat/>
    <w:uiPriority w:val="0"/>
    <w:rPr>
      <w:rFonts w:ascii="黑体" w:eastAsia="黑体"/>
      <w:kern w:val="2"/>
      <w:sz w:val="30"/>
      <w:lang w:val="en-US" w:eastAsia="zh-CN" w:bidi="ar-SA"/>
    </w:rPr>
  </w:style>
  <w:style w:type="character" w:customStyle="1" w:styleId="2773">
    <w:name w:val="样式1 Char Char"/>
    <w:qFormat/>
    <w:uiPriority w:val="0"/>
    <w:rPr>
      <w:rFonts w:ascii="宋体"/>
      <w:kern w:val="2"/>
      <w:sz w:val="21"/>
    </w:rPr>
  </w:style>
  <w:style w:type="character" w:customStyle="1" w:styleId="2774">
    <w:name w:val="表格 Char Char Char"/>
    <w:qFormat/>
    <w:uiPriority w:val="0"/>
    <w:rPr>
      <w:rFonts w:eastAsia="仿宋_GB2312"/>
      <w:kern w:val="2"/>
      <w:sz w:val="21"/>
      <w:lang w:val="en-US" w:eastAsia="zh-CN" w:bidi="ar-SA"/>
    </w:rPr>
  </w:style>
  <w:style w:type="paragraph" w:customStyle="1" w:styleId="2775">
    <w:name w:val="标准段落"/>
    <w:basedOn w:val="1"/>
    <w:next w:val="1"/>
    <w:qFormat/>
    <w:uiPriority w:val="0"/>
    <w:pPr>
      <w:spacing w:line="500" w:lineRule="exact"/>
      <w:ind w:firstLine="560" w:firstLineChars="200"/>
    </w:pPr>
    <w:rPr>
      <w:rFonts w:hAnsi="宋体"/>
      <w:sz w:val="28"/>
      <w:szCs w:val="28"/>
    </w:rPr>
  </w:style>
  <w:style w:type="paragraph" w:customStyle="1" w:styleId="2776">
    <w:name w:val="标题3.5"/>
    <w:basedOn w:val="1"/>
    <w:qFormat/>
    <w:uiPriority w:val="0"/>
    <w:rPr>
      <w:rFonts w:eastAsia="仿宋_GB2312"/>
      <w:sz w:val="24"/>
      <w:szCs w:val="20"/>
    </w:rPr>
  </w:style>
  <w:style w:type="paragraph" w:customStyle="1" w:styleId="2777">
    <w:name w:val="报告表头"/>
    <w:basedOn w:val="1"/>
    <w:qFormat/>
    <w:uiPriority w:val="0"/>
    <w:pPr>
      <w:spacing w:line="500" w:lineRule="exact"/>
      <w:ind w:firstLine="560" w:firstLineChars="200"/>
    </w:pPr>
    <w:rPr>
      <w:rFonts w:ascii="黑体" w:hAnsi="宋体" w:eastAsia="黑体"/>
      <w:spacing w:val="20"/>
      <w:kern w:val="36"/>
      <w:sz w:val="24"/>
    </w:rPr>
  </w:style>
  <w:style w:type="paragraph" w:customStyle="1" w:styleId="2778">
    <w:name w:val="沁漠表头"/>
    <w:basedOn w:val="1"/>
    <w:link w:val="2780"/>
    <w:qFormat/>
    <w:uiPriority w:val="0"/>
    <w:pPr>
      <w:adjustRightInd w:val="0"/>
      <w:snapToGrid w:val="0"/>
      <w:spacing w:beforeLines="50" w:line="240" w:lineRule="atLeast"/>
      <w:jc w:val="center"/>
    </w:pPr>
    <w:rPr>
      <w:rFonts w:hAnsi="宋体"/>
      <w:b/>
      <w:bCs/>
      <w:sz w:val="24"/>
      <w:lang w:val="zh-CN"/>
    </w:rPr>
  </w:style>
  <w:style w:type="paragraph" w:customStyle="1" w:styleId="2779">
    <w:name w:val="沁漠表格数据"/>
    <w:basedOn w:val="1"/>
    <w:link w:val="2782"/>
    <w:qFormat/>
    <w:uiPriority w:val="0"/>
    <w:pPr>
      <w:adjustRightInd w:val="0"/>
      <w:snapToGrid w:val="0"/>
      <w:ind w:left="-57" w:right="-57"/>
      <w:jc w:val="center"/>
    </w:pPr>
    <w:rPr>
      <w:kern w:val="0"/>
      <w:szCs w:val="21"/>
      <w:lang w:val="zh-CN"/>
    </w:rPr>
  </w:style>
  <w:style w:type="character" w:customStyle="1" w:styleId="2780">
    <w:name w:val="沁漠表头 Char"/>
    <w:link w:val="2778"/>
    <w:qFormat/>
    <w:uiPriority w:val="0"/>
    <w:rPr>
      <w:rFonts w:ascii="Times New Roman" w:hAnsi="宋体" w:eastAsia="宋体" w:cs="Times New Roman"/>
      <w:b/>
      <w:bCs/>
      <w:sz w:val="24"/>
      <w:szCs w:val="24"/>
      <w:lang w:val="zh-CN" w:eastAsia="zh-CN"/>
    </w:rPr>
  </w:style>
  <w:style w:type="paragraph" w:customStyle="1" w:styleId="2781">
    <w:name w:val="沁漠正文"/>
    <w:basedOn w:val="1"/>
    <w:link w:val="2784"/>
    <w:qFormat/>
    <w:uiPriority w:val="0"/>
    <w:pPr>
      <w:spacing w:line="360" w:lineRule="auto"/>
      <w:ind w:firstLine="461" w:firstLineChars="192"/>
    </w:pPr>
    <w:rPr>
      <w:sz w:val="24"/>
      <w:lang w:val="zh-CN"/>
    </w:rPr>
  </w:style>
  <w:style w:type="character" w:customStyle="1" w:styleId="2782">
    <w:name w:val="沁漠表格数据 Char"/>
    <w:link w:val="2779"/>
    <w:qFormat/>
    <w:uiPriority w:val="0"/>
    <w:rPr>
      <w:rFonts w:ascii="Times New Roman" w:hAnsi="Times New Roman" w:eastAsia="宋体" w:cs="Times New Roman"/>
      <w:kern w:val="0"/>
      <w:szCs w:val="21"/>
      <w:lang w:val="zh-CN" w:eastAsia="zh-CN"/>
    </w:rPr>
  </w:style>
  <w:style w:type="paragraph" w:customStyle="1" w:styleId="2783">
    <w:name w:val="沁漠图标题"/>
    <w:basedOn w:val="2778"/>
    <w:link w:val="2786"/>
    <w:qFormat/>
    <w:uiPriority w:val="0"/>
    <w:pPr>
      <w:spacing w:beforeLines="0" w:afterLines="50"/>
    </w:pPr>
    <w:rPr>
      <w:snapToGrid w:val="0"/>
    </w:rPr>
  </w:style>
  <w:style w:type="character" w:customStyle="1" w:styleId="2784">
    <w:name w:val="沁漠正文 Char"/>
    <w:link w:val="2781"/>
    <w:qFormat/>
    <w:uiPriority w:val="0"/>
    <w:rPr>
      <w:rFonts w:ascii="Times New Roman" w:hAnsi="Times New Roman" w:eastAsia="宋体" w:cs="Times New Roman"/>
      <w:sz w:val="24"/>
      <w:szCs w:val="24"/>
      <w:lang w:val="zh-CN" w:eastAsia="zh-CN"/>
    </w:rPr>
  </w:style>
  <w:style w:type="character" w:customStyle="1" w:styleId="2785">
    <w:name w:val="grame"/>
    <w:qFormat/>
    <w:uiPriority w:val="0"/>
  </w:style>
  <w:style w:type="character" w:customStyle="1" w:styleId="2786">
    <w:name w:val="沁漠图标题 Char"/>
    <w:link w:val="2783"/>
    <w:qFormat/>
    <w:uiPriority w:val="0"/>
    <w:rPr>
      <w:rFonts w:ascii="Times New Roman" w:hAnsi="宋体" w:eastAsia="宋体" w:cs="Times New Roman"/>
      <w:b/>
      <w:bCs/>
      <w:snapToGrid w:val="0"/>
      <w:sz w:val="24"/>
      <w:szCs w:val="24"/>
      <w:lang w:val="zh-CN" w:eastAsia="zh-CN"/>
    </w:rPr>
  </w:style>
  <w:style w:type="paragraph" w:customStyle="1" w:styleId="2787">
    <w:name w:val="无间隔11"/>
    <w:next w:val="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788">
    <w:name w:val="dxj表内容"/>
    <w:basedOn w:val="1"/>
    <w:next w:val="1"/>
    <w:qFormat/>
    <w:uiPriority w:val="0"/>
    <w:pPr>
      <w:spacing w:line="280" w:lineRule="exact"/>
      <w:jc w:val="center"/>
    </w:pPr>
    <w:rPr>
      <w:sz w:val="18"/>
      <w:szCs w:val="18"/>
    </w:rPr>
  </w:style>
  <w:style w:type="character" w:customStyle="1" w:styleId="2789">
    <w:name w:val="dxj正文 Char"/>
    <w:link w:val="2790"/>
    <w:qFormat/>
    <w:uiPriority w:val="0"/>
    <w:rPr>
      <w:sz w:val="24"/>
      <w:szCs w:val="24"/>
    </w:rPr>
  </w:style>
  <w:style w:type="paragraph" w:customStyle="1" w:styleId="2790">
    <w:name w:val="dxj正文"/>
    <w:basedOn w:val="1"/>
    <w:link w:val="2789"/>
    <w:qFormat/>
    <w:uiPriority w:val="0"/>
    <w:pPr>
      <w:spacing w:line="360" w:lineRule="auto"/>
      <w:ind w:firstLine="200" w:firstLineChars="200"/>
    </w:pPr>
    <w:rPr>
      <w:rFonts w:ascii="Calibri" w:hAnsi="Calibri"/>
      <w:sz w:val="24"/>
    </w:rPr>
  </w:style>
  <w:style w:type="paragraph" w:customStyle="1" w:styleId="2791">
    <w:name w:val="listparagraph"/>
    <w:basedOn w:val="1"/>
    <w:qFormat/>
    <w:uiPriority w:val="0"/>
    <w:pPr>
      <w:widowControl/>
      <w:spacing w:before="100" w:beforeAutospacing="1" w:after="100" w:afterAutospacing="1"/>
      <w:jc w:val="left"/>
    </w:pPr>
    <w:rPr>
      <w:rFonts w:ascii="宋体" w:hAnsi="宋体" w:cs="宋体"/>
      <w:kern w:val="0"/>
      <w:sz w:val="24"/>
    </w:rPr>
  </w:style>
  <w:style w:type="character" w:customStyle="1" w:styleId="2792">
    <w:name w:val="apple-converted-space"/>
    <w:qFormat/>
    <w:uiPriority w:val="0"/>
  </w:style>
  <w:style w:type="character" w:customStyle="1" w:styleId="2793">
    <w:name w:val="题2 Char Char"/>
    <w:qFormat/>
    <w:uiPriority w:val="0"/>
    <w:rPr>
      <w:bCs/>
      <w:kern w:val="2"/>
      <w:sz w:val="30"/>
      <w:szCs w:val="28"/>
    </w:rPr>
  </w:style>
  <w:style w:type="paragraph" w:customStyle="1" w:styleId="2794">
    <w:name w:val="Char Char Char Char Char Char Char Char1 Char Char Char Char"/>
    <w:basedOn w:val="1"/>
    <w:qFormat/>
    <w:uiPriority w:val="0"/>
  </w:style>
  <w:style w:type="paragraph" w:customStyle="1" w:styleId="2795">
    <w:name w:val="列出段落2"/>
    <w:basedOn w:val="1"/>
    <w:qFormat/>
    <w:uiPriority w:val="0"/>
    <w:pPr>
      <w:ind w:firstLine="420" w:firstLineChars="200"/>
    </w:pPr>
    <w:rPr>
      <w:rFonts w:ascii="Calibri" w:hAnsi="Calibri"/>
      <w:szCs w:val="22"/>
    </w:rPr>
  </w:style>
  <w:style w:type="paragraph" w:customStyle="1" w:styleId="2796">
    <w:name w:val="segm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797">
    <w:name w:val="Char Char Char Char Char Char1 Char Char Char Char Char Char Char Char Char Char"/>
    <w:basedOn w:val="1"/>
    <w:qFormat/>
    <w:uiPriority w:val="0"/>
    <w:pPr>
      <w:widowControl/>
      <w:spacing w:after="160" w:line="240" w:lineRule="exact"/>
      <w:jc w:val="left"/>
    </w:pPr>
  </w:style>
  <w:style w:type="character" w:customStyle="1" w:styleId="2798">
    <w:name w:val="报告正文 Char Char"/>
    <w:qFormat/>
    <w:uiPriority w:val="0"/>
    <w:rPr>
      <w:kern w:val="44"/>
      <w:sz w:val="24"/>
      <w:lang w:val="en-US" w:eastAsia="zh-CN" w:bidi="ar-SA"/>
    </w:rPr>
  </w:style>
  <w:style w:type="character" w:customStyle="1" w:styleId="2799">
    <w:name w:val="普通(网站) Char"/>
    <w:link w:val="81"/>
    <w:qFormat/>
    <w:uiPriority w:val="99"/>
    <w:rPr>
      <w:rFonts w:ascii="宋体" w:hAnsi="宋体" w:eastAsia="宋体" w:cs="宋体"/>
      <w:kern w:val="0"/>
      <w:sz w:val="24"/>
      <w:szCs w:val="24"/>
    </w:rPr>
  </w:style>
  <w:style w:type="paragraph" w:customStyle="1" w:styleId="2800">
    <w:name w:val="14"/>
    <w:basedOn w:val="1"/>
    <w:next w:val="22"/>
    <w:qFormat/>
    <w:uiPriority w:val="0"/>
    <w:pPr>
      <w:spacing w:line="500" w:lineRule="exact"/>
      <w:ind w:firstLine="200" w:firstLineChars="200"/>
      <w:jc w:val="left"/>
    </w:pPr>
    <w:rPr>
      <w:rFonts w:ascii="仿宋_GB2312" w:eastAsia="仿宋_GB2312"/>
      <w:bCs/>
      <w:sz w:val="28"/>
      <w:szCs w:val="20"/>
    </w:rPr>
  </w:style>
  <w:style w:type="paragraph" w:customStyle="1" w:styleId="2801">
    <w:name w:val="图文文字"/>
    <w:qFormat/>
    <w:uiPriority w:val="0"/>
    <w:pPr>
      <w:jc w:val="center"/>
    </w:pPr>
    <w:rPr>
      <w:rFonts w:ascii="Times New Roman" w:hAnsi="Times New Roman" w:eastAsia="宋体" w:cs="Times New Roman"/>
      <w:sz w:val="21"/>
      <w:lang w:val="en-US" w:eastAsia="zh-CN" w:bidi="ar-SA"/>
    </w:rPr>
  </w:style>
  <w:style w:type="paragraph" w:customStyle="1" w:styleId="2802">
    <w:name w:val="环评样式"/>
    <w:basedOn w:val="1"/>
    <w:qFormat/>
    <w:uiPriority w:val="0"/>
    <w:pPr>
      <w:overflowPunct w:val="0"/>
      <w:adjustRightInd w:val="0"/>
      <w:snapToGrid w:val="0"/>
      <w:spacing w:line="360" w:lineRule="auto"/>
      <w:outlineLvl w:val="0"/>
    </w:pPr>
    <w:rPr>
      <w:rFonts w:ascii="仿宋_GB2312" w:hAnsi="Alaska" w:eastAsia="仿宋_GB2312"/>
      <w:kern w:val="0"/>
      <w:sz w:val="30"/>
      <w:szCs w:val="20"/>
    </w:rPr>
  </w:style>
  <w:style w:type="paragraph" w:customStyle="1" w:styleId="2803">
    <w:name w:val="Char Char Char1 Char Char Char1 Char Char Char1 Char"/>
    <w:basedOn w:val="1"/>
    <w:qFormat/>
    <w:uiPriority w:val="0"/>
    <w:pPr>
      <w:spacing w:line="400" w:lineRule="exact"/>
      <w:ind w:firstLine="200" w:firstLineChars="200"/>
    </w:pPr>
    <w:rPr>
      <w:sz w:val="28"/>
      <w:szCs w:val="28"/>
    </w:rPr>
  </w:style>
  <w:style w:type="paragraph" w:customStyle="1" w:styleId="2804">
    <w:name w:val="缩进"/>
    <w:basedOn w:val="1"/>
    <w:qFormat/>
    <w:uiPriority w:val="0"/>
    <w:pPr>
      <w:spacing w:line="480" w:lineRule="exact"/>
      <w:ind w:firstLine="480" w:firstLineChars="200"/>
      <w:jc w:val="left"/>
    </w:pPr>
    <w:rPr>
      <w:rFonts w:hint="eastAsia" w:ascii="宋体" w:hAnsi="宋体" w:eastAsia="仿宋_GB2312"/>
      <w:bCs/>
      <w:color w:val="000000"/>
      <w:sz w:val="24"/>
    </w:rPr>
  </w:style>
  <w:style w:type="paragraph" w:customStyle="1" w:styleId="2805">
    <w:name w:val="正文编号"/>
    <w:basedOn w:val="1"/>
    <w:qFormat/>
    <w:uiPriority w:val="0"/>
    <w:pPr>
      <w:tabs>
        <w:tab w:val="left" w:pos="1200"/>
      </w:tabs>
      <w:adjustRightInd w:val="0"/>
      <w:spacing w:line="360" w:lineRule="auto"/>
      <w:ind w:left="1200" w:leftChars="400" w:hanging="360" w:hangingChars="200"/>
    </w:pPr>
    <w:rPr>
      <w:rFonts w:ascii="Arial" w:hAnsi="Arial"/>
      <w:kern w:val="0"/>
      <w:sz w:val="24"/>
    </w:rPr>
  </w:style>
  <w:style w:type="paragraph" w:customStyle="1" w:styleId="2806">
    <w:name w:val="lz正文"/>
    <w:basedOn w:val="1"/>
    <w:qFormat/>
    <w:uiPriority w:val="0"/>
    <w:pPr>
      <w:numPr>
        <w:ilvl w:val="4"/>
        <w:numId w:val="16"/>
      </w:numPr>
      <w:adjustRightInd w:val="0"/>
      <w:snapToGrid w:val="0"/>
      <w:spacing w:line="360" w:lineRule="auto"/>
      <w:ind w:firstLine="480" w:firstLineChars="200"/>
    </w:pPr>
    <w:rPr>
      <w:sz w:val="28"/>
      <w:szCs w:val="21"/>
    </w:rPr>
  </w:style>
  <w:style w:type="paragraph" w:customStyle="1" w:styleId="2807">
    <w:name w:val="正文 居中"/>
    <w:basedOn w:val="1"/>
    <w:qFormat/>
    <w:uiPriority w:val="0"/>
    <w:pPr>
      <w:snapToGrid w:val="0"/>
      <w:spacing w:before="48" w:after="48" w:line="360" w:lineRule="auto"/>
      <w:jc w:val="center"/>
    </w:pPr>
    <w:rPr>
      <w:rFonts w:ascii="宋体" w:hAnsi="宋体"/>
      <w:bCs/>
      <w:kern w:val="0"/>
      <w:sz w:val="24"/>
      <w:szCs w:val="20"/>
    </w:rPr>
  </w:style>
  <w:style w:type="paragraph" w:customStyle="1" w:styleId="2808">
    <w:name w:val="表格居中"/>
    <w:basedOn w:val="1"/>
    <w:qFormat/>
    <w:uiPriority w:val="0"/>
    <w:pPr>
      <w:numPr>
        <w:ilvl w:val="0"/>
        <w:numId w:val="17"/>
      </w:numPr>
      <w:snapToGrid w:val="0"/>
      <w:ind w:left="0" w:firstLine="0"/>
      <w:jc w:val="center"/>
    </w:pPr>
    <w:rPr>
      <w:rFonts w:ascii="宋体" w:hAnsi="宋体"/>
      <w:bCs/>
      <w:kern w:val="18"/>
      <w:szCs w:val="21"/>
      <w:u w:color="FF0000"/>
    </w:rPr>
  </w:style>
  <w:style w:type="paragraph" w:customStyle="1" w:styleId="2809">
    <w:name w:val="表格两端对齐"/>
    <w:basedOn w:val="2808"/>
    <w:qFormat/>
    <w:uiPriority w:val="0"/>
    <w:pPr>
      <w:spacing w:line="360" w:lineRule="auto"/>
    </w:pPr>
  </w:style>
  <w:style w:type="paragraph" w:customStyle="1" w:styleId="2810">
    <w:name w:val="样式 仿宋_GB2312 小四 居中 行距: 最小值 12 磅"/>
    <w:basedOn w:val="1"/>
    <w:qFormat/>
    <w:uiPriority w:val="0"/>
    <w:pPr>
      <w:spacing w:line="400" w:lineRule="exact"/>
      <w:jc w:val="center"/>
    </w:pPr>
    <w:rPr>
      <w:rFonts w:ascii="仿宋_GB2312" w:cs="宋体"/>
      <w:szCs w:val="20"/>
    </w:rPr>
  </w:style>
  <w:style w:type="paragraph" w:customStyle="1" w:styleId="2811">
    <w:name w:val="样式 宋体 四号 左 行距: 固定值 25 磅"/>
    <w:basedOn w:val="1"/>
    <w:qFormat/>
    <w:uiPriority w:val="0"/>
    <w:pPr>
      <w:spacing w:line="500" w:lineRule="exact"/>
      <w:ind w:firstLine="200" w:firstLineChars="200"/>
      <w:jc w:val="left"/>
    </w:pPr>
    <w:rPr>
      <w:rFonts w:cs="宋体"/>
      <w:sz w:val="28"/>
      <w:szCs w:val="20"/>
    </w:rPr>
  </w:style>
  <w:style w:type="paragraph" w:customStyle="1" w:styleId="2812">
    <w:name w:val="样式 标题 1h1H1PIM 1标书11.标题 1Section HeadHeader11st levell1..."/>
    <w:basedOn w:val="4"/>
    <w:qFormat/>
    <w:uiPriority w:val="0"/>
    <w:pPr>
      <w:numPr>
        <w:numId w:val="0"/>
      </w:numPr>
      <w:adjustRightInd/>
      <w:snapToGrid/>
      <w:spacing w:line="500" w:lineRule="exact"/>
      <w:ind w:right="210"/>
      <w:jc w:val="both"/>
    </w:pPr>
    <w:rPr>
      <w:rFonts w:cs="宋体"/>
      <w:b/>
      <w:color w:val="000000"/>
      <w:sz w:val="30"/>
      <w:szCs w:val="20"/>
    </w:rPr>
  </w:style>
  <w:style w:type="paragraph" w:customStyle="1" w:styleId="2813">
    <w:name w:val="样式 标题2 + 仿宋_GB2312 段前: 6 磅 段后: 6 磅"/>
    <w:basedOn w:val="5"/>
    <w:qFormat/>
    <w:uiPriority w:val="0"/>
    <w:pPr>
      <w:numPr>
        <w:ilvl w:val="0"/>
        <w:numId w:val="0"/>
      </w:numPr>
      <w:adjustRightInd/>
      <w:snapToGrid/>
      <w:spacing w:line="500" w:lineRule="exact"/>
      <w:ind w:firstLine="200" w:firstLineChars="200"/>
      <w:jc w:val="both"/>
    </w:pPr>
    <w:rPr>
      <w:rFonts w:ascii="仿宋_GB2312" w:eastAsia="仿宋_GB2312" w:cs="宋体"/>
      <w:b/>
      <w:sz w:val="28"/>
      <w:szCs w:val="20"/>
    </w:rPr>
  </w:style>
  <w:style w:type="paragraph" w:customStyle="1" w:styleId="2814">
    <w:name w:val="Char Char Char1 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815">
    <w:name w:val="TITLE-2"/>
    <w:basedOn w:val="1"/>
    <w:qFormat/>
    <w:uiPriority w:val="0"/>
    <w:pPr>
      <w:adjustRightInd w:val="0"/>
      <w:spacing w:line="480" w:lineRule="atLeast"/>
      <w:ind w:left="284" w:hanging="284"/>
    </w:pPr>
    <w:rPr>
      <w:rFonts w:ascii="華康中楷體" w:eastAsia="華康中楷體"/>
      <w:kern w:val="0"/>
      <w:sz w:val="28"/>
      <w:szCs w:val="20"/>
      <w:lang w:eastAsia="zh-TW"/>
    </w:rPr>
  </w:style>
  <w:style w:type="paragraph" w:customStyle="1" w:styleId="2816">
    <w:name w:val="9 Char"/>
    <w:basedOn w:val="1"/>
    <w:qFormat/>
    <w:uiPriority w:val="0"/>
    <w:pPr>
      <w:spacing w:line="240" w:lineRule="exact"/>
      <w:ind w:firstLine="200" w:firstLineChars="200"/>
    </w:pPr>
    <w:rPr>
      <w:sz w:val="28"/>
      <w:szCs w:val="28"/>
    </w:rPr>
  </w:style>
  <w:style w:type="paragraph" w:customStyle="1" w:styleId="2817">
    <w:name w:val="表样式1"/>
    <w:basedOn w:val="1"/>
    <w:qFormat/>
    <w:uiPriority w:val="0"/>
    <w:pPr>
      <w:snapToGrid w:val="0"/>
      <w:spacing w:line="400" w:lineRule="exact"/>
      <w:ind w:left="-21" w:leftChars="-10" w:right="-21" w:rightChars="-10"/>
      <w:jc w:val="center"/>
    </w:pPr>
    <w:rPr>
      <w:color w:val="000000"/>
      <w:szCs w:val="21"/>
      <w:lang w:eastAsia="zh-TW"/>
    </w:rPr>
  </w:style>
  <w:style w:type="paragraph" w:customStyle="1" w:styleId="2818">
    <w:name w:val="表头样式1"/>
    <w:basedOn w:val="1"/>
    <w:qFormat/>
    <w:uiPriority w:val="0"/>
    <w:pPr>
      <w:autoSpaceDE w:val="0"/>
      <w:autoSpaceDN w:val="0"/>
      <w:adjustRightInd w:val="0"/>
      <w:spacing w:beforeLines="20" w:line="500" w:lineRule="exact"/>
      <w:jc w:val="center"/>
    </w:pPr>
    <w:rPr>
      <w:rFonts w:ascii="黑体" w:hAnsi="宋体" w:eastAsia="黑体"/>
      <w:color w:val="000000"/>
      <w:kern w:val="0"/>
      <w:sz w:val="24"/>
      <w:lang w:eastAsia="zh-TW"/>
    </w:rPr>
  </w:style>
  <w:style w:type="paragraph" w:customStyle="1" w:styleId="2819">
    <w:name w:val="标题001"/>
    <w:basedOn w:val="1"/>
    <w:qFormat/>
    <w:uiPriority w:val="0"/>
    <w:pPr>
      <w:spacing w:before="60" w:line="480" w:lineRule="exact"/>
      <w:outlineLvl w:val="0"/>
    </w:pPr>
    <w:rPr>
      <w:b/>
      <w:bCs/>
      <w:sz w:val="32"/>
      <w:szCs w:val="32"/>
    </w:rPr>
  </w:style>
  <w:style w:type="paragraph" w:customStyle="1" w:styleId="2820">
    <w:name w:val="标题002"/>
    <w:basedOn w:val="1"/>
    <w:qFormat/>
    <w:uiPriority w:val="0"/>
    <w:pPr>
      <w:spacing w:before="160" w:line="480" w:lineRule="exact"/>
      <w:outlineLvl w:val="1"/>
    </w:pPr>
    <w:rPr>
      <w:b/>
      <w:bCs/>
      <w:sz w:val="28"/>
      <w:szCs w:val="28"/>
    </w:rPr>
  </w:style>
  <w:style w:type="paragraph" w:customStyle="1" w:styleId="2821">
    <w:name w:val="wangjunbo.bullet"/>
    <w:basedOn w:val="1"/>
    <w:qFormat/>
    <w:uiPriority w:val="0"/>
    <w:pPr>
      <w:jc w:val="center"/>
    </w:pPr>
    <w:rPr>
      <w:rFonts w:ascii="宋体" w:hAnsi="宋体"/>
      <w:szCs w:val="20"/>
    </w:rPr>
  </w:style>
  <w:style w:type="paragraph" w:customStyle="1" w:styleId="2822">
    <w:name w:val="正文（行首缩进2字）"/>
    <w:basedOn w:val="1"/>
    <w:qFormat/>
    <w:uiPriority w:val="0"/>
    <w:pPr>
      <w:spacing w:line="360" w:lineRule="auto"/>
      <w:ind w:firstLine="200" w:firstLineChars="200"/>
    </w:pPr>
    <w:rPr>
      <w:sz w:val="28"/>
    </w:rPr>
  </w:style>
  <w:style w:type="paragraph" w:customStyle="1" w:styleId="2823">
    <w:name w:val="标题003"/>
    <w:basedOn w:val="1"/>
    <w:qFormat/>
    <w:uiPriority w:val="0"/>
    <w:pPr>
      <w:spacing w:before="120" w:line="440" w:lineRule="exact"/>
      <w:outlineLvl w:val="2"/>
    </w:pPr>
    <w:rPr>
      <w:b/>
      <w:sz w:val="27"/>
      <w:szCs w:val="20"/>
    </w:rPr>
  </w:style>
  <w:style w:type="paragraph" w:customStyle="1" w:styleId="2824">
    <w:name w:val="样式 标题 3条标题1.1.1条标题1.1.11条标题1.1.12条标题1.1.13条标题1.1.111条标题1.1..."/>
    <w:basedOn w:val="6"/>
    <w:qFormat/>
    <w:uiPriority w:val="0"/>
    <w:pPr>
      <w:numPr>
        <w:ilvl w:val="0"/>
        <w:numId w:val="0"/>
      </w:numPr>
      <w:adjustRightInd/>
      <w:snapToGrid/>
      <w:spacing w:line="500" w:lineRule="exact"/>
    </w:pPr>
    <w:rPr>
      <w:rFonts w:ascii="宋体" w:hAnsi="宋体" w:eastAsia="宋体" w:cs="宋体"/>
      <w:b/>
      <w:bCs w:val="0"/>
      <w:sz w:val="28"/>
      <w:szCs w:val="20"/>
    </w:rPr>
  </w:style>
  <w:style w:type="paragraph" w:customStyle="1" w:styleId="2825">
    <w:name w:val="样式 标题 3条标题1.1.1条标题1.1.11条标题1.1.12条标题1.1.13条标题1.1.111条标题1.1...1"/>
    <w:basedOn w:val="6"/>
    <w:qFormat/>
    <w:uiPriority w:val="0"/>
    <w:pPr>
      <w:numPr>
        <w:ilvl w:val="0"/>
        <w:numId w:val="0"/>
      </w:numPr>
      <w:adjustRightInd/>
      <w:snapToGrid/>
      <w:spacing w:line="500" w:lineRule="exact"/>
    </w:pPr>
    <w:rPr>
      <w:rFonts w:ascii="宋体" w:hAnsi="宋体" w:eastAsia="宋体" w:cs="宋体"/>
      <w:b/>
      <w:bCs w:val="0"/>
      <w:sz w:val="28"/>
      <w:szCs w:val="20"/>
    </w:rPr>
  </w:style>
  <w:style w:type="paragraph" w:customStyle="1" w:styleId="2826">
    <w:name w:val="标题004"/>
    <w:basedOn w:val="814"/>
    <w:qFormat/>
    <w:uiPriority w:val="0"/>
    <w:pPr>
      <w:ind w:firstLine="0"/>
      <w:outlineLvl w:val="3"/>
    </w:pPr>
    <w:rPr>
      <w:b/>
      <w:szCs w:val="20"/>
    </w:rPr>
  </w:style>
  <w:style w:type="paragraph" w:customStyle="1" w:styleId="2827">
    <w:name w:val="样式 标题 3 + 11 磅 蓝色"/>
    <w:basedOn w:val="6"/>
    <w:qFormat/>
    <w:uiPriority w:val="0"/>
    <w:pPr>
      <w:numPr>
        <w:ilvl w:val="0"/>
        <w:numId w:val="0"/>
      </w:numPr>
      <w:autoSpaceDE w:val="0"/>
      <w:autoSpaceDN w:val="0"/>
      <w:spacing w:line="500" w:lineRule="exact"/>
      <w:jc w:val="left"/>
    </w:pPr>
    <w:rPr>
      <w:rFonts w:ascii="宋体" w:hAnsi="宋体" w:eastAsia="宋体"/>
      <w:color w:val="0000FF"/>
      <w:kern w:val="0"/>
      <w:sz w:val="28"/>
      <w:szCs w:val="28"/>
    </w:rPr>
  </w:style>
  <w:style w:type="paragraph" w:customStyle="1" w:styleId="2828">
    <w:name w:val="普通表格1"/>
    <w:basedOn w:val="45"/>
    <w:qFormat/>
    <w:uiPriority w:val="0"/>
    <w:pPr>
      <w:snapToGrid w:val="0"/>
      <w:spacing w:line="380" w:lineRule="exact"/>
    </w:pPr>
    <w:rPr>
      <w:rFonts w:ascii="Times New Roman" w:hAnsi="Times New Roman"/>
      <w:sz w:val="24"/>
      <w:szCs w:val="24"/>
    </w:rPr>
  </w:style>
  <w:style w:type="paragraph" w:customStyle="1" w:styleId="2829">
    <w:name w:val="Char Char Char Char Char Char Char Char Char Char Char1 Char Char Char Char Char Char1 Char"/>
    <w:basedOn w:val="1"/>
    <w:qFormat/>
    <w:uiPriority w:val="0"/>
    <w:rPr>
      <w:sz w:val="24"/>
    </w:rPr>
  </w:style>
  <w:style w:type="paragraph" w:customStyle="1" w:styleId="2830">
    <w:name w:val="Char Char7 Char Char1 Char"/>
    <w:basedOn w:val="1"/>
    <w:qFormat/>
    <w:uiPriority w:val="0"/>
    <w:pPr>
      <w:spacing w:line="240" w:lineRule="exact"/>
      <w:ind w:firstLine="200" w:firstLineChars="200"/>
    </w:pPr>
    <w:rPr>
      <w:sz w:val="28"/>
      <w:szCs w:val="28"/>
    </w:rPr>
  </w:style>
  <w:style w:type="paragraph" w:customStyle="1" w:styleId="2831">
    <w:name w:val="Char4 Char Char Char Char Char 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832">
    <w:name w:val="Char Char Char Char Char Char Char Char Char Char Char Char Char Char Char Char Char1 Char Char Char Char Char Char Char Char"/>
    <w:basedOn w:val="1"/>
    <w:qFormat/>
    <w:uiPriority w:val="0"/>
    <w:rPr>
      <w:szCs w:val="21"/>
    </w:rPr>
  </w:style>
  <w:style w:type="paragraph" w:customStyle="1" w:styleId="2833">
    <w:name w:val="Char Char7 Char Char1 Char Char Char1 Char Char Char Char Char1 Char Char Char"/>
    <w:basedOn w:val="1"/>
    <w:qFormat/>
    <w:uiPriority w:val="0"/>
    <w:rPr>
      <w:szCs w:val="21"/>
    </w:rPr>
  </w:style>
  <w:style w:type="paragraph" w:customStyle="1" w:styleId="2834">
    <w:name w:val="font14"/>
    <w:basedOn w:val="1"/>
    <w:qFormat/>
    <w:uiPriority w:val="0"/>
    <w:pPr>
      <w:widowControl/>
      <w:spacing w:before="100" w:beforeAutospacing="1" w:after="100" w:afterAutospacing="1"/>
      <w:jc w:val="left"/>
    </w:pPr>
    <w:rPr>
      <w:rFonts w:ascii="宋体" w:hAnsi="宋体"/>
      <w:color w:val="000000"/>
      <w:kern w:val="0"/>
      <w:sz w:val="20"/>
      <w:szCs w:val="20"/>
    </w:rPr>
  </w:style>
  <w:style w:type="paragraph" w:customStyle="1" w:styleId="2835">
    <w:name w:val="font15"/>
    <w:basedOn w:val="1"/>
    <w:qFormat/>
    <w:uiPriority w:val="0"/>
    <w:pPr>
      <w:widowControl/>
      <w:spacing w:before="100" w:beforeAutospacing="1" w:after="100" w:afterAutospacing="1"/>
      <w:jc w:val="left"/>
    </w:pPr>
    <w:rPr>
      <w:rFonts w:ascii="宋体" w:hAnsi="宋体" w:cs="Arial Unicode MS"/>
      <w:kern w:val="0"/>
      <w:szCs w:val="21"/>
    </w:rPr>
  </w:style>
  <w:style w:type="paragraph" w:customStyle="1" w:styleId="2836">
    <w:name w:val="正文图小五"/>
    <w:basedOn w:val="1"/>
    <w:qFormat/>
    <w:uiPriority w:val="0"/>
    <w:pPr>
      <w:adjustRightInd w:val="0"/>
      <w:snapToGrid w:val="0"/>
      <w:jc w:val="center"/>
    </w:pPr>
    <w:rPr>
      <w:rFonts w:eastAsia="黑体"/>
      <w:spacing w:val="6"/>
      <w:szCs w:val="20"/>
    </w:rPr>
  </w:style>
  <w:style w:type="paragraph" w:customStyle="1" w:styleId="2837">
    <w:name w:val="正文图小四"/>
    <w:basedOn w:val="1"/>
    <w:qFormat/>
    <w:uiPriority w:val="0"/>
    <w:pPr>
      <w:adjustRightInd w:val="0"/>
      <w:snapToGrid w:val="0"/>
      <w:jc w:val="center"/>
    </w:pPr>
    <w:rPr>
      <w:rFonts w:ascii="宋体"/>
      <w:kern w:val="0"/>
      <w:sz w:val="24"/>
    </w:rPr>
  </w:style>
  <w:style w:type="character" w:customStyle="1" w:styleId="2838">
    <w:name w:val="正文图 Char Char"/>
    <w:link w:val="2839"/>
    <w:qFormat/>
    <w:uiPriority w:val="0"/>
    <w:rPr>
      <w:rFonts w:ascii="宋体" w:hAnsi="宋体" w:eastAsia="宋体"/>
      <w:sz w:val="24"/>
      <w:szCs w:val="24"/>
    </w:rPr>
  </w:style>
  <w:style w:type="paragraph" w:customStyle="1" w:styleId="2839">
    <w:name w:val="正文图 Char"/>
    <w:basedOn w:val="1"/>
    <w:link w:val="2838"/>
    <w:qFormat/>
    <w:uiPriority w:val="0"/>
    <w:pPr>
      <w:adjustRightInd w:val="0"/>
      <w:snapToGrid w:val="0"/>
      <w:jc w:val="center"/>
    </w:pPr>
    <w:rPr>
      <w:rFonts w:ascii="宋体" w:hAnsi="宋体"/>
      <w:sz w:val="24"/>
    </w:rPr>
  </w:style>
  <w:style w:type="paragraph" w:customStyle="1" w:styleId="2840">
    <w:name w:val="表格文字小四"/>
    <w:basedOn w:val="1"/>
    <w:qFormat/>
    <w:uiPriority w:val="0"/>
    <w:pPr>
      <w:adjustRightInd w:val="0"/>
      <w:snapToGrid w:val="0"/>
      <w:spacing w:beforeLines="10"/>
      <w:jc w:val="center"/>
    </w:pPr>
    <w:rPr>
      <w:rFonts w:ascii="Arial" w:hAnsi="Arial" w:cs="Arial"/>
      <w:kern w:val="0"/>
      <w:sz w:val="24"/>
      <w:szCs w:val="20"/>
    </w:rPr>
  </w:style>
  <w:style w:type="paragraph" w:customStyle="1" w:styleId="2841">
    <w:name w:val="表格文字五"/>
    <w:basedOn w:val="1"/>
    <w:qFormat/>
    <w:uiPriority w:val="0"/>
    <w:pPr>
      <w:adjustRightInd w:val="0"/>
      <w:snapToGrid w:val="0"/>
      <w:spacing w:beforeLines="20"/>
      <w:jc w:val="center"/>
    </w:pPr>
    <w:rPr>
      <w:rFonts w:eastAsia="仿宋_GB2312"/>
      <w:szCs w:val="21"/>
    </w:rPr>
  </w:style>
  <w:style w:type="paragraph" w:customStyle="1" w:styleId="2842">
    <w:name w:val="样式 (西文) 仿宋_GB2312 (中文) 仿宋_GB2312 四号 首行缩进:  0.98 厘米 行距: 固定值 2..."/>
    <w:basedOn w:val="27"/>
    <w:next w:val="27"/>
    <w:qFormat/>
    <w:uiPriority w:val="0"/>
    <w:pPr>
      <w:shd w:val="clear" w:color="auto" w:fill="auto"/>
      <w:spacing w:line="480" w:lineRule="exact"/>
      <w:ind w:firstLine="555"/>
    </w:pPr>
    <w:rPr>
      <w:rFonts w:ascii="仿宋_GB2312" w:eastAsia="仿宋_GB2312" w:cs="宋体"/>
      <w:sz w:val="44"/>
      <w:szCs w:val="20"/>
    </w:rPr>
  </w:style>
  <w:style w:type="paragraph" w:customStyle="1" w:styleId="2843">
    <w:name w:val="图框文"/>
    <w:basedOn w:val="1"/>
    <w:qFormat/>
    <w:uiPriority w:val="0"/>
    <w:pPr>
      <w:ind w:left="-57" w:right="-57"/>
      <w:jc w:val="center"/>
    </w:pPr>
    <w:rPr>
      <w:rFonts w:ascii="宋体" w:hAnsi="Arial Black"/>
      <w:sz w:val="24"/>
      <w:szCs w:val="20"/>
    </w:rPr>
  </w:style>
  <w:style w:type="character" w:customStyle="1" w:styleId="2844">
    <w:name w:val="小五 Char Char Char"/>
    <w:link w:val="2845"/>
    <w:qFormat/>
    <w:uiPriority w:val="0"/>
    <w:rPr>
      <w:rFonts w:ascii="宋体" w:hAnsi="宋体" w:eastAsia="宋体"/>
      <w:szCs w:val="21"/>
    </w:rPr>
  </w:style>
  <w:style w:type="paragraph" w:customStyle="1" w:styleId="2845">
    <w:name w:val="小五 Char Char"/>
    <w:link w:val="2844"/>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paragraph" w:customStyle="1" w:styleId="2846">
    <w:name w:val="正文表头"/>
    <w:basedOn w:val="1"/>
    <w:next w:val="552"/>
    <w:qFormat/>
    <w:uiPriority w:val="0"/>
    <w:pPr>
      <w:keepNext/>
      <w:tabs>
        <w:tab w:val="center" w:pos="4253"/>
        <w:tab w:val="right" w:pos="8505"/>
      </w:tabs>
      <w:overflowPunct w:val="0"/>
      <w:adjustRightInd w:val="0"/>
      <w:spacing w:before="120" w:line="360" w:lineRule="auto"/>
      <w:jc w:val="center"/>
    </w:pPr>
    <w:rPr>
      <w:rFonts w:eastAsia="黑体"/>
      <w:kern w:val="0"/>
      <w:sz w:val="28"/>
      <w:szCs w:val="20"/>
    </w:rPr>
  </w:style>
  <w:style w:type="paragraph" w:customStyle="1" w:styleId="2847">
    <w:name w:val="样式 标题 2节 + 宋体 加粗"/>
    <w:basedOn w:val="5"/>
    <w:qFormat/>
    <w:uiPriority w:val="0"/>
    <w:pPr>
      <w:numPr>
        <w:numId w:val="18"/>
      </w:numPr>
      <w:tabs>
        <w:tab w:val="left" w:pos="425"/>
      </w:tabs>
      <w:spacing w:afterLines="0" w:line="360" w:lineRule="auto"/>
      <w:ind w:left="200" w:hanging="200"/>
      <w:jc w:val="both"/>
    </w:pPr>
    <w:rPr>
      <w:rFonts w:ascii="宋体" w:hAnsi="宋体" w:eastAsia="宋体"/>
      <w:b/>
      <w:bCs w:val="0"/>
      <w:sz w:val="28"/>
      <w:szCs w:val="24"/>
    </w:rPr>
  </w:style>
  <w:style w:type="character" w:customStyle="1" w:styleId="2848">
    <w:name w:val="样式 标题 2节 + 宋体 左 Char Char"/>
    <w:link w:val="2849"/>
    <w:qFormat/>
    <w:uiPriority w:val="0"/>
    <w:rPr>
      <w:rFonts w:ascii="宋体" w:hAnsi="宋体" w:eastAsia="宋体" w:cs="宋体"/>
      <w:b/>
      <w:bCs/>
      <w:sz w:val="28"/>
      <w:szCs w:val="24"/>
    </w:rPr>
  </w:style>
  <w:style w:type="paragraph" w:customStyle="1" w:styleId="2849">
    <w:name w:val="样式 标题 2节 + 宋体 左 Char"/>
    <w:basedOn w:val="5"/>
    <w:link w:val="2848"/>
    <w:qFormat/>
    <w:uiPriority w:val="0"/>
    <w:pPr>
      <w:numPr>
        <w:ilvl w:val="0"/>
        <w:numId w:val="0"/>
      </w:numPr>
      <w:tabs>
        <w:tab w:val="left" w:pos="567"/>
      </w:tabs>
      <w:adjustRightInd/>
      <w:snapToGrid/>
      <w:spacing w:afterLines="0" w:line="360" w:lineRule="auto"/>
      <w:ind w:left="567" w:hanging="567"/>
    </w:pPr>
    <w:rPr>
      <w:rFonts w:ascii="宋体" w:hAnsi="宋体" w:eastAsia="宋体" w:cs="宋体"/>
      <w:b/>
      <w:sz w:val="28"/>
      <w:szCs w:val="24"/>
    </w:rPr>
  </w:style>
  <w:style w:type="paragraph" w:customStyle="1" w:styleId="2850">
    <w:name w:val="重钢院"/>
    <w:basedOn w:val="1"/>
    <w:qFormat/>
    <w:uiPriority w:val="0"/>
    <w:pPr>
      <w:adjustRightInd w:val="0"/>
      <w:spacing w:line="372" w:lineRule="auto"/>
    </w:pPr>
    <w:rPr>
      <w:spacing w:val="10"/>
      <w:kern w:val="0"/>
      <w:sz w:val="28"/>
      <w:szCs w:val="20"/>
    </w:rPr>
  </w:style>
  <w:style w:type="paragraph" w:customStyle="1" w:styleId="2851">
    <w:name w:val="封面"/>
    <w:basedOn w:val="4"/>
    <w:next w:val="1"/>
    <w:qFormat/>
    <w:uiPriority w:val="0"/>
    <w:pPr>
      <w:keepLines w:val="0"/>
      <w:numPr>
        <w:numId w:val="0"/>
      </w:numPr>
      <w:spacing w:afterLines="0" w:line="348" w:lineRule="auto"/>
      <w:jc w:val="center"/>
    </w:pPr>
    <w:rPr>
      <w:rFonts w:eastAsia="宋体"/>
      <w:bCs w:val="0"/>
      <w:kern w:val="2"/>
      <w:sz w:val="28"/>
      <w:szCs w:val="24"/>
    </w:rPr>
  </w:style>
  <w:style w:type="paragraph" w:customStyle="1" w:styleId="2852">
    <w:name w:val="居中"/>
    <w:basedOn w:val="1"/>
    <w:qFormat/>
    <w:uiPriority w:val="0"/>
    <w:pPr>
      <w:spacing w:line="440" w:lineRule="exact"/>
      <w:jc w:val="center"/>
    </w:pPr>
    <w:rPr>
      <w:sz w:val="24"/>
      <w:szCs w:val="20"/>
    </w:rPr>
  </w:style>
  <w:style w:type="paragraph" w:customStyle="1" w:styleId="2853">
    <w:name w:val="tian"/>
    <w:basedOn w:val="1"/>
    <w:qFormat/>
    <w:uiPriority w:val="0"/>
    <w:rPr>
      <w:sz w:val="24"/>
      <w:szCs w:val="20"/>
    </w:rPr>
  </w:style>
  <w:style w:type="paragraph" w:customStyle="1" w:styleId="2854">
    <w:name w:val="Char Char Char Char Char Char Char Char Char Char1 Char Char"/>
    <w:basedOn w:val="1"/>
    <w:qFormat/>
    <w:uiPriority w:val="0"/>
    <w:pPr>
      <w:spacing w:line="240" w:lineRule="exact"/>
      <w:ind w:firstLine="200" w:firstLineChars="200"/>
    </w:pPr>
    <w:rPr>
      <w:sz w:val="28"/>
      <w:szCs w:val="28"/>
    </w:rPr>
  </w:style>
  <w:style w:type="paragraph" w:customStyle="1" w:styleId="2855">
    <w:name w:val="Char Char Char Char Char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2856">
    <w:name w:val="目录5"/>
    <w:basedOn w:val="1"/>
    <w:qFormat/>
    <w:uiPriority w:val="0"/>
    <w:rPr>
      <w:rFonts w:ascii="宋体" w:hAnsi="宋体"/>
      <w:szCs w:val="21"/>
    </w:rPr>
  </w:style>
  <w:style w:type="paragraph" w:customStyle="1" w:styleId="2857">
    <w:name w:val="小五"/>
    <w:qFormat/>
    <w:uiPriority w:val="0"/>
    <w:pPr>
      <w:autoSpaceDE w:val="0"/>
      <w:autoSpaceDN w:val="0"/>
      <w:adjustRightInd w:val="0"/>
      <w:snapToGrid w:val="0"/>
      <w:spacing w:line="360" w:lineRule="auto"/>
      <w:jc w:val="both"/>
    </w:pPr>
    <w:rPr>
      <w:rFonts w:ascii="Times New Roman" w:hAnsi="Times New Roman" w:eastAsia="仿宋_GB2312" w:cs="Times New Roman"/>
      <w:sz w:val="21"/>
      <w:szCs w:val="21"/>
      <w:lang w:val="en-US" w:eastAsia="zh-CN" w:bidi="ar-SA"/>
    </w:rPr>
  </w:style>
  <w:style w:type="paragraph" w:customStyle="1" w:styleId="2858">
    <w:name w:val="9 Char Char Char"/>
    <w:basedOn w:val="1"/>
    <w:qFormat/>
    <w:uiPriority w:val="0"/>
    <w:pPr>
      <w:spacing w:line="240" w:lineRule="exact"/>
      <w:ind w:firstLine="200" w:firstLineChars="200"/>
    </w:pPr>
    <w:rPr>
      <w:sz w:val="28"/>
      <w:szCs w:val="28"/>
    </w:rPr>
  </w:style>
  <w:style w:type="paragraph" w:customStyle="1" w:styleId="2859">
    <w:name w:val="9 Char Char Char1"/>
    <w:basedOn w:val="1"/>
    <w:qFormat/>
    <w:uiPriority w:val="0"/>
    <w:pPr>
      <w:spacing w:line="240" w:lineRule="exact"/>
      <w:ind w:firstLine="200" w:firstLineChars="200"/>
    </w:pPr>
    <w:rPr>
      <w:sz w:val="28"/>
      <w:szCs w:val="28"/>
    </w:rPr>
  </w:style>
  <w:style w:type="paragraph" w:customStyle="1" w:styleId="2860">
    <w:name w:val="9 Char Char Char2"/>
    <w:basedOn w:val="1"/>
    <w:qFormat/>
    <w:uiPriority w:val="0"/>
    <w:pPr>
      <w:spacing w:line="240" w:lineRule="exact"/>
      <w:ind w:firstLine="200" w:firstLineChars="200"/>
    </w:pPr>
    <w:rPr>
      <w:sz w:val="28"/>
      <w:szCs w:val="28"/>
    </w:rPr>
  </w:style>
  <w:style w:type="paragraph" w:customStyle="1" w:styleId="2861">
    <w:name w:val="列表 2B"/>
    <w:basedOn w:val="37"/>
    <w:qFormat/>
    <w:uiPriority w:val="0"/>
    <w:pPr>
      <w:numPr>
        <w:ilvl w:val="0"/>
        <w:numId w:val="19"/>
      </w:numPr>
      <w:spacing w:line="288" w:lineRule="auto"/>
      <w:ind w:left="0" w:leftChars="0" w:firstLine="0" w:firstLineChars="0"/>
      <w:contextualSpacing w:val="0"/>
    </w:pPr>
    <w:rPr>
      <w:rFonts w:ascii="Arial" w:hAnsi="Arial"/>
      <w:color w:val="FFFF99"/>
      <w:szCs w:val="20"/>
    </w:rPr>
  </w:style>
  <w:style w:type="paragraph" w:customStyle="1" w:styleId="2862">
    <w:name w:val="9 Char Char Char4"/>
    <w:basedOn w:val="1"/>
    <w:qFormat/>
    <w:uiPriority w:val="0"/>
    <w:pPr>
      <w:spacing w:line="240" w:lineRule="exact"/>
      <w:ind w:firstLine="200" w:firstLineChars="200"/>
    </w:pPr>
    <w:rPr>
      <w:sz w:val="28"/>
      <w:szCs w:val="28"/>
    </w:rPr>
  </w:style>
  <w:style w:type="paragraph" w:customStyle="1" w:styleId="2863">
    <w:name w:val="Char4 Char Char Char Char"/>
    <w:basedOn w:val="1"/>
    <w:qFormat/>
    <w:uiPriority w:val="0"/>
    <w:rPr>
      <w:sz w:val="24"/>
    </w:rPr>
  </w:style>
  <w:style w:type="paragraph" w:customStyle="1" w:styleId="2864">
    <w:name w:val="9 Char Char Char6"/>
    <w:basedOn w:val="1"/>
    <w:qFormat/>
    <w:uiPriority w:val="0"/>
    <w:pPr>
      <w:spacing w:line="240" w:lineRule="exact"/>
      <w:ind w:firstLine="200" w:firstLineChars="200"/>
    </w:pPr>
    <w:rPr>
      <w:sz w:val="28"/>
      <w:szCs w:val="28"/>
    </w:rPr>
  </w:style>
  <w:style w:type="paragraph" w:customStyle="1" w:styleId="2865">
    <w:name w:val="正文图"/>
    <w:basedOn w:val="1"/>
    <w:qFormat/>
    <w:uiPriority w:val="0"/>
    <w:pPr>
      <w:adjustRightInd w:val="0"/>
      <w:snapToGrid w:val="0"/>
      <w:jc w:val="center"/>
    </w:pPr>
    <w:rPr>
      <w:rFonts w:ascii="宋体"/>
      <w:kern w:val="0"/>
      <w:sz w:val="24"/>
      <w:szCs w:val="20"/>
    </w:rPr>
  </w:style>
  <w:style w:type="paragraph" w:customStyle="1" w:styleId="2866">
    <w:name w:val="小五 Char"/>
    <w:qFormat/>
    <w:uiPriority w:val="0"/>
    <w:pPr>
      <w:autoSpaceDE w:val="0"/>
      <w:autoSpaceDN w:val="0"/>
      <w:adjustRightInd w:val="0"/>
      <w:snapToGrid w:val="0"/>
      <w:spacing w:line="360" w:lineRule="auto"/>
      <w:jc w:val="both"/>
    </w:pPr>
    <w:rPr>
      <w:rFonts w:ascii="宋体" w:hAnsi="宋体" w:eastAsia="宋体" w:cs="Times New Roman"/>
      <w:kern w:val="2"/>
      <w:sz w:val="21"/>
      <w:szCs w:val="21"/>
      <w:lang w:val="en-US" w:eastAsia="zh-CN" w:bidi="ar-SA"/>
    </w:rPr>
  </w:style>
  <w:style w:type="paragraph" w:customStyle="1" w:styleId="2867">
    <w:name w:val="样式 标题 2节 + 宋体 左"/>
    <w:basedOn w:val="5"/>
    <w:qFormat/>
    <w:uiPriority w:val="0"/>
    <w:pPr>
      <w:numPr>
        <w:ilvl w:val="0"/>
        <w:numId w:val="0"/>
      </w:numPr>
      <w:tabs>
        <w:tab w:val="left" w:pos="567"/>
      </w:tabs>
      <w:adjustRightInd/>
      <w:snapToGrid/>
      <w:spacing w:afterLines="0" w:line="360" w:lineRule="auto"/>
      <w:ind w:left="567" w:hanging="567"/>
    </w:pPr>
    <w:rPr>
      <w:rFonts w:ascii="宋体" w:hAnsi="宋体" w:eastAsia="宋体" w:cs="宋体"/>
      <w:b/>
      <w:sz w:val="28"/>
      <w:szCs w:val="24"/>
    </w:rPr>
  </w:style>
  <w:style w:type="character" w:customStyle="1" w:styleId="2868">
    <w:name w:val="表格文本 Char Char"/>
    <w:link w:val="2869"/>
    <w:qFormat/>
    <w:uiPriority w:val="0"/>
    <w:rPr>
      <w:rFonts w:ascii="Arial" w:hAnsi="Arial" w:cs="Arial"/>
      <w:szCs w:val="24"/>
    </w:rPr>
  </w:style>
  <w:style w:type="paragraph" w:customStyle="1" w:styleId="2869">
    <w:name w:val="表格文本 Char"/>
    <w:basedOn w:val="1"/>
    <w:next w:val="1"/>
    <w:link w:val="2868"/>
    <w:qFormat/>
    <w:uiPriority w:val="0"/>
    <w:pPr>
      <w:spacing w:before="60" w:after="60" w:line="312" w:lineRule="auto"/>
      <w:jc w:val="center"/>
    </w:pPr>
    <w:rPr>
      <w:rFonts w:ascii="Arial" w:hAnsi="Arial" w:cs="Arial"/>
    </w:rPr>
  </w:style>
  <w:style w:type="paragraph" w:customStyle="1" w:styleId="2870">
    <w:name w:val="表格结尾"/>
    <w:basedOn w:val="1"/>
    <w:qFormat/>
    <w:uiPriority w:val="0"/>
    <w:pPr>
      <w:snapToGrid w:val="0"/>
      <w:spacing w:line="0" w:lineRule="atLeast"/>
    </w:pPr>
    <w:rPr>
      <w:kern w:val="0"/>
      <w:sz w:val="10"/>
    </w:rPr>
  </w:style>
  <w:style w:type="character" w:customStyle="1" w:styleId="2871">
    <w:name w:val="表格标题2 Char Char"/>
    <w:link w:val="2872"/>
    <w:qFormat/>
    <w:uiPriority w:val="0"/>
    <w:rPr>
      <w:rFonts w:ascii="Arial" w:hAnsi="Arial" w:cs="Arial"/>
      <w:sz w:val="28"/>
      <w:szCs w:val="24"/>
    </w:rPr>
  </w:style>
  <w:style w:type="paragraph" w:customStyle="1" w:styleId="2872">
    <w:name w:val="表格标题2 Char"/>
    <w:basedOn w:val="1"/>
    <w:link w:val="2871"/>
    <w:qFormat/>
    <w:uiPriority w:val="0"/>
    <w:pPr>
      <w:tabs>
        <w:tab w:val="center" w:pos="6832"/>
        <w:tab w:val="right" w:pos="13608"/>
      </w:tabs>
      <w:spacing w:after="60" w:line="312" w:lineRule="auto"/>
    </w:pPr>
    <w:rPr>
      <w:rFonts w:ascii="Arial" w:hAnsi="Arial" w:cs="Arial"/>
      <w:sz w:val="28"/>
    </w:rPr>
  </w:style>
  <w:style w:type="paragraph" w:customStyle="1" w:styleId="2873">
    <w:name w:val="表格文本"/>
    <w:basedOn w:val="1"/>
    <w:next w:val="1"/>
    <w:qFormat/>
    <w:uiPriority w:val="0"/>
    <w:pPr>
      <w:spacing w:before="60" w:after="60" w:line="312" w:lineRule="auto"/>
      <w:jc w:val="center"/>
    </w:pPr>
    <w:rPr>
      <w:rFonts w:ascii="Arial" w:hAnsi="Arial"/>
      <w:kern w:val="0"/>
    </w:rPr>
  </w:style>
  <w:style w:type="paragraph" w:customStyle="1" w:styleId="2874">
    <w:name w:val="9 Char Char Char5"/>
    <w:basedOn w:val="1"/>
    <w:qFormat/>
    <w:uiPriority w:val="0"/>
    <w:pPr>
      <w:spacing w:line="240" w:lineRule="exact"/>
      <w:ind w:firstLine="200" w:firstLineChars="200"/>
    </w:pPr>
    <w:rPr>
      <w:sz w:val="28"/>
      <w:szCs w:val="28"/>
    </w:rPr>
  </w:style>
  <w:style w:type="paragraph" w:customStyle="1" w:styleId="2875">
    <w:name w:val="样式 样式 首行缩进:  2 字符 + 首行缩进:  2 字符2"/>
    <w:basedOn w:val="1"/>
    <w:qFormat/>
    <w:uiPriority w:val="0"/>
    <w:pPr>
      <w:spacing w:line="440" w:lineRule="exact"/>
      <w:ind w:firstLine="584" w:firstLineChars="200"/>
    </w:pPr>
    <w:rPr>
      <w:rFonts w:eastAsia="楷体_GB2312"/>
      <w:spacing w:val="6"/>
      <w:kern w:val="0"/>
      <w:sz w:val="28"/>
      <w:szCs w:val="28"/>
    </w:rPr>
  </w:style>
  <w:style w:type="paragraph" w:customStyle="1" w:styleId="2876">
    <w:name w:val="正文居中"/>
    <w:basedOn w:val="1"/>
    <w:qFormat/>
    <w:uiPriority w:val="0"/>
    <w:pPr>
      <w:overflowPunct w:val="0"/>
      <w:topLinePunct/>
      <w:spacing w:line="348" w:lineRule="auto"/>
      <w:jc w:val="center"/>
    </w:pPr>
    <w:rPr>
      <w:kern w:val="0"/>
      <w:sz w:val="28"/>
      <w:szCs w:val="20"/>
    </w:rPr>
  </w:style>
  <w:style w:type="paragraph" w:customStyle="1" w:styleId="2877">
    <w:name w:val="9 Char Char Char6 Char"/>
    <w:basedOn w:val="1"/>
    <w:qFormat/>
    <w:uiPriority w:val="0"/>
    <w:pPr>
      <w:spacing w:line="240" w:lineRule="exact"/>
      <w:ind w:firstLine="200" w:firstLineChars="200"/>
    </w:pPr>
    <w:rPr>
      <w:sz w:val="28"/>
      <w:szCs w:val="28"/>
    </w:rPr>
  </w:style>
  <w:style w:type="paragraph" w:customStyle="1" w:styleId="2878">
    <w:name w:val="样式 表格文字 + (西文) 宋体 (中文) 华文仿宋 小四 黑色"/>
    <w:basedOn w:val="180"/>
    <w:qFormat/>
    <w:uiPriority w:val="0"/>
    <w:pPr>
      <w:autoSpaceDE w:val="0"/>
      <w:autoSpaceDN w:val="0"/>
      <w:spacing w:line="400" w:lineRule="exact"/>
    </w:pPr>
    <w:rPr>
      <w:rFonts w:hAnsi="宋体" w:cs="宋体"/>
      <w:kern w:val="0"/>
      <w:sz w:val="21"/>
    </w:rPr>
  </w:style>
  <w:style w:type="paragraph" w:customStyle="1" w:styleId="2879">
    <w:name w:val="样式 表格文字 + (西文) 宋体 (中文) 华文仿宋 小四 黑色1"/>
    <w:basedOn w:val="180"/>
    <w:qFormat/>
    <w:uiPriority w:val="0"/>
    <w:pPr>
      <w:autoSpaceDE w:val="0"/>
      <w:autoSpaceDN w:val="0"/>
      <w:spacing w:line="400" w:lineRule="exact"/>
    </w:pPr>
    <w:rPr>
      <w:rFonts w:hAnsi="宋体" w:cs="宋体"/>
      <w:kern w:val="0"/>
      <w:sz w:val="21"/>
      <w:szCs w:val="24"/>
    </w:rPr>
  </w:style>
  <w:style w:type="paragraph" w:customStyle="1" w:styleId="2880">
    <w:name w:val="样式 报告书表格 + 小五 底端: (单实线 自动设置  0.75 磅 行宽)"/>
    <w:basedOn w:val="1"/>
    <w:qFormat/>
    <w:uiPriority w:val="0"/>
    <w:pPr>
      <w:adjustRightInd w:val="0"/>
      <w:spacing w:line="400" w:lineRule="exact"/>
      <w:jc w:val="center"/>
    </w:pPr>
    <w:rPr>
      <w:rFonts w:eastAsia="仿宋_GB2312" w:cs="宋体"/>
      <w:kern w:val="0"/>
      <w:sz w:val="18"/>
      <w:szCs w:val="18"/>
    </w:rPr>
  </w:style>
  <w:style w:type="paragraph" w:customStyle="1" w:styleId="2881">
    <w:name w:val="正文-标准"/>
    <w:basedOn w:val="1"/>
    <w:qFormat/>
    <w:uiPriority w:val="0"/>
    <w:pPr>
      <w:spacing w:line="500" w:lineRule="exact"/>
      <w:ind w:firstLine="200" w:firstLineChars="200"/>
    </w:pPr>
    <w:rPr>
      <w:sz w:val="24"/>
    </w:rPr>
  </w:style>
  <w:style w:type="paragraph" w:customStyle="1" w:styleId="2882">
    <w:name w:val="样式 标题 4 + 黑体 小四 非加粗"/>
    <w:basedOn w:val="7"/>
    <w:qFormat/>
    <w:uiPriority w:val="0"/>
    <w:pPr>
      <w:numPr>
        <w:ilvl w:val="0"/>
        <w:numId w:val="0"/>
      </w:numPr>
      <w:snapToGrid/>
      <w:spacing w:line="500" w:lineRule="exact"/>
    </w:pPr>
    <w:rPr>
      <w:rFonts w:ascii="黑体" w:hAnsi="黑体" w:eastAsia="宋体"/>
      <w:b/>
      <w:spacing w:val="10"/>
      <w:kern w:val="0"/>
      <w:sz w:val="24"/>
      <w:szCs w:val="24"/>
    </w:rPr>
  </w:style>
  <w:style w:type="paragraph" w:customStyle="1" w:styleId="2883">
    <w:name w:val="Char Char1 Char Char Char Char Char Char"/>
    <w:basedOn w:val="1"/>
    <w:qFormat/>
    <w:uiPriority w:val="0"/>
    <w:rPr>
      <w:sz w:val="24"/>
    </w:rPr>
  </w:style>
  <w:style w:type="paragraph" w:customStyle="1" w:styleId="2884">
    <w:name w:val="9 Char Char Char7"/>
    <w:basedOn w:val="1"/>
    <w:qFormat/>
    <w:uiPriority w:val="0"/>
    <w:pPr>
      <w:spacing w:line="240" w:lineRule="exact"/>
      <w:ind w:firstLine="200" w:firstLineChars="200"/>
    </w:pPr>
    <w:rPr>
      <w:sz w:val="28"/>
      <w:szCs w:val="28"/>
    </w:rPr>
  </w:style>
  <w:style w:type="paragraph" w:customStyle="1" w:styleId="2885">
    <w:name w:val="Char Char7 Char Char"/>
    <w:basedOn w:val="1"/>
    <w:qFormat/>
    <w:uiPriority w:val="0"/>
    <w:pPr>
      <w:spacing w:line="240" w:lineRule="exact"/>
      <w:ind w:firstLine="200" w:firstLineChars="200"/>
    </w:pPr>
    <w:rPr>
      <w:sz w:val="28"/>
      <w:szCs w:val="28"/>
    </w:rPr>
  </w:style>
  <w:style w:type="paragraph" w:customStyle="1" w:styleId="2886">
    <w:name w:val="Char Char7 Char Char1 Char Char Char"/>
    <w:basedOn w:val="1"/>
    <w:qFormat/>
    <w:uiPriority w:val="0"/>
    <w:pPr>
      <w:spacing w:line="240" w:lineRule="exact"/>
      <w:ind w:firstLine="200" w:firstLineChars="200"/>
    </w:pPr>
    <w:rPr>
      <w:sz w:val="28"/>
      <w:szCs w:val="28"/>
    </w:rPr>
  </w:style>
  <w:style w:type="paragraph" w:customStyle="1" w:styleId="2887">
    <w:name w:val="book1_1"/>
    <w:basedOn w:val="5"/>
    <w:qFormat/>
    <w:uiPriority w:val="0"/>
    <w:pPr>
      <w:numPr>
        <w:ilvl w:val="0"/>
        <w:numId w:val="0"/>
      </w:numPr>
      <w:shd w:val="pct10" w:color="auto" w:fill="FFFFFF"/>
      <w:tabs>
        <w:tab w:val="left" w:pos="622"/>
        <w:tab w:val="left" w:pos="720"/>
      </w:tabs>
      <w:adjustRightInd/>
      <w:snapToGrid/>
      <w:jc w:val="both"/>
    </w:pPr>
    <w:rPr>
      <w:rFonts w:ascii="Arial" w:hAnsi="Arial"/>
      <w:sz w:val="24"/>
    </w:rPr>
  </w:style>
  <w:style w:type="paragraph" w:customStyle="1" w:styleId="2888">
    <w:name w:val="样式1）"/>
    <w:basedOn w:val="8"/>
    <w:qFormat/>
    <w:uiPriority w:val="0"/>
    <w:pPr>
      <w:numPr>
        <w:ilvl w:val="0"/>
        <w:numId w:val="0"/>
      </w:numPr>
      <w:tabs>
        <w:tab w:val="left" w:pos="1226"/>
      </w:tabs>
      <w:adjustRightInd/>
      <w:spacing w:beforeLines="50" w:afterLines="50" w:line="400" w:lineRule="exact"/>
      <w:ind w:left="821" w:leftChars="213" w:hanging="374" w:hangingChars="156"/>
      <w:textAlignment w:val="auto"/>
    </w:pPr>
    <w:rPr>
      <w:b w:val="0"/>
      <w:kern w:val="2"/>
      <w:sz w:val="24"/>
    </w:rPr>
  </w:style>
  <w:style w:type="paragraph" w:customStyle="1" w:styleId="2889">
    <w:name w:val="book1_1_1"/>
    <w:basedOn w:val="6"/>
    <w:qFormat/>
    <w:uiPriority w:val="0"/>
    <w:pPr>
      <w:numPr>
        <w:ilvl w:val="0"/>
        <w:numId w:val="0"/>
      </w:numPr>
      <w:tabs>
        <w:tab w:val="left" w:pos="360"/>
        <w:tab w:val="left" w:pos="1050"/>
      </w:tabs>
      <w:adjustRightInd/>
      <w:snapToGrid/>
      <w:spacing w:beforeLines="50" w:afterLines="50" w:line="400" w:lineRule="exact"/>
      <w:ind w:left="360" w:hanging="360" w:hangingChars="200"/>
    </w:pPr>
    <w:rPr>
      <w:rFonts w:eastAsia="宋体"/>
      <w:sz w:val="24"/>
    </w:rPr>
  </w:style>
  <w:style w:type="paragraph" w:customStyle="1" w:styleId="2890">
    <w:name w:val="book1_1_1_1"/>
    <w:basedOn w:val="7"/>
    <w:qFormat/>
    <w:uiPriority w:val="0"/>
    <w:pPr>
      <w:numPr>
        <w:ilvl w:val="0"/>
        <w:numId w:val="0"/>
      </w:numPr>
      <w:tabs>
        <w:tab w:val="left" w:pos="360"/>
      </w:tabs>
      <w:adjustRightInd/>
      <w:snapToGrid/>
      <w:spacing w:beforeLines="50" w:afterLines="50" w:line="400" w:lineRule="exact"/>
      <w:ind w:left="536" w:hanging="360" w:hangingChars="200"/>
    </w:pPr>
    <w:rPr>
      <w:rFonts w:ascii="宋体" w:hAnsi="宋体" w:eastAsia="宋体" w:cs="Arial"/>
      <w:sz w:val="24"/>
    </w:rPr>
  </w:style>
  <w:style w:type="character" w:customStyle="1" w:styleId="2891">
    <w:name w:val="环正文 Char1"/>
    <w:link w:val="190"/>
    <w:qFormat/>
    <w:uiPriority w:val="0"/>
    <w:rPr>
      <w:rFonts w:ascii="Times New Roman" w:hAnsi="Times New Roman" w:eastAsia="仿宋_GB2312" w:cs="Times New Roman"/>
      <w:kern w:val="0"/>
      <w:sz w:val="24"/>
      <w:szCs w:val="24"/>
    </w:rPr>
  </w:style>
  <w:style w:type="character" w:customStyle="1" w:styleId="2892">
    <w:name w:val="环表头 Char"/>
    <w:link w:val="191"/>
    <w:qFormat/>
    <w:uiPriority w:val="0"/>
    <w:rPr>
      <w:rFonts w:ascii="Times New Roman" w:hAnsi="Times New Roman" w:eastAsia="仿宋_GB2312" w:cs="Times New Roman"/>
      <w:kern w:val="0"/>
      <w:sz w:val="24"/>
      <w:szCs w:val="24"/>
    </w:rPr>
  </w:style>
  <w:style w:type="character" w:customStyle="1" w:styleId="2893">
    <w:name w:val="环标3 Char"/>
    <w:link w:val="244"/>
    <w:qFormat/>
    <w:uiPriority w:val="0"/>
    <w:rPr>
      <w:rFonts w:ascii="宋体" w:hAnsi="宋体" w:eastAsia="黑体"/>
      <w:bCs/>
      <w:sz w:val="24"/>
    </w:rPr>
  </w:style>
  <w:style w:type="character" w:customStyle="1" w:styleId="2894">
    <w:name w:val="表注 Char"/>
    <w:link w:val="1254"/>
    <w:qFormat/>
    <w:uiPriority w:val="0"/>
    <w:rPr>
      <w:rFonts w:ascii="Times New Roman" w:hAnsi="Times New Roman" w:eastAsia="楷体_GB2312" w:cs="Times New Roman"/>
      <w:kern w:val="0"/>
      <w:szCs w:val="20"/>
    </w:rPr>
  </w:style>
  <w:style w:type="paragraph" w:customStyle="1" w:styleId="2895">
    <w:name w:val="表、图名宋旭峰"/>
    <w:basedOn w:val="1"/>
    <w:qFormat/>
    <w:uiPriority w:val="0"/>
    <w:pPr>
      <w:snapToGrid w:val="0"/>
      <w:spacing w:line="500" w:lineRule="exact"/>
      <w:jc w:val="center"/>
    </w:pPr>
    <w:rPr>
      <w:rFonts w:ascii="宋体" w:hAnsi="宋体"/>
      <w:bCs/>
      <w:spacing w:val="-12"/>
      <w:kern w:val="0"/>
      <w:sz w:val="28"/>
      <w:szCs w:val="28"/>
    </w:rPr>
  </w:style>
  <w:style w:type="paragraph" w:customStyle="1" w:styleId="2896">
    <w:name w:val="标题正1"/>
    <w:basedOn w:val="1"/>
    <w:qFormat/>
    <w:uiPriority w:val="0"/>
    <w:pPr>
      <w:spacing w:line="400" w:lineRule="exact"/>
      <w:jc w:val="center"/>
    </w:pPr>
    <w:rPr>
      <w:rFonts w:ascii="黑体" w:eastAsia="黑体"/>
      <w:sz w:val="32"/>
      <w:szCs w:val="28"/>
    </w:rPr>
  </w:style>
  <w:style w:type="character" w:customStyle="1" w:styleId="2897">
    <w:name w:val="亚行正文 Char"/>
    <w:link w:val="2898"/>
    <w:qFormat/>
    <w:uiPriority w:val="0"/>
    <w:rPr>
      <w:sz w:val="24"/>
      <w:szCs w:val="24"/>
    </w:rPr>
  </w:style>
  <w:style w:type="paragraph" w:customStyle="1" w:styleId="2898">
    <w:name w:val="亚行正文"/>
    <w:basedOn w:val="1"/>
    <w:link w:val="2897"/>
    <w:qFormat/>
    <w:uiPriority w:val="0"/>
    <w:pPr>
      <w:spacing w:line="480" w:lineRule="exact"/>
      <w:ind w:firstLine="480" w:firstLineChars="200"/>
    </w:pPr>
    <w:rPr>
      <w:rFonts w:ascii="Calibri" w:hAnsi="Calibri"/>
      <w:sz w:val="24"/>
    </w:rPr>
  </w:style>
  <w:style w:type="paragraph" w:customStyle="1" w:styleId="2899">
    <w:name w:val="样式 标题 2 + 段前: 6 磅 段后: 6 磅 行距: 多倍行距 1.4 字行"/>
    <w:basedOn w:val="5"/>
    <w:qFormat/>
    <w:uiPriority w:val="0"/>
    <w:pPr>
      <w:numPr>
        <w:ilvl w:val="0"/>
        <w:numId w:val="0"/>
      </w:numPr>
      <w:tabs>
        <w:tab w:val="left" w:pos="315"/>
      </w:tabs>
      <w:adjustRightInd/>
      <w:snapToGrid/>
      <w:spacing w:line="336" w:lineRule="auto"/>
      <w:jc w:val="both"/>
    </w:pPr>
    <w:rPr>
      <w:rFonts w:cs="宋体"/>
      <w:b/>
      <w:sz w:val="30"/>
      <w:szCs w:val="20"/>
    </w:rPr>
  </w:style>
  <w:style w:type="paragraph" w:customStyle="1" w:styleId="2900">
    <w:name w:val="表内5S"/>
    <w:basedOn w:val="1"/>
    <w:qFormat/>
    <w:uiPriority w:val="0"/>
    <w:pPr>
      <w:pBdr>
        <w:top w:val="single" w:color="auto" w:sz="4" w:space="1"/>
      </w:pBdr>
      <w:spacing w:line="300" w:lineRule="atLeast"/>
      <w:jc w:val="center"/>
    </w:pPr>
    <w:rPr>
      <w:rFonts w:eastAsia="方正宋三简体"/>
      <w:szCs w:val="20"/>
    </w:rPr>
  </w:style>
  <w:style w:type="paragraph" w:customStyle="1" w:styleId="2901">
    <w:name w:val="样式 标题 3 + 华文中宋 小三 段前: 6 磅 段后: 6 磅 行距: 多倍行距 1.4 字行"/>
    <w:basedOn w:val="6"/>
    <w:qFormat/>
    <w:uiPriority w:val="0"/>
    <w:pPr>
      <w:numPr>
        <w:ilvl w:val="0"/>
        <w:numId w:val="0"/>
      </w:numPr>
      <w:tabs>
        <w:tab w:val="left" w:pos="861"/>
        <w:tab w:val="left" w:pos="916"/>
        <w:tab w:val="left" w:pos="1756"/>
      </w:tabs>
      <w:adjustRightInd/>
      <w:spacing w:line="480" w:lineRule="exact"/>
      <w:outlineLvl w:val="9"/>
    </w:pPr>
    <w:rPr>
      <w:rFonts w:hAnsi="宋体" w:eastAsia="宋体"/>
      <w:bCs w:val="0"/>
      <w:color w:val="000000"/>
      <w:kern w:val="0"/>
      <w:sz w:val="24"/>
      <w:szCs w:val="24"/>
    </w:rPr>
  </w:style>
  <w:style w:type="paragraph" w:customStyle="1" w:styleId="2902">
    <w:name w:val="样式 宋体 小四 加粗"/>
    <w:basedOn w:val="1"/>
    <w:qFormat/>
    <w:uiPriority w:val="0"/>
    <w:pPr>
      <w:pBdr>
        <w:top w:val="single" w:color="auto" w:sz="4" w:space="1"/>
      </w:pBdr>
      <w:spacing w:line="440" w:lineRule="exact"/>
      <w:jc w:val="left"/>
    </w:pPr>
    <w:rPr>
      <w:rFonts w:ascii="宋体" w:hAnsi="宋体"/>
      <w:sz w:val="24"/>
    </w:rPr>
  </w:style>
  <w:style w:type="paragraph" w:customStyle="1" w:styleId="2903">
    <w:name w:val="样式 样式1 + 五号 黑色 段前: 4 磅 段后: 4 磅 行距: 单倍行距"/>
    <w:basedOn w:val="1"/>
    <w:qFormat/>
    <w:uiPriority w:val="0"/>
    <w:pPr>
      <w:pBdr>
        <w:top w:val="single" w:color="auto" w:sz="4" w:space="1"/>
      </w:pBdr>
      <w:spacing w:before="80" w:after="80"/>
    </w:pPr>
    <w:rPr>
      <w:szCs w:val="21"/>
    </w:rPr>
  </w:style>
  <w:style w:type="paragraph" w:customStyle="1" w:styleId="2904">
    <w:name w:val="样式 样式 Times New Roman 小四 行距: 1.5 倍行距 + 左侧:  0 厘米 首行缩进:  0 厘米"/>
    <w:basedOn w:val="1"/>
    <w:qFormat/>
    <w:uiPriority w:val="0"/>
    <w:pPr>
      <w:pBdr>
        <w:top w:val="single" w:color="auto" w:sz="4" w:space="1"/>
      </w:pBdr>
      <w:spacing w:line="324" w:lineRule="auto"/>
      <w:ind w:firstLine="480" w:firstLineChars="200"/>
    </w:pPr>
    <w:rPr>
      <w:sz w:val="24"/>
    </w:rPr>
  </w:style>
  <w:style w:type="paragraph" w:customStyle="1" w:styleId="2905">
    <w:name w:val="样式 标题 1 + 华文中宋 居中 段前: 12 磅 段后: 12 磅 行距: 多倍行距 1.4 字行"/>
    <w:basedOn w:val="4"/>
    <w:qFormat/>
    <w:uiPriority w:val="0"/>
    <w:pPr>
      <w:pageBreakBefore/>
      <w:numPr>
        <w:numId w:val="0"/>
      </w:numPr>
      <w:tabs>
        <w:tab w:val="left" w:pos="0"/>
      </w:tabs>
      <w:adjustRightInd/>
      <w:snapToGrid/>
      <w:spacing w:line="360" w:lineRule="auto"/>
      <w:jc w:val="center"/>
    </w:pPr>
    <w:rPr>
      <w:rFonts w:ascii="华文中宋" w:hAnsi="华文中宋" w:eastAsia="楷体_GB2312"/>
      <w:b/>
      <w:sz w:val="36"/>
      <w:szCs w:val="20"/>
    </w:rPr>
  </w:style>
  <w:style w:type="paragraph" w:customStyle="1" w:styleId="2906">
    <w:name w:val="样式2－王鹏"/>
    <w:basedOn w:val="1"/>
    <w:qFormat/>
    <w:uiPriority w:val="0"/>
    <w:pPr>
      <w:pBdr>
        <w:top w:val="single" w:color="auto" w:sz="4" w:space="1"/>
      </w:pBdr>
      <w:autoSpaceDE w:val="0"/>
      <w:autoSpaceDN w:val="0"/>
      <w:adjustRightInd w:val="0"/>
      <w:snapToGrid w:val="0"/>
      <w:spacing w:line="300" w:lineRule="auto"/>
      <w:jc w:val="center"/>
    </w:pPr>
    <w:rPr>
      <w:kern w:val="0"/>
      <w:szCs w:val="21"/>
    </w:rPr>
  </w:style>
  <w:style w:type="paragraph" w:customStyle="1" w:styleId="2907">
    <w:name w:val="BG1"/>
    <w:basedOn w:val="1"/>
    <w:qFormat/>
    <w:uiPriority w:val="0"/>
    <w:pPr>
      <w:pBdr>
        <w:top w:val="single" w:color="auto" w:sz="4" w:space="1"/>
      </w:pBdr>
      <w:adjustRightInd w:val="0"/>
      <w:ind w:left="-17" w:hanging="126"/>
      <w:jc w:val="center"/>
    </w:pPr>
    <w:rPr>
      <w:szCs w:val="21"/>
    </w:rPr>
  </w:style>
  <w:style w:type="paragraph" w:customStyle="1" w:styleId="2908">
    <w:name w:val="样式 俺的正文 + 首行缩进:  2 字符"/>
    <w:basedOn w:val="1"/>
    <w:qFormat/>
    <w:uiPriority w:val="0"/>
    <w:pPr>
      <w:numPr>
        <w:ilvl w:val="0"/>
        <w:numId w:val="20"/>
      </w:numPr>
      <w:pBdr>
        <w:top w:val="single" w:color="auto" w:sz="4" w:space="1"/>
      </w:pBdr>
      <w:spacing w:line="360" w:lineRule="auto"/>
    </w:pPr>
    <w:rPr>
      <w:sz w:val="24"/>
    </w:rPr>
  </w:style>
  <w:style w:type="paragraph" w:customStyle="1" w:styleId="2909">
    <w:name w:val="1标2"/>
    <w:basedOn w:val="1"/>
    <w:semiHidden/>
    <w:qFormat/>
    <w:uiPriority w:val="0"/>
    <w:pPr>
      <w:keepNext/>
      <w:keepLines/>
      <w:pBdr>
        <w:top w:val="single" w:color="auto" w:sz="4" w:space="1"/>
      </w:pBdr>
      <w:adjustRightInd w:val="0"/>
      <w:spacing w:before="240" w:after="120" w:line="480" w:lineRule="exact"/>
      <w:jc w:val="left"/>
      <w:outlineLvl w:val="1"/>
    </w:pPr>
    <w:rPr>
      <w:rFonts w:eastAsia="黑体"/>
      <w:b/>
      <w:kern w:val="0"/>
      <w:sz w:val="32"/>
      <w:szCs w:val="32"/>
    </w:rPr>
  </w:style>
  <w:style w:type="paragraph" w:customStyle="1" w:styleId="2910">
    <w:name w:val="8--"/>
    <w:basedOn w:val="1"/>
    <w:semiHidden/>
    <w:qFormat/>
    <w:uiPriority w:val="0"/>
    <w:pPr>
      <w:pBdr>
        <w:top w:val="single" w:color="auto" w:sz="4" w:space="1"/>
      </w:pBdr>
      <w:adjustRightInd w:val="0"/>
      <w:spacing w:line="360" w:lineRule="atLeast"/>
      <w:jc w:val="left"/>
    </w:pPr>
    <w:rPr>
      <w:kern w:val="0"/>
      <w:sz w:val="24"/>
      <w:szCs w:val="20"/>
    </w:rPr>
  </w:style>
  <w:style w:type="paragraph" w:customStyle="1" w:styleId="2911">
    <w:name w:val="bg正文"/>
    <w:basedOn w:val="1"/>
    <w:semiHidden/>
    <w:qFormat/>
    <w:uiPriority w:val="0"/>
    <w:pPr>
      <w:pBdr>
        <w:top w:val="single" w:color="auto" w:sz="4" w:space="1"/>
      </w:pBdr>
    </w:pPr>
    <w:rPr>
      <w:sz w:val="24"/>
      <w:szCs w:val="20"/>
    </w:rPr>
  </w:style>
  <w:style w:type="paragraph" w:customStyle="1" w:styleId="2912">
    <w:name w:val="bg正文首行缩进"/>
    <w:basedOn w:val="1"/>
    <w:semiHidden/>
    <w:qFormat/>
    <w:uiPriority w:val="0"/>
    <w:pPr>
      <w:pBdr>
        <w:top w:val="single" w:color="auto" w:sz="4" w:space="1"/>
      </w:pBdr>
      <w:spacing w:line="400" w:lineRule="exact"/>
      <w:ind w:firstLine="482"/>
    </w:pPr>
    <w:rPr>
      <w:sz w:val="24"/>
      <w:szCs w:val="20"/>
    </w:rPr>
  </w:style>
  <w:style w:type="paragraph" w:customStyle="1" w:styleId="2913">
    <w:name w:val="bg编号和名称"/>
    <w:basedOn w:val="2912"/>
    <w:semiHidden/>
    <w:qFormat/>
    <w:uiPriority w:val="0"/>
    <w:pPr>
      <w:spacing w:line="240" w:lineRule="auto"/>
      <w:ind w:firstLine="0"/>
      <w:jc w:val="center"/>
    </w:pPr>
    <w:rPr>
      <w:rFonts w:eastAsia="黑体"/>
      <w:sz w:val="21"/>
    </w:rPr>
  </w:style>
  <w:style w:type="paragraph" w:customStyle="1" w:styleId="2914">
    <w:name w:val="bg表内容"/>
    <w:basedOn w:val="2911"/>
    <w:next w:val="2912"/>
    <w:semiHidden/>
    <w:qFormat/>
    <w:uiPriority w:val="0"/>
    <w:pPr>
      <w:ind w:left="-113" w:right="-113"/>
      <w:jc w:val="center"/>
    </w:pPr>
    <w:rPr>
      <w:sz w:val="18"/>
    </w:rPr>
  </w:style>
  <w:style w:type="paragraph" w:customStyle="1" w:styleId="2915">
    <w:name w:val="bg表头"/>
    <w:basedOn w:val="2914"/>
    <w:next w:val="2912"/>
    <w:semiHidden/>
    <w:qFormat/>
    <w:uiPriority w:val="0"/>
    <w:rPr>
      <w:rFonts w:eastAsia="黑体"/>
    </w:rPr>
  </w:style>
  <w:style w:type="paragraph" w:customStyle="1" w:styleId="2916">
    <w:name w:val="bg附录1标题"/>
    <w:basedOn w:val="1"/>
    <w:next w:val="2912"/>
    <w:qFormat/>
    <w:uiPriority w:val="0"/>
    <w:pPr>
      <w:pBdr>
        <w:top w:val="single" w:color="auto" w:sz="4" w:space="1"/>
      </w:pBdr>
      <w:spacing w:before="120"/>
      <w:ind w:firstLine="482"/>
      <w:outlineLvl w:val="2"/>
    </w:pPr>
    <w:rPr>
      <w:rFonts w:eastAsia="黑体"/>
      <w:sz w:val="28"/>
      <w:szCs w:val="20"/>
    </w:rPr>
  </w:style>
  <w:style w:type="paragraph" w:customStyle="1" w:styleId="2917">
    <w:name w:val="Body Single"/>
    <w:semiHidden/>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918">
    <w:name w:val="Bullet"/>
    <w:qFormat/>
    <w:uiPriority w:val="0"/>
    <w:pPr>
      <w:widowControl w:val="0"/>
      <w:autoSpaceDE w:val="0"/>
      <w:autoSpaceDN w:val="0"/>
      <w:adjustRightInd w:val="0"/>
      <w:ind w:left="288"/>
    </w:pPr>
    <w:rPr>
      <w:rFonts w:ascii="宋体" w:hAnsi="Times New Roman" w:eastAsia="宋体" w:cs="Times New Roman"/>
      <w:color w:val="000000"/>
      <w:sz w:val="24"/>
      <w:lang w:val="en-US" w:eastAsia="zh-CN" w:bidi="ar-SA"/>
    </w:rPr>
  </w:style>
  <w:style w:type="paragraph" w:customStyle="1" w:styleId="2919">
    <w:name w:val="Bullet 1"/>
    <w:semiHidden/>
    <w:qFormat/>
    <w:uiPriority w:val="0"/>
    <w:pPr>
      <w:widowControl w:val="0"/>
      <w:autoSpaceDE w:val="0"/>
      <w:autoSpaceDN w:val="0"/>
      <w:adjustRightInd w:val="0"/>
      <w:ind w:left="576"/>
    </w:pPr>
    <w:rPr>
      <w:rFonts w:ascii="宋体" w:hAnsi="Times New Roman" w:eastAsia="宋体" w:cs="Times New Roman"/>
      <w:color w:val="000000"/>
      <w:sz w:val="24"/>
      <w:lang w:val="en-US" w:eastAsia="zh-CN" w:bidi="ar-SA"/>
    </w:rPr>
  </w:style>
  <w:style w:type="paragraph" w:customStyle="1" w:styleId="2920">
    <w:name w:val="Number List"/>
    <w:semiHidden/>
    <w:qFormat/>
    <w:uiPriority w:val="0"/>
    <w:pPr>
      <w:widowControl w:val="0"/>
      <w:autoSpaceDE w:val="0"/>
      <w:autoSpaceDN w:val="0"/>
      <w:adjustRightInd w:val="0"/>
      <w:ind w:left="720"/>
    </w:pPr>
    <w:rPr>
      <w:rFonts w:ascii="宋体" w:hAnsi="Times New Roman" w:eastAsia="宋体" w:cs="Times New Roman"/>
      <w:color w:val="000000"/>
      <w:sz w:val="24"/>
      <w:lang w:val="en-US" w:eastAsia="zh-CN" w:bidi="ar-SA"/>
    </w:rPr>
  </w:style>
  <w:style w:type="paragraph" w:customStyle="1" w:styleId="2921">
    <w:name w:val="Subhead"/>
    <w:semiHidden/>
    <w:qFormat/>
    <w:uiPriority w:val="0"/>
    <w:pPr>
      <w:widowControl w:val="0"/>
      <w:autoSpaceDE w:val="0"/>
      <w:autoSpaceDN w:val="0"/>
      <w:adjustRightInd w:val="0"/>
      <w:spacing w:before="72" w:after="72"/>
    </w:pPr>
    <w:rPr>
      <w:rFonts w:ascii="宋体" w:hAnsi="Times New Roman" w:eastAsia="宋体" w:cs="Times New Roman"/>
      <w:b/>
      <w:i/>
      <w:color w:val="000000"/>
      <w:sz w:val="24"/>
      <w:lang w:val="en-US" w:eastAsia="zh-CN" w:bidi="ar-SA"/>
    </w:rPr>
  </w:style>
  <w:style w:type="character" w:customStyle="1" w:styleId="2922">
    <w:name w:val="俺的正文 Char"/>
    <w:link w:val="2923"/>
    <w:semiHidden/>
    <w:qFormat/>
    <w:uiPriority w:val="0"/>
    <w:rPr>
      <w:sz w:val="24"/>
      <w:szCs w:val="24"/>
    </w:rPr>
  </w:style>
  <w:style w:type="paragraph" w:customStyle="1" w:styleId="2923">
    <w:name w:val="俺的正文"/>
    <w:basedOn w:val="1"/>
    <w:link w:val="2922"/>
    <w:semiHidden/>
    <w:qFormat/>
    <w:uiPriority w:val="0"/>
    <w:pPr>
      <w:pBdr>
        <w:top w:val="single" w:color="auto" w:sz="4" w:space="1"/>
      </w:pBdr>
      <w:spacing w:line="460" w:lineRule="exact"/>
      <w:ind w:firstLine="200" w:firstLineChars="200"/>
    </w:pPr>
    <w:rPr>
      <w:rFonts w:ascii="Calibri" w:hAnsi="Calibri"/>
      <w:sz w:val="24"/>
    </w:rPr>
  </w:style>
  <w:style w:type="paragraph" w:customStyle="1" w:styleId="2924">
    <w:name w:val="白洋淀"/>
    <w:basedOn w:val="2923"/>
    <w:semiHidden/>
    <w:qFormat/>
    <w:uiPriority w:val="0"/>
    <w:pPr>
      <w:spacing w:line="360" w:lineRule="auto"/>
      <w:ind w:firstLine="480"/>
      <w:jc w:val="left"/>
    </w:pPr>
    <w:rPr>
      <w:rFonts w:cs="宋体"/>
    </w:rPr>
  </w:style>
  <w:style w:type="paragraph" w:customStyle="1" w:styleId="2925">
    <w:name w:val="备注文字"/>
    <w:basedOn w:val="1"/>
    <w:qFormat/>
    <w:uiPriority w:val="0"/>
    <w:pPr>
      <w:pBdr>
        <w:top w:val="single" w:color="auto" w:sz="4" w:space="1"/>
      </w:pBdr>
      <w:adjustRightInd w:val="0"/>
      <w:spacing w:line="240" w:lineRule="atLeast"/>
    </w:pPr>
    <w:rPr>
      <w:rFonts w:eastAsia="楷体_GB2312" w:cs="宋体"/>
      <w:kern w:val="0"/>
      <w:szCs w:val="21"/>
    </w:rPr>
  </w:style>
  <w:style w:type="paragraph" w:customStyle="1" w:styleId="2926">
    <w:name w:val="标1"/>
    <w:basedOn w:val="4"/>
    <w:qFormat/>
    <w:uiPriority w:val="0"/>
    <w:pPr>
      <w:numPr>
        <w:numId w:val="0"/>
      </w:numPr>
      <w:adjustRightInd/>
      <w:snapToGrid/>
      <w:spacing w:line="324" w:lineRule="auto"/>
      <w:jc w:val="center"/>
    </w:pPr>
    <w:rPr>
      <w:rFonts w:eastAsia="宋体"/>
      <w:b/>
      <w:bCs w:val="0"/>
    </w:rPr>
  </w:style>
  <w:style w:type="paragraph" w:customStyle="1" w:styleId="2927">
    <w:name w:val="标3"/>
    <w:basedOn w:val="6"/>
    <w:qFormat/>
    <w:uiPriority w:val="0"/>
    <w:pPr>
      <w:numPr>
        <w:ilvl w:val="0"/>
        <w:numId w:val="0"/>
      </w:numPr>
      <w:tabs>
        <w:tab w:val="left" w:pos="900"/>
      </w:tabs>
      <w:adjustRightInd/>
      <w:snapToGrid/>
      <w:spacing w:before="120" w:after="120" w:line="480" w:lineRule="exact"/>
    </w:pPr>
    <w:rPr>
      <w:rFonts w:hAnsi="宋体" w:eastAsia="宋体"/>
      <w:color w:val="000000"/>
      <w:sz w:val="28"/>
      <w:szCs w:val="28"/>
    </w:rPr>
  </w:style>
  <w:style w:type="paragraph" w:customStyle="1" w:styleId="2928">
    <w:name w:val="标题 2新"/>
    <w:basedOn w:val="5"/>
    <w:qFormat/>
    <w:uiPriority w:val="0"/>
    <w:pPr>
      <w:numPr>
        <w:ilvl w:val="0"/>
        <w:numId w:val="0"/>
      </w:numPr>
      <w:tabs>
        <w:tab w:val="left" w:pos="315"/>
        <w:tab w:val="left" w:pos="576"/>
      </w:tabs>
      <w:snapToGrid/>
      <w:spacing w:line="324" w:lineRule="auto"/>
      <w:ind w:left="576" w:hanging="576"/>
      <w:jc w:val="both"/>
    </w:pPr>
    <w:rPr>
      <w:rFonts w:cs="宋体"/>
      <w:b/>
      <w:kern w:val="0"/>
      <w:sz w:val="28"/>
      <w:szCs w:val="28"/>
    </w:rPr>
  </w:style>
  <w:style w:type="paragraph" w:customStyle="1" w:styleId="2929">
    <w:name w:val="标题四"/>
    <w:basedOn w:val="7"/>
    <w:qFormat/>
    <w:uiPriority w:val="0"/>
    <w:pPr>
      <w:numPr>
        <w:ilvl w:val="0"/>
        <w:numId w:val="0"/>
      </w:numPr>
      <w:adjustRightInd/>
      <w:snapToGrid/>
      <w:spacing w:before="100" w:beforeAutospacing="1" w:after="100" w:afterAutospacing="1" w:line="480" w:lineRule="exact"/>
    </w:pPr>
    <w:rPr>
      <w:rFonts w:eastAsia="楷体_GB2312" w:cs="宋体"/>
      <w:color w:val="000000"/>
      <w:spacing w:val="6"/>
      <w:kern w:val="44"/>
      <w:sz w:val="24"/>
      <w:szCs w:val="24"/>
    </w:rPr>
  </w:style>
  <w:style w:type="paragraph" w:customStyle="1" w:styleId="2930">
    <w:name w:val="标题一"/>
    <w:basedOn w:val="4"/>
    <w:semiHidden/>
    <w:qFormat/>
    <w:uiPriority w:val="0"/>
    <w:pPr>
      <w:numPr>
        <w:numId w:val="0"/>
      </w:numPr>
      <w:adjustRightInd/>
      <w:snapToGrid/>
      <w:spacing w:beforeLines="240" w:afterLines="0" w:line="360" w:lineRule="auto"/>
      <w:jc w:val="center"/>
    </w:pPr>
    <w:rPr>
      <w:rFonts w:eastAsia="宋体"/>
      <w:b/>
    </w:rPr>
  </w:style>
  <w:style w:type="paragraph" w:customStyle="1" w:styleId="2931">
    <w:name w:val="表格标题10"/>
    <w:basedOn w:val="78"/>
    <w:semiHidden/>
    <w:qFormat/>
    <w:uiPriority w:val="0"/>
    <w:pPr>
      <w:numPr>
        <w:ilvl w:val="0"/>
        <w:numId w:val="21"/>
      </w:numPr>
      <w:pBdr>
        <w:top w:val="single" w:color="auto" w:sz="4" w:space="1"/>
      </w:pBdr>
      <w:adjustRightInd w:val="0"/>
      <w:spacing w:after="0" w:line="360" w:lineRule="auto"/>
      <w:ind w:leftChars="0"/>
      <w:jc w:val="center"/>
    </w:pPr>
    <w:rPr>
      <w:b/>
      <w:kern w:val="0"/>
      <w:szCs w:val="20"/>
    </w:rPr>
  </w:style>
  <w:style w:type="paragraph" w:customStyle="1" w:styleId="2932">
    <w:name w:val="表格标题12"/>
    <w:basedOn w:val="53"/>
    <w:semiHidden/>
    <w:qFormat/>
    <w:uiPriority w:val="0"/>
    <w:pPr>
      <w:numPr>
        <w:ilvl w:val="0"/>
        <w:numId w:val="22"/>
      </w:numPr>
      <w:pBdr>
        <w:top w:val="single" w:color="auto" w:sz="4" w:space="1"/>
      </w:pBdr>
      <w:adjustRightInd w:val="0"/>
      <w:spacing w:after="0" w:line="360" w:lineRule="auto"/>
      <w:ind w:leftChars="0"/>
      <w:jc w:val="center"/>
    </w:pPr>
    <w:rPr>
      <w:b/>
      <w:kern w:val="0"/>
      <w:szCs w:val="20"/>
    </w:rPr>
  </w:style>
  <w:style w:type="paragraph" w:customStyle="1" w:styleId="2933">
    <w:name w:val="表格标题2"/>
    <w:basedOn w:val="15"/>
    <w:semiHidden/>
    <w:qFormat/>
    <w:uiPriority w:val="0"/>
    <w:pPr>
      <w:pBdr>
        <w:top w:val="single" w:color="auto" w:sz="4" w:space="1"/>
      </w:pBdr>
      <w:snapToGrid/>
      <w:spacing w:beforeLines="0" w:afterLines="0" w:line="360" w:lineRule="atLeast"/>
      <w:ind w:firstLine="0" w:firstLineChars="0"/>
    </w:pPr>
    <w:rPr>
      <w:rFonts w:eastAsia="宋体"/>
      <w:b/>
      <w:kern w:val="0"/>
    </w:rPr>
  </w:style>
  <w:style w:type="paragraph" w:customStyle="1" w:styleId="2934">
    <w:name w:val="表格标题3"/>
    <w:basedOn w:val="36"/>
    <w:semiHidden/>
    <w:qFormat/>
    <w:uiPriority w:val="0"/>
    <w:pPr>
      <w:pBdr>
        <w:top w:val="single" w:color="auto" w:sz="4" w:space="1"/>
      </w:pBdr>
      <w:tabs>
        <w:tab w:val="left" w:pos="902"/>
        <w:tab w:val="clear" w:pos="1200"/>
      </w:tabs>
      <w:autoSpaceDE w:val="0"/>
      <w:autoSpaceDN w:val="0"/>
      <w:adjustRightInd w:val="0"/>
      <w:spacing w:line="360" w:lineRule="auto"/>
      <w:ind w:left="0" w:firstLine="0"/>
      <w:jc w:val="center"/>
    </w:pPr>
    <w:rPr>
      <w:kern w:val="0"/>
      <w:sz w:val="24"/>
      <w:szCs w:val="20"/>
    </w:rPr>
  </w:style>
  <w:style w:type="paragraph" w:customStyle="1" w:styleId="2935">
    <w:name w:val="表格标题4"/>
    <w:basedOn w:val="47"/>
    <w:semiHidden/>
    <w:qFormat/>
    <w:uiPriority w:val="0"/>
    <w:pPr>
      <w:pBdr>
        <w:top w:val="single" w:color="auto" w:sz="4" w:space="1"/>
      </w:pBdr>
      <w:tabs>
        <w:tab w:val="left" w:pos="1620"/>
        <w:tab w:val="clear" w:pos="780"/>
      </w:tabs>
      <w:adjustRightInd w:val="0"/>
      <w:spacing w:line="360" w:lineRule="auto"/>
      <w:ind w:left="0" w:firstLine="0"/>
      <w:jc w:val="center"/>
    </w:pPr>
    <w:rPr>
      <w:b/>
      <w:kern w:val="0"/>
      <w:sz w:val="24"/>
      <w:szCs w:val="20"/>
    </w:rPr>
  </w:style>
  <w:style w:type="paragraph" w:customStyle="1" w:styleId="2936">
    <w:name w:val="表格标题5"/>
    <w:basedOn w:val="65"/>
    <w:semiHidden/>
    <w:qFormat/>
    <w:uiPriority w:val="0"/>
    <w:pPr>
      <w:pBdr>
        <w:top w:val="single" w:color="auto" w:sz="4" w:space="1"/>
      </w:pBdr>
      <w:tabs>
        <w:tab w:val="left" w:pos="3820"/>
        <w:tab w:val="clear" w:pos="1200"/>
      </w:tabs>
      <w:adjustRightInd w:val="0"/>
      <w:spacing w:line="360" w:lineRule="auto"/>
      <w:ind w:left="0" w:firstLine="0"/>
      <w:jc w:val="center"/>
    </w:pPr>
    <w:rPr>
      <w:b/>
      <w:kern w:val="0"/>
      <w:sz w:val="24"/>
    </w:rPr>
  </w:style>
  <w:style w:type="paragraph" w:customStyle="1" w:styleId="2937">
    <w:name w:val="表格标题6"/>
    <w:basedOn w:val="38"/>
    <w:semiHidden/>
    <w:qFormat/>
    <w:uiPriority w:val="0"/>
    <w:pPr>
      <w:numPr>
        <w:ilvl w:val="0"/>
        <w:numId w:val="23"/>
      </w:numPr>
      <w:pBdr>
        <w:top w:val="single" w:color="auto" w:sz="4" w:space="1"/>
      </w:pBdr>
      <w:wordWrap w:val="0"/>
      <w:adjustRightInd w:val="0"/>
      <w:spacing w:after="0" w:line="360" w:lineRule="auto"/>
      <w:ind w:right="0"/>
      <w:jc w:val="center"/>
    </w:pPr>
    <w:rPr>
      <w:rFonts w:ascii="Times New Roman"/>
      <w:b/>
      <w:kern w:val="0"/>
      <w:sz w:val="24"/>
    </w:rPr>
  </w:style>
  <w:style w:type="paragraph" w:customStyle="1" w:styleId="2938">
    <w:name w:val="表格标题7"/>
    <w:basedOn w:val="78"/>
    <w:semiHidden/>
    <w:qFormat/>
    <w:uiPriority w:val="0"/>
    <w:pPr>
      <w:numPr>
        <w:ilvl w:val="0"/>
        <w:numId w:val="24"/>
      </w:numPr>
      <w:pBdr>
        <w:top w:val="single" w:color="auto" w:sz="4" w:space="1"/>
      </w:pBdr>
      <w:adjustRightInd w:val="0"/>
      <w:spacing w:after="0" w:line="360" w:lineRule="auto"/>
      <w:ind w:leftChars="0"/>
      <w:jc w:val="center"/>
    </w:pPr>
    <w:rPr>
      <w:b/>
      <w:kern w:val="0"/>
      <w:szCs w:val="20"/>
    </w:rPr>
  </w:style>
  <w:style w:type="paragraph" w:customStyle="1" w:styleId="2939">
    <w:name w:val="表格标题8"/>
    <w:basedOn w:val="82"/>
    <w:semiHidden/>
    <w:qFormat/>
    <w:uiPriority w:val="0"/>
    <w:pPr>
      <w:numPr>
        <w:ilvl w:val="0"/>
        <w:numId w:val="25"/>
      </w:numPr>
      <w:pBdr>
        <w:top w:val="single" w:color="auto" w:sz="4" w:space="1"/>
      </w:pBdr>
      <w:adjustRightInd w:val="0"/>
      <w:spacing w:after="0" w:line="360" w:lineRule="auto"/>
      <w:ind w:leftChars="0"/>
      <w:jc w:val="center"/>
    </w:pPr>
    <w:rPr>
      <w:b/>
      <w:kern w:val="0"/>
      <w:sz w:val="24"/>
      <w:szCs w:val="20"/>
    </w:rPr>
  </w:style>
  <w:style w:type="paragraph" w:customStyle="1" w:styleId="2940">
    <w:name w:val="表格标题9"/>
    <w:basedOn w:val="82"/>
    <w:semiHidden/>
    <w:qFormat/>
    <w:uiPriority w:val="0"/>
    <w:pPr>
      <w:numPr>
        <w:ilvl w:val="0"/>
        <w:numId w:val="26"/>
      </w:numPr>
      <w:pBdr>
        <w:top w:val="single" w:color="auto" w:sz="4" w:space="1"/>
      </w:pBdr>
      <w:wordWrap w:val="0"/>
      <w:adjustRightInd w:val="0"/>
      <w:spacing w:after="0" w:line="240" w:lineRule="atLeast"/>
      <w:ind w:leftChars="0"/>
      <w:jc w:val="center"/>
    </w:pPr>
    <w:rPr>
      <w:b/>
      <w:kern w:val="0"/>
      <w:sz w:val="24"/>
      <w:szCs w:val="20"/>
    </w:rPr>
  </w:style>
  <w:style w:type="paragraph" w:customStyle="1" w:styleId="2941">
    <w:name w:val="表格单位"/>
    <w:basedOn w:val="22"/>
    <w:qFormat/>
    <w:uiPriority w:val="0"/>
    <w:pPr>
      <w:pBdr>
        <w:top w:val="single" w:color="auto" w:sz="4" w:space="1"/>
      </w:pBdr>
      <w:ind w:firstLine="0" w:firstLineChars="0"/>
      <w:jc w:val="right"/>
    </w:pPr>
  </w:style>
  <w:style w:type="paragraph" w:customStyle="1" w:styleId="2942">
    <w:name w:val="前言"/>
    <w:basedOn w:val="84"/>
    <w:qFormat/>
    <w:uiPriority w:val="0"/>
    <w:pPr>
      <w:pBdr>
        <w:top w:val="single" w:color="auto" w:sz="4" w:space="1"/>
      </w:pBdr>
      <w:spacing w:before="240" w:after="60" w:line="360" w:lineRule="auto"/>
      <w:textAlignment w:val="auto"/>
    </w:pPr>
    <w:rPr>
      <w:rFonts w:ascii="黑体" w:hAnsi="Times New Roman"/>
      <w:sz w:val="18"/>
      <w:szCs w:val="18"/>
    </w:rPr>
  </w:style>
  <w:style w:type="paragraph" w:customStyle="1" w:styleId="2943">
    <w:name w:val="前沿"/>
    <w:basedOn w:val="84"/>
    <w:semiHidden/>
    <w:qFormat/>
    <w:uiPriority w:val="0"/>
    <w:pPr>
      <w:pBdr>
        <w:top w:val="single" w:color="auto" w:sz="4" w:space="1"/>
      </w:pBdr>
      <w:spacing w:after="240" w:line="360" w:lineRule="atLeast"/>
      <w:textAlignment w:val="auto"/>
    </w:pPr>
    <w:rPr>
      <w:rFonts w:hAnsi="Times New Roman" w:eastAsia="宋体" w:cs="宋体"/>
      <w:sz w:val="30"/>
      <w:szCs w:val="30"/>
    </w:rPr>
  </w:style>
  <w:style w:type="paragraph" w:customStyle="1" w:styleId="2944">
    <w:name w:val="统一正文"/>
    <w:basedOn w:val="1"/>
    <w:semiHidden/>
    <w:qFormat/>
    <w:uiPriority w:val="0"/>
    <w:pPr>
      <w:pBdr>
        <w:top w:val="single" w:color="auto" w:sz="4" w:space="1"/>
      </w:pBdr>
      <w:adjustRightInd w:val="0"/>
      <w:spacing w:line="360" w:lineRule="auto"/>
      <w:ind w:firstLine="480" w:firstLineChars="200"/>
      <w:jc w:val="left"/>
    </w:pPr>
    <w:rPr>
      <w:kern w:val="0"/>
      <w:sz w:val="24"/>
      <w:szCs w:val="20"/>
    </w:rPr>
  </w:style>
  <w:style w:type="paragraph" w:customStyle="1" w:styleId="2945">
    <w:name w:val="图标"/>
    <w:basedOn w:val="35"/>
    <w:semiHidden/>
    <w:qFormat/>
    <w:uiPriority w:val="0"/>
    <w:pPr>
      <w:pBdr>
        <w:top w:val="single" w:color="auto" w:sz="4" w:space="1"/>
      </w:pBdr>
      <w:spacing w:line="360" w:lineRule="auto"/>
      <w:ind w:firstLine="561" w:firstLineChars="200"/>
      <w:jc w:val="center"/>
    </w:pPr>
    <w:rPr>
      <w:b/>
      <w:sz w:val="24"/>
      <w:szCs w:val="24"/>
    </w:rPr>
  </w:style>
  <w:style w:type="paragraph" w:customStyle="1" w:styleId="2946">
    <w:name w:val="图标标题"/>
    <w:basedOn w:val="25"/>
    <w:semiHidden/>
    <w:qFormat/>
    <w:uiPriority w:val="0"/>
    <w:pPr>
      <w:pBdr>
        <w:top w:val="single" w:color="auto" w:sz="4" w:space="1"/>
      </w:pBdr>
      <w:tabs>
        <w:tab w:val="left" w:pos="360"/>
        <w:tab w:val="clear" w:pos="900"/>
      </w:tabs>
      <w:spacing w:line="360" w:lineRule="auto"/>
      <w:ind w:left="0" w:firstLine="0"/>
      <w:jc w:val="center"/>
      <w:textAlignment w:val="auto"/>
    </w:pPr>
    <w:rPr>
      <w:rFonts w:ascii="Times New Roman" w:hAnsi="Times New Roman" w:eastAsia="宋体"/>
      <w:b/>
      <w:sz w:val="24"/>
    </w:rPr>
  </w:style>
  <w:style w:type="paragraph" w:customStyle="1" w:styleId="2947">
    <w:name w:val="我的正文 Char Char"/>
    <w:basedOn w:val="1"/>
    <w:qFormat/>
    <w:uiPriority w:val="0"/>
    <w:pPr>
      <w:pBdr>
        <w:top w:val="single" w:color="auto" w:sz="4" w:space="1"/>
      </w:pBdr>
      <w:spacing w:line="360" w:lineRule="auto"/>
      <w:ind w:firstLine="200" w:firstLineChars="200"/>
    </w:pPr>
    <w:rPr>
      <w:sz w:val="24"/>
    </w:rPr>
  </w:style>
  <w:style w:type="paragraph" w:customStyle="1" w:styleId="2948">
    <w:name w:val="燕儿正文"/>
    <w:basedOn w:val="1"/>
    <w:semiHidden/>
    <w:qFormat/>
    <w:uiPriority w:val="0"/>
    <w:pPr>
      <w:pBdr>
        <w:top w:val="single" w:color="auto" w:sz="4" w:space="1"/>
      </w:pBdr>
      <w:adjustRightInd w:val="0"/>
      <w:spacing w:line="480" w:lineRule="exact"/>
      <w:ind w:firstLine="480" w:firstLineChars="200"/>
      <w:jc w:val="left"/>
    </w:pPr>
    <w:rPr>
      <w:kern w:val="0"/>
      <w:sz w:val="24"/>
      <w:szCs w:val="20"/>
    </w:rPr>
  </w:style>
  <w:style w:type="paragraph" w:customStyle="1" w:styleId="2949">
    <w:name w:val="燕正文"/>
    <w:basedOn w:val="35"/>
    <w:semiHidden/>
    <w:qFormat/>
    <w:uiPriority w:val="0"/>
    <w:pPr>
      <w:pBdr>
        <w:top w:val="single" w:color="auto" w:sz="4" w:space="1"/>
      </w:pBdr>
      <w:spacing w:line="480" w:lineRule="atLeast"/>
      <w:ind w:firstLine="480" w:firstLineChars="200"/>
    </w:pPr>
    <w:rPr>
      <w:rFonts w:cs="宋体"/>
      <w:sz w:val="24"/>
      <w:szCs w:val="24"/>
    </w:rPr>
  </w:style>
  <w:style w:type="paragraph" w:customStyle="1" w:styleId="2950">
    <w:name w:val="样式 （一）标题 + 段前: 0.5 行"/>
    <w:basedOn w:val="1"/>
    <w:semiHidden/>
    <w:qFormat/>
    <w:uiPriority w:val="0"/>
    <w:pPr>
      <w:pBdr>
        <w:top w:val="single" w:color="auto" w:sz="4" w:space="1"/>
      </w:pBdr>
      <w:adjustRightInd w:val="0"/>
      <w:spacing w:line="360" w:lineRule="auto"/>
      <w:jc w:val="left"/>
    </w:pPr>
    <w:rPr>
      <w:rFonts w:cs="宋体"/>
      <w:b/>
      <w:bCs/>
      <w:kern w:val="0"/>
      <w:sz w:val="24"/>
      <w:szCs w:val="20"/>
    </w:rPr>
  </w:style>
  <w:style w:type="paragraph" w:customStyle="1" w:styleId="2951">
    <w:name w:val="样式 标题 + 非加粗 黑色"/>
    <w:basedOn w:val="84"/>
    <w:semiHidden/>
    <w:qFormat/>
    <w:uiPriority w:val="0"/>
    <w:pPr>
      <w:pBdr>
        <w:top w:val="single" w:color="auto" w:sz="4" w:space="1"/>
      </w:pBdr>
      <w:spacing w:before="240" w:after="60" w:line="360" w:lineRule="atLeast"/>
      <w:textAlignment w:val="auto"/>
    </w:pPr>
    <w:rPr>
      <w:rFonts w:hAnsi="Times New Roman" w:eastAsia="宋体"/>
      <w:bCs/>
      <w:sz w:val="18"/>
      <w:szCs w:val="18"/>
    </w:rPr>
  </w:style>
  <w:style w:type="paragraph" w:customStyle="1" w:styleId="2952">
    <w:name w:val="样式 标题 1 + 段前: 0 磅 段后: 0 磅 行距: 1.5 倍行距"/>
    <w:basedOn w:val="4"/>
    <w:semiHidden/>
    <w:qFormat/>
    <w:uiPriority w:val="0"/>
    <w:pPr>
      <w:numPr>
        <w:numId w:val="0"/>
      </w:numPr>
      <w:adjustRightInd/>
      <w:snapToGrid/>
      <w:spacing w:afterLines="0" w:line="324" w:lineRule="auto"/>
      <w:jc w:val="center"/>
    </w:pPr>
    <w:rPr>
      <w:rFonts w:eastAsia="宋体" w:cs="宋体"/>
      <w:sz w:val="24"/>
      <w:szCs w:val="24"/>
    </w:rPr>
  </w:style>
  <w:style w:type="paragraph" w:customStyle="1" w:styleId="2953">
    <w:name w:val="样式 标题 1 + 行距: 最小值 12 磅"/>
    <w:basedOn w:val="4"/>
    <w:semiHidden/>
    <w:qFormat/>
    <w:uiPriority w:val="0"/>
    <w:pPr>
      <w:numPr>
        <w:numId w:val="0"/>
      </w:numPr>
      <w:adjustRightInd/>
      <w:snapToGrid/>
      <w:spacing w:line="240" w:lineRule="atLeast"/>
      <w:jc w:val="center"/>
    </w:pPr>
    <w:rPr>
      <w:rFonts w:eastAsia="宋体" w:cs="宋体"/>
      <w:b/>
      <w:sz w:val="32"/>
      <w:szCs w:val="32"/>
    </w:rPr>
  </w:style>
  <w:style w:type="paragraph" w:customStyle="1" w:styleId="2954">
    <w:name w:val="样式 标题 2 + 行距: 最小值 12 磅"/>
    <w:basedOn w:val="5"/>
    <w:semiHidden/>
    <w:qFormat/>
    <w:uiPriority w:val="0"/>
    <w:pPr>
      <w:numPr>
        <w:ilvl w:val="0"/>
        <w:numId w:val="0"/>
      </w:numPr>
      <w:tabs>
        <w:tab w:val="left" w:pos="315"/>
        <w:tab w:val="left" w:pos="768"/>
      </w:tabs>
      <w:snapToGrid/>
      <w:spacing w:beforeLines="100" w:afterLines="0" w:line="240" w:lineRule="atLeast"/>
    </w:pPr>
    <w:rPr>
      <w:rFonts w:ascii="黑体" w:cs="宋体"/>
      <w:b/>
      <w:bCs w:val="0"/>
      <w:kern w:val="0"/>
      <w:sz w:val="28"/>
      <w:szCs w:val="28"/>
    </w:rPr>
  </w:style>
  <w:style w:type="paragraph" w:customStyle="1" w:styleId="2955">
    <w:name w:val="样式 标题 2标题 2 Char + 段前: 1 行 段后: 1 行"/>
    <w:basedOn w:val="5"/>
    <w:semiHidden/>
    <w:qFormat/>
    <w:uiPriority w:val="0"/>
    <w:pPr>
      <w:numPr>
        <w:ilvl w:val="0"/>
        <w:numId w:val="0"/>
      </w:numPr>
      <w:tabs>
        <w:tab w:val="left" w:pos="315"/>
        <w:tab w:val="left" w:pos="768"/>
      </w:tabs>
      <w:snapToGrid/>
      <w:spacing w:beforeLines="80" w:afterLines="0" w:line="520" w:lineRule="exact"/>
    </w:pPr>
    <w:rPr>
      <w:rFonts w:ascii="黑体" w:cs="宋体"/>
      <w:b/>
      <w:kern w:val="0"/>
      <w:sz w:val="28"/>
      <w:szCs w:val="20"/>
    </w:rPr>
  </w:style>
  <w:style w:type="paragraph" w:customStyle="1" w:styleId="2956">
    <w:name w:val="样式 标题 3 + 段前: 1 行 段后: 1 行"/>
    <w:basedOn w:val="6"/>
    <w:semiHidden/>
    <w:qFormat/>
    <w:uiPriority w:val="0"/>
    <w:pPr>
      <w:numPr>
        <w:ilvl w:val="0"/>
        <w:numId w:val="0"/>
      </w:numPr>
      <w:tabs>
        <w:tab w:val="left" w:pos="900"/>
      </w:tabs>
      <w:adjustRightInd/>
      <w:snapToGrid/>
      <w:spacing w:beforeLines="80" w:afterLines="80" w:line="324" w:lineRule="auto"/>
    </w:pPr>
    <w:rPr>
      <w:rFonts w:hAnsi="宋体" w:eastAsia="宋体" w:cs="宋体"/>
      <w:b/>
      <w:bCs w:val="0"/>
      <w:color w:val="000000"/>
      <w:sz w:val="28"/>
      <w:szCs w:val="20"/>
    </w:rPr>
  </w:style>
  <w:style w:type="paragraph" w:customStyle="1" w:styleId="2957">
    <w:name w:val="样式 标题 3 + 段前: 6 磅 段后: 3 磅 行距: 固定值 24 磅"/>
    <w:basedOn w:val="6"/>
    <w:semiHidden/>
    <w:qFormat/>
    <w:uiPriority w:val="0"/>
    <w:pPr>
      <w:numPr>
        <w:ilvl w:val="0"/>
        <w:numId w:val="0"/>
      </w:numPr>
      <w:tabs>
        <w:tab w:val="left" w:pos="900"/>
      </w:tabs>
      <w:adjustRightInd/>
      <w:snapToGrid/>
      <w:spacing w:before="120" w:after="120" w:line="324" w:lineRule="auto"/>
    </w:pPr>
    <w:rPr>
      <w:rFonts w:hAnsi="宋体" w:eastAsia="宋体" w:cs="宋体"/>
      <w:b/>
      <w:bCs w:val="0"/>
      <w:color w:val="000000"/>
      <w:sz w:val="28"/>
      <w:szCs w:val="30"/>
    </w:rPr>
  </w:style>
  <w:style w:type="paragraph" w:customStyle="1" w:styleId="2958">
    <w:name w:val="样式 标题 4 + 段前: 0.5 行 段后: 0.5 行"/>
    <w:basedOn w:val="7"/>
    <w:semiHidden/>
    <w:qFormat/>
    <w:uiPriority w:val="0"/>
    <w:pPr>
      <w:numPr>
        <w:ilvl w:val="0"/>
        <w:numId w:val="0"/>
      </w:numPr>
      <w:adjustRightInd/>
      <w:snapToGrid/>
      <w:spacing w:beforeLines="50" w:afterLines="50" w:line="480" w:lineRule="exact"/>
    </w:pPr>
    <w:rPr>
      <w:rFonts w:ascii="楷体_GB2312" w:eastAsia="楷体_GB2312" w:cs="宋体"/>
      <w:color w:val="000000"/>
      <w:spacing w:val="-6"/>
      <w:kern w:val="44"/>
      <w:sz w:val="24"/>
      <w:szCs w:val="20"/>
    </w:rPr>
  </w:style>
  <w:style w:type="paragraph" w:customStyle="1" w:styleId="2959">
    <w:name w:val="样式 标题 4 + 段前: 0.5 行 段后: 0.5 行1"/>
    <w:basedOn w:val="7"/>
    <w:semiHidden/>
    <w:qFormat/>
    <w:uiPriority w:val="0"/>
    <w:pPr>
      <w:numPr>
        <w:ilvl w:val="0"/>
        <w:numId w:val="0"/>
      </w:numPr>
      <w:adjustRightInd/>
      <w:snapToGrid/>
      <w:spacing w:beforeLines="50" w:afterLines="50" w:line="480" w:lineRule="exact"/>
    </w:pPr>
    <w:rPr>
      <w:rFonts w:ascii="楷体_GB2312" w:eastAsia="楷体_GB2312" w:cs="宋体"/>
      <w:color w:val="000000"/>
      <w:spacing w:val="-6"/>
      <w:kern w:val="0"/>
      <w:sz w:val="24"/>
      <w:szCs w:val="20"/>
    </w:rPr>
  </w:style>
  <w:style w:type="paragraph" w:customStyle="1" w:styleId="2960">
    <w:name w:val="样式 表格标题 + 段后: 0.5 行"/>
    <w:basedOn w:val="1"/>
    <w:semiHidden/>
    <w:qFormat/>
    <w:uiPriority w:val="0"/>
    <w:pPr>
      <w:pBdr>
        <w:top w:val="single" w:color="auto" w:sz="4" w:space="1"/>
      </w:pBdr>
      <w:adjustRightInd w:val="0"/>
      <w:spacing w:line="324" w:lineRule="auto"/>
      <w:jc w:val="center"/>
    </w:pPr>
    <w:rPr>
      <w:rFonts w:eastAsia="黑体" w:cs="宋体"/>
      <w:b/>
      <w:bCs/>
      <w:kern w:val="0"/>
      <w:sz w:val="24"/>
      <w:szCs w:val="20"/>
    </w:rPr>
  </w:style>
  <w:style w:type="paragraph" w:customStyle="1" w:styleId="2961">
    <w:name w:val="样式 表格标题 + 段后: 0.5 行1"/>
    <w:basedOn w:val="1"/>
    <w:semiHidden/>
    <w:qFormat/>
    <w:uiPriority w:val="0"/>
    <w:pPr>
      <w:pBdr>
        <w:top w:val="single" w:color="auto" w:sz="4" w:space="1"/>
      </w:pBdr>
      <w:adjustRightInd w:val="0"/>
      <w:spacing w:line="480" w:lineRule="exact"/>
      <w:jc w:val="center"/>
    </w:pPr>
    <w:rPr>
      <w:rFonts w:cs="宋体"/>
      <w:b/>
      <w:bCs/>
      <w:kern w:val="0"/>
      <w:sz w:val="24"/>
      <w:szCs w:val="20"/>
    </w:rPr>
  </w:style>
  <w:style w:type="paragraph" w:customStyle="1" w:styleId="2962">
    <w:name w:val="样式 表格标题 + 段后: 0.5 行2"/>
    <w:basedOn w:val="1"/>
    <w:semiHidden/>
    <w:qFormat/>
    <w:uiPriority w:val="0"/>
    <w:pPr>
      <w:pBdr>
        <w:top w:val="single" w:color="auto" w:sz="4" w:space="1"/>
      </w:pBdr>
      <w:adjustRightInd w:val="0"/>
      <w:spacing w:line="324" w:lineRule="auto"/>
      <w:jc w:val="center"/>
    </w:pPr>
    <w:rPr>
      <w:rFonts w:eastAsia="黑体" w:cs="宋体"/>
      <w:b/>
      <w:bCs/>
      <w:kern w:val="0"/>
      <w:sz w:val="24"/>
      <w:szCs w:val="20"/>
    </w:rPr>
  </w:style>
  <w:style w:type="paragraph" w:customStyle="1" w:styleId="2963">
    <w:name w:val="样式 表格内文字 + 左侧:  -0.05 字符 首行缩进:  0.05 字符"/>
    <w:basedOn w:val="183"/>
    <w:semiHidden/>
    <w:qFormat/>
    <w:uiPriority w:val="0"/>
    <w:pPr>
      <w:widowControl w:val="0"/>
      <w:pBdr>
        <w:top w:val="single" w:color="auto" w:sz="4" w:space="1"/>
      </w:pBdr>
      <w:kinsoku/>
      <w:wordWrap/>
      <w:overflowPunct/>
      <w:adjustRightInd w:val="0"/>
      <w:spacing w:line="240" w:lineRule="atLeast"/>
      <w:textAlignment w:val="auto"/>
    </w:pPr>
    <w:rPr>
      <w:rFonts w:cs="宋体"/>
      <w:snapToGrid/>
      <w:color w:val="auto"/>
      <w:spacing w:val="6"/>
      <w:szCs w:val="21"/>
    </w:rPr>
  </w:style>
  <w:style w:type="paragraph" w:customStyle="1" w:styleId="2964">
    <w:name w:val="样式 表格文字 + 小四"/>
    <w:basedOn w:val="180"/>
    <w:semiHidden/>
    <w:qFormat/>
    <w:uiPriority w:val="0"/>
    <w:pPr>
      <w:autoSpaceDE w:val="0"/>
      <w:autoSpaceDN w:val="0"/>
      <w:adjustRightInd w:val="0"/>
    </w:pPr>
    <w:rPr>
      <w:rFonts w:ascii="Times New Roman" w:hAnsi="Times New Roman"/>
      <w:kern w:val="0"/>
    </w:rPr>
  </w:style>
  <w:style w:type="paragraph" w:customStyle="1" w:styleId="2965">
    <w:name w:val="样式 公式 + 段前: 0.5 行 段后: 0.5 行"/>
    <w:basedOn w:val="329"/>
    <w:semiHidden/>
    <w:qFormat/>
    <w:uiPriority w:val="0"/>
    <w:pPr>
      <w:pBdr>
        <w:top w:val="single" w:color="auto" w:sz="4" w:space="1"/>
      </w:pBdr>
      <w:snapToGrid/>
      <w:spacing w:before="0" w:after="0" w:line="360" w:lineRule="auto"/>
      <w:ind w:firstLine="360" w:firstLineChars="150"/>
      <w:jc w:val="left"/>
      <w:textAlignment w:val="auto"/>
    </w:pPr>
    <w:rPr>
      <w:rFonts w:cs="宋体"/>
      <w:iCs/>
    </w:rPr>
  </w:style>
  <w:style w:type="paragraph" w:customStyle="1" w:styleId="2966">
    <w:name w:val="样式 公式 + 段前: 0.5 行 段后: 0.5 行1"/>
    <w:basedOn w:val="329"/>
    <w:semiHidden/>
    <w:qFormat/>
    <w:uiPriority w:val="0"/>
    <w:pPr>
      <w:pBdr>
        <w:top w:val="single" w:color="auto" w:sz="4" w:space="1"/>
      </w:pBdr>
      <w:snapToGrid/>
      <w:spacing w:before="0" w:after="0" w:line="360" w:lineRule="auto"/>
      <w:ind w:firstLine="360" w:firstLineChars="150"/>
      <w:jc w:val="left"/>
      <w:textAlignment w:val="auto"/>
    </w:pPr>
    <w:rPr>
      <w:rFonts w:cs="宋体"/>
      <w:iCs/>
    </w:rPr>
  </w:style>
  <w:style w:type="paragraph" w:customStyle="1" w:styleId="2967">
    <w:name w:val="样式 公式 + 左 段前: 0.5 行 段后: 0.5 行"/>
    <w:basedOn w:val="329"/>
    <w:semiHidden/>
    <w:qFormat/>
    <w:uiPriority w:val="0"/>
    <w:pPr>
      <w:pBdr>
        <w:top w:val="single" w:color="auto" w:sz="4" w:space="1"/>
      </w:pBdr>
      <w:snapToGrid/>
      <w:spacing w:before="0" w:after="0" w:line="360" w:lineRule="auto"/>
      <w:ind w:firstLine="360" w:firstLineChars="150"/>
      <w:jc w:val="left"/>
      <w:textAlignment w:val="auto"/>
    </w:pPr>
    <w:rPr>
      <w:rFonts w:cs="宋体"/>
      <w:iCs/>
    </w:rPr>
  </w:style>
  <w:style w:type="paragraph" w:customStyle="1" w:styleId="2968">
    <w:name w:val="样式 加粗 行距: 1.5 倍行距"/>
    <w:basedOn w:val="1"/>
    <w:semiHidden/>
    <w:qFormat/>
    <w:uiPriority w:val="0"/>
    <w:pPr>
      <w:pBdr>
        <w:top w:val="single" w:color="auto" w:sz="4" w:space="1"/>
        <w:bottom w:val="threeDEngrave" w:color="auto" w:sz="12" w:space="1"/>
      </w:pBdr>
      <w:adjustRightInd w:val="0"/>
      <w:spacing w:line="360" w:lineRule="auto"/>
      <w:ind w:firstLine="480" w:firstLineChars="200"/>
      <w:jc w:val="left"/>
    </w:pPr>
    <w:rPr>
      <w:rFonts w:cs="宋体"/>
      <w:b/>
      <w:bCs/>
      <w:kern w:val="0"/>
      <w:sz w:val="24"/>
      <w:szCs w:val="20"/>
    </w:rPr>
  </w:style>
  <w:style w:type="paragraph" w:customStyle="1" w:styleId="2969">
    <w:name w:val="样式 前沿 + 段前: 2 行 段后: 2 行"/>
    <w:basedOn w:val="2943"/>
    <w:semiHidden/>
    <w:qFormat/>
    <w:uiPriority w:val="0"/>
    <w:pPr>
      <w:spacing w:beforeLines="400" w:afterLines="200"/>
    </w:pPr>
    <w:rPr>
      <w:szCs w:val="20"/>
    </w:rPr>
  </w:style>
  <w:style w:type="paragraph" w:customStyle="1" w:styleId="2970">
    <w:name w:val="样式 图表标题 + 段后: 0.5 行"/>
    <w:basedOn w:val="1191"/>
    <w:semiHidden/>
    <w:qFormat/>
    <w:uiPriority w:val="0"/>
    <w:pPr>
      <w:pBdr>
        <w:top w:val="single" w:color="auto" w:sz="4" w:space="1"/>
      </w:pBdr>
      <w:adjustRightInd/>
      <w:snapToGrid/>
      <w:spacing w:line="480" w:lineRule="exact"/>
    </w:pPr>
    <w:rPr>
      <w:rFonts w:ascii="黑体" w:eastAsia="黑体" w:cs="宋体"/>
      <w:bCs/>
      <w:szCs w:val="24"/>
    </w:rPr>
  </w:style>
  <w:style w:type="paragraph" w:customStyle="1" w:styleId="2971">
    <w:name w:val="样式 样式 标题 4 + 段前: 0.5 行 段后: 0.5 行 + 段前: 0.5 行 段后: 0.5 行"/>
    <w:basedOn w:val="2958"/>
    <w:semiHidden/>
    <w:qFormat/>
    <w:uiPriority w:val="0"/>
  </w:style>
  <w:style w:type="paragraph" w:customStyle="1" w:styleId="2972">
    <w:name w:val="样式 样式 标题 4 + 段前: 0.5 行 段后: 0.5 行 + 段前: 0.5 行 段后: 0.5 行1"/>
    <w:basedOn w:val="2958"/>
    <w:semiHidden/>
    <w:qFormat/>
    <w:uiPriority w:val="0"/>
    <w:pPr>
      <w:adjustRightInd w:val="0"/>
    </w:pPr>
  </w:style>
  <w:style w:type="paragraph" w:customStyle="1" w:styleId="2973">
    <w:name w:val="样式 样式 标题 4 + 段前: 0.5 行 段后: 0.5 行 + 段前: 0.5 行 段后: 0.5 行2"/>
    <w:basedOn w:val="2958"/>
    <w:semiHidden/>
    <w:qFormat/>
    <w:uiPriority w:val="0"/>
  </w:style>
  <w:style w:type="paragraph" w:customStyle="1" w:styleId="2974">
    <w:name w:val="样式 样式 标题 4 + 段前: 0.5 行 段后: 0.5 行 + 段前: 0.5 行 段后: 0.5 行3"/>
    <w:basedOn w:val="2958"/>
    <w:semiHidden/>
    <w:qFormat/>
    <w:uiPriority w:val="0"/>
    <w:pPr>
      <w:adjustRightInd w:val="0"/>
    </w:pPr>
  </w:style>
  <w:style w:type="paragraph" w:customStyle="1" w:styleId="2975">
    <w:name w:val="样式 样式 标题 4 + 段前: 0.5 行 段后: 0.5 行 + 段前: 0.5 行 段后: 0.5 行4"/>
    <w:basedOn w:val="2958"/>
    <w:semiHidden/>
    <w:qFormat/>
    <w:uiPriority w:val="0"/>
  </w:style>
  <w:style w:type="paragraph" w:customStyle="1" w:styleId="2976">
    <w:name w:val="样式 样式 标题 4 + 段前: 0.5 行 段后: 0.5 行 + 段前: 0.5 行 段后: 0.5 行5"/>
    <w:basedOn w:val="2958"/>
    <w:semiHidden/>
    <w:qFormat/>
    <w:uiPriority w:val="0"/>
  </w:style>
  <w:style w:type="paragraph" w:customStyle="1" w:styleId="2977">
    <w:name w:val="样式 样式 标题 4 + 段前: 0.5 行 段后: 0.5 行 + 段前: 0.5 行 段后: 0.5 行6"/>
    <w:basedOn w:val="2958"/>
    <w:semiHidden/>
    <w:qFormat/>
    <w:uiPriority w:val="0"/>
  </w:style>
  <w:style w:type="paragraph" w:customStyle="1" w:styleId="2978">
    <w:name w:val="样式 样式 标题 4 + 段前: 0.5 行 段后: 0.5 行1 + 段前: 0.5 行 段后: 0.5 行"/>
    <w:basedOn w:val="2959"/>
    <w:semiHidden/>
    <w:qFormat/>
    <w:uiPriority w:val="0"/>
  </w:style>
  <w:style w:type="paragraph" w:customStyle="1" w:styleId="2979">
    <w:name w:val="样式 样式 样式 标题 4 + 段前: 0.5 行 段后: 0.5 行 + 段前: 0.5 行 段后: 0.5 行 + 段前: ..."/>
    <w:basedOn w:val="2971"/>
    <w:semiHidden/>
    <w:qFormat/>
    <w:uiPriority w:val="0"/>
    <w:pPr>
      <w:adjustRightInd w:val="0"/>
    </w:pPr>
  </w:style>
  <w:style w:type="paragraph" w:customStyle="1" w:styleId="2980">
    <w:name w:val="样式 样式 样式 标题 4 + 段前: 0.5 行 段后: 0.5 行 + 段前: 0.5 行 段后: 0.5 行4 + 段前:..."/>
    <w:basedOn w:val="2975"/>
    <w:semiHidden/>
    <w:qFormat/>
    <w:uiPriority w:val="0"/>
    <w:pPr>
      <w:numPr>
        <w:ilvl w:val="3"/>
        <w:numId w:val="27"/>
      </w:numPr>
      <w:tabs>
        <w:tab w:val="left" w:pos="360"/>
      </w:tabs>
      <w:adjustRightInd w:val="0"/>
    </w:pPr>
  </w:style>
  <w:style w:type="paragraph" w:customStyle="1" w:styleId="2981">
    <w:name w:val="样式 样式 样式 标题 4 + 段前: 0.5 行 段后: 0.5 行 + 段前: 0.5 行 段后: 0.5 行5 + 段前:..."/>
    <w:basedOn w:val="2976"/>
    <w:semiHidden/>
    <w:qFormat/>
    <w:uiPriority w:val="0"/>
  </w:style>
  <w:style w:type="paragraph" w:customStyle="1" w:styleId="2982">
    <w:name w:val="样式 样式 样式 标题 4 + 段前: 0.5 行 段后: 0.5 行 + 段前: 0.5 行 段后: 0.5 行5 + 段前:...1"/>
    <w:basedOn w:val="2976"/>
    <w:semiHidden/>
    <w:qFormat/>
    <w:uiPriority w:val="0"/>
    <w:pPr>
      <w:adjustRightInd w:val="0"/>
    </w:pPr>
  </w:style>
  <w:style w:type="paragraph" w:customStyle="1" w:styleId="2983">
    <w:name w:val="样式 样式 样式 标题 4 + 段前: 0.5 行 段后: 0.5 行 + 段前: 0.5 行 段后: 0.5 行6 + 段前:..."/>
    <w:basedOn w:val="2977"/>
    <w:semiHidden/>
    <w:qFormat/>
    <w:uiPriority w:val="0"/>
  </w:style>
  <w:style w:type="paragraph" w:customStyle="1" w:styleId="2984">
    <w:name w:val="样式 样式 样式 样式 标题 4 + 段前: 0.5 行 段后: 0.5 行 + 段前: 0.5 行 段后: 0.5 行 + 段..."/>
    <w:basedOn w:val="2979"/>
    <w:semiHidden/>
    <w:qFormat/>
    <w:uiPriority w:val="0"/>
    <w:pPr>
      <w:adjustRightInd/>
    </w:pPr>
  </w:style>
  <w:style w:type="paragraph" w:customStyle="1" w:styleId="2985">
    <w:name w:val="样式 样式 样式 样式 标题 4 + 段前: 0.5 行 段后: 0.5 行 + 段前: 0.5 行 段后: 0.5 行5 + ..."/>
    <w:basedOn w:val="2982"/>
    <w:semiHidden/>
    <w:qFormat/>
    <w:uiPriority w:val="0"/>
  </w:style>
  <w:style w:type="paragraph" w:customStyle="1" w:styleId="2986">
    <w:name w:val="样式 样式 样式 样式 标题 4 + 段前: 0.5 行 段后: 0.5 行 + 段前: 0.5 行 段后: 0.5 行6 + ..."/>
    <w:basedOn w:val="2983"/>
    <w:semiHidden/>
    <w:qFormat/>
    <w:uiPriority w:val="0"/>
  </w:style>
  <w:style w:type="paragraph" w:customStyle="1" w:styleId="2987">
    <w:name w:val="样式 样式 样式 样式 样式 标题 4 + 段前: 0.5 行 段后: 0.5 行 + 段前: 0.5 行 段后: 0.5 行5..."/>
    <w:basedOn w:val="2985"/>
    <w:semiHidden/>
    <w:qFormat/>
    <w:uiPriority w:val="0"/>
    <w:pPr>
      <w:adjustRightInd/>
    </w:pPr>
  </w:style>
  <w:style w:type="paragraph" w:customStyle="1" w:styleId="2988">
    <w:name w:val="样式 样式 正文文本缩进正文文字缩进 + 首行缩进:  2 字符 + 首行缩进:  2 字符"/>
    <w:basedOn w:val="1"/>
    <w:semiHidden/>
    <w:qFormat/>
    <w:uiPriority w:val="0"/>
    <w:pPr>
      <w:pBdr>
        <w:top w:val="single" w:color="auto" w:sz="4" w:space="1"/>
      </w:pBdr>
      <w:adjustRightInd w:val="0"/>
      <w:spacing w:line="360" w:lineRule="auto"/>
      <w:ind w:firstLine="480" w:firstLineChars="200"/>
    </w:pPr>
    <w:rPr>
      <w:kern w:val="0"/>
      <w:sz w:val="28"/>
      <w:szCs w:val="20"/>
    </w:rPr>
  </w:style>
  <w:style w:type="paragraph" w:customStyle="1" w:styleId="2989">
    <w:name w:val="正文 + 小四"/>
    <w:basedOn w:val="1"/>
    <w:semiHidden/>
    <w:qFormat/>
    <w:uiPriority w:val="0"/>
    <w:pPr>
      <w:pBdr>
        <w:top w:val="single" w:color="auto" w:sz="4" w:space="1"/>
      </w:pBdr>
      <w:spacing w:line="360" w:lineRule="auto"/>
      <w:ind w:firstLine="480" w:firstLineChars="200"/>
    </w:pPr>
    <w:rPr>
      <w:sz w:val="24"/>
    </w:rPr>
  </w:style>
  <w:style w:type="paragraph" w:customStyle="1" w:styleId="2990">
    <w:name w:val="前言正文"/>
    <w:basedOn w:val="2924"/>
    <w:qFormat/>
    <w:uiPriority w:val="0"/>
    <w:pPr>
      <w:adjustRightInd w:val="0"/>
      <w:spacing w:before="156"/>
      <w:jc w:val="both"/>
    </w:pPr>
    <w:rPr>
      <w:rFonts w:eastAsia="楷体_GB2312"/>
      <w:kern w:val="0"/>
      <w:szCs w:val="20"/>
    </w:rPr>
  </w:style>
  <w:style w:type="paragraph" w:customStyle="1" w:styleId="2991">
    <w:name w:val="白洋淀目录"/>
    <w:basedOn w:val="1"/>
    <w:next w:val="59"/>
    <w:qFormat/>
    <w:uiPriority w:val="0"/>
    <w:pPr>
      <w:pBdr>
        <w:top w:val="single" w:color="auto" w:sz="4" w:space="1"/>
      </w:pBdr>
      <w:spacing w:line="360" w:lineRule="auto"/>
      <w:ind w:firstLine="200" w:firstLineChars="200"/>
    </w:pPr>
    <w:rPr>
      <w:rFonts w:cs="宋体"/>
      <w:sz w:val="24"/>
    </w:rPr>
  </w:style>
  <w:style w:type="paragraph" w:customStyle="1" w:styleId="2992">
    <w:name w:val="白洋淀前言"/>
    <w:basedOn w:val="1"/>
    <w:next w:val="2942"/>
    <w:qFormat/>
    <w:uiPriority w:val="0"/>
    <w:pPr>
      <w:pBdr>
        <w:top w:val="single" w:color="auto" w:sz="4" w:space="1"/>
      </w:pBdr>
      <w:spacing w:line="360" w:lineRule="auto"/>
      <w:ind w:firstLine="200" w:firstLineChars="200"/>
    </w:pPr>
    <w:rPr>
      <w:rFonts w:cs="宋体"/>
      <w:sz w:val="24"/>
    </w:rPr>
  </w:style>
  <w:style w:type="paragraph" w:customStyle="1" w:styleId="2993">
    <w:name w:val="标题三"/>
    <w:basedOn w:val="6"/>
    <w:qFormat/>
    <w:uiPriority w:val="0"/>
    <w:pPr>
      <w:numPr>
        <w:ilvl w:val="0"/>
        <w:numId w:val="0"/>
      </w:numPr>
      <w:tabs>
        <w:tab w:val="left" w:pos="900"/>
      </w:tabs>
      <w:adjustRightInd/>
      <w:snapToGrid/>
      <w:spacing w:before="120" w:after="60" w:line="480" w:lineRule="exact"/>
    </w:pPr>
    <w:rPr>
      <w:rFonts w:hAnsi="宋体" w:eastAsia="华文中宋"/>
      <w:b/>
      <w:color w:val="000000"/>
      <w:sz w:val="28"/>
      <w:szCs w:val="30"/>
    </w:rPr>
  </w:style>
  <w:style w:type="paragraph" w:customStyle="1" w:styleId="2994">
    <w:name w:val="样式 标题 1 + 居中"/>
    <w:basedOn w:val="4"/>
    <w:qFormat/>
    <w:uiPriority w:val="0"/>
    <w:pPr>
      <w:numPr>
        <w:numId w:val="0"/>
      </w:numPr>
      <w:tabs>
        <w:tab w:val="left" w:pos="92"/>
        <w:tab w:val="left" w:pos="432"/>
      </w:tabs>
      <w:adjustRightInd/>
      <w:snapToGrid/>
      <w:spacing w:line="360" w:lineRule="auto"/>
      <w:ind w:left="432" w:hanging="432"/>
      <w:jc w:val="center"/>
    </w:pPr>
    <w:rPr>
      <w:rFonts w:eastAsia="宋体" w:cs="宋体"/>
      <w:b/>
      <w:szCs w:val="20"/>
    </w:rPr>
  </w:style>
  <w:style w:type="paragraph" w:customStyle="1" w:styleId="2995">
    <w:name w:val="标题 二"/>
    <w:basedOn w:val="5"/>
    <w:qFormat/>
    <w:uiPriority w:val="0"/>
    <w:pPr>
      <w:numPr>
        <w:numId w:val="28"/>
      </w:numPr>
      <w:tabs>
        <w:tab w:val="left" w:pos="315"/>
      </w:tabs>
      <w:adjustRightInd/>
      <w:snapToGrid/>
      <w:spacing w:line="520" w:lineRule="exact"/>
      <w:jc w:val="both"/>
    </w:pPr>
    <w:rPr>
      <w:rFonts w:hAnsi="华文中宋" w:eastAsia="华文中宋" w:cs="宋体"/>
      <w:b/>
      <w:sz w:val="28"/>
      <w:szCs w:val="28"/>
    </w:rPr>
  </w:style>
  <w:style w:type="paragraph" w:customStyle="1" w:styleId="2996">
    <w:name w:val="标题（一）"/>
    <w:basedOn w:val="4"/>
    <w:qFormat/>
    <w:uiPriority w:val="0"/>
    <w:pPr>
      <w:numPr>
        <w:numId w:val="0"/>
      </w:numPr>
      <w:tabs>
        <w:tab w:val="left" w:pos="480"/>
      </w:tabs>
      <w:snapToGrid/>
      <w:spacing w:line="360" w:lineRule="auto"/>
      <w:jc w:val="center"/>
    </w:pPr>
    <w:rPr>
      <w:rFonts w:ascii="黑体" w:cs="宋体"/>
      <w:b/>
      <w:sz w:val="30"/>
      <w:szCs w:val="30"/>
    </w:rPr>
  </w:style>
  <w:style w:type="paragraph" w:customStyle="1" w:styleId="2997">
    <w:name w:val="TOC 标题11"/>
    <w:basedOn w:val="4"/>
    <w:next w:val="1"/>
    <w:qFormat/>
    <w:uiPriority w:val="39"/>
    <w:pPr>
      <w:widowControl/>
      <w:numPr>
        <w:numId w:val="0"/>
      </w:numPr>
      <w:adjustRightInd/>
      <w:snapToGrid/>
      <w:spacing w:afterLines="0" w:line="276" w:lineRule="auto"/>
      <w:outlineLvl w:val="9"/>
    </w:pPr>
    <w:rPr>
      <w:rFonts w:ascii="Cambria" w:hAnsi="Cambria" w:eastAsia="宋体"/>
      <w:b/>
      <w:color w:val="365F91"/>
      <w:kern w:val="0"/>
      <w:sz w:val="28"/>
      <w:szCs w:val="28"/>
    </w:rPr>
  </w:style>
  <w:style w:type="paragraph" w:customStyle="1" w:styleId="2998">
    <w:name w:val="样式 标题 3h33rd levelH33Head 3level_3PIM 3Level 3 Head二级节名..."/>
    <w:basedOn w:val="6"/>
    <w:qFormat/>
    <w:uiPriority w:val="0"/>
    <w:pPr>
      <w:numPr>
        <w:ilvl w:val="0"/>
        <w:numId w:val="0"/>
      </w:numPr>
      <w:tabs>
        <w:tab w:val="left" w:pos="754"/>
      </w:tabs>
      <w:adjustRightInd/>
      <w:snapToGrid/>
      <w:spacing w:before="260" w:after="260" w:line="400" w:lineRule="exact"/>
      <w:jc w:val="left"/>
    </w:pPr>
    <w:rPr>
      <w:rFonts w:hAnsi="宋体" w:eastAsia="宋体" w:cs="宋体"/>
      <w:b/>
      <w:color w:val="000000"/>
      <w:szCs w:val="20"/>
    </w:rPr>
  </w:style>
  <w:style w:type="paragraph" w:customStyle="1" w:styleId="2999">
    <w:name w:val="样式 表中文字 + 两端对齐"/>
    <w:basedOn w:val="1"/>
    <w:semiHidden/>
    <w:qFormat/>
    <w:uiPriority w:val="0"/>
    <w:pPr>
      <w:shd w:val="clear" w:color="auto" w:fill="FFFFFF"/>
      <w:tabs>
        <w:tab w:val="left" w:pos="3286"/>
        <w:tab w:val="left" w:pos="8362"/>
      </w:tabs>
      <w:snapToGrid w:val="0"/>
      <w:spacing w:line="320" w:lineRule="exact"/>
    </w:pPr>
    <w:rPr>
      <w:rFonts w:ascii="Arial" w:hAnsi="Arial" w:eastAsia="楷体_GB2312" w:cs="宋体"/>
      <w:szCs w:val="21"/>
    </w:rPr>
  </w:style>
  <w:style w:type="paragraph" w:customStyle="1" w:styleId="3000">
    <w:name w:val="Char Char Char1 Char Char Char1 Char Char Char Char Char Char Char Char Char Char Char Char Char Char Char"/>
    <w:basedOn w:val="1"/>
    <w:qFormat/>
    <w:uiPriority w:val="0"/>
    <w:pPr>
      <w:spacing w:line="240" w:lineRule="exact"/>
      <w:ind w:firstLine="200" w:firstLineChars="200"/>
    </w:pPr>
    <w:rPr>
      <w:sz w:val="28"/>
      <w:szCs w:val="28"/>
    </w:rPr>
  </w:style>
  <w:style w:type="character" w:customStyle="1" w:styleId="3001">
    <w:name w:val="黑体标题 Char"/>
    <w:link w:val="3002"/>
    <w:semiHidden/>
    <w:qFormat/>
    <w:uiPriority w:val="0"/>
    <w:rPr>
      <w:rFonts w:ascii="宋体" w:hAnsi="宋体" w:eastAsia="宋体"/>
      <w:sz w:val="28"/>
    </w:rPr>
  </w:style>
  <w:style w:type="paragraph" w:customStyle="1" w:styleId="3002">
    <w:name w:val="黑体标题"/>
    <w:basedOn w:val="1"/>
    <w:link w:val="3001"/>
    <w:semiHidden/>
    <w:qFormat/>
    <w:uiPriority w:val="0"/>
    <w:pPr>
      <w:spacing w:line="500" w:lineRule="exact"/>
      <w:ind w:firstLine="560" w:firstLineChars="200"/>
    </w:pPr>
    <w:rPr>
      <w:rFonts w:ascii="宋体" w:hAnsi="宋体"/>
      <w:sz w:val="28"/>
      <w:szCs w:val="22"/>
    </w:rPr>
  </w:style>
  <w:style w:type="paragraph" w:customStyle="1" w:styleId="3003">
    <w:name w:val="默认段落字体 Para Char Char Char Char Char Char Char Char Char Char Char Char Char Char Char"/>
    <w:basedOn w:val="27"/>
    <w:qFormat/>
    <w:uiPriority w:val="0"/>
    <w:rPr>
      <w:rFonts w:ascii="Tahoma" w:hAnsi="Tahoma"/>
      <w:sz w:val="24"/>
    </w:rPr>
  </w:style>
  <w:style w:type="paragraph" w:customStyle="1" w:styleId="3004">
    <w:name w:val="mp"/>
    <w:basedOn w:val="1"/>
    <w:qFormat/>
    <w:uiPriority w:val="0"/>
    <w:pPr>
      <w:widowControl/>
      <w:spacing w:before="100" w:beforeAutospacing="1" w:after="100" w:afterAutospacing="1" w:line="400" w:lineRule="atLeast"/>
      <w:ind w:firstLine="360"/>
    </w:pPr>
    <w:rPr>
      <w:rFonts w:ascii="ˎ̥" w:hAnsi="ˎ̥" w:cs="宋体"/>
      <w:color w:val="454D63"/>
      <w:kern w:val="0"/>
      <w:sz w:val="24"/>
    </w:rPr>
  </w:style>
  <w:style w:type="paragraph" w:customStyle="1" w:styleId="3005">
    <w:name w:val="样式 正文缩进正文缩进 Char正文缩进1 Char正文缩进1正文（首行缩进两字） Char正文缩进 Char Cha..."/>
    <w:basedOn w:val="22"/>
    <w:qFormat/>
    <w:uiPriority w:val="0"/>
    <w:pPr>
      <w:spacing w:beforeLines="50" w:line="360" w:lineRule="auto"/>
      <w:ind w:firstLine="567" w:firstLineChars="0"/>
      <w:jc w:val="left"/>
    </w:pPr>
    <w:rPr>
      <w:rFonts w:cs="宋体"/>
      <w:sz w:val="24"/>
      <w:szCs w:val="20"/>
    </w:rPr>
  </w:style>
  <w:style w:type="paragraph" w:customStyle="1" w:styleId="3006">
    <w:name w:val="样式 图表"/>
    <w:basedOn w:val="1"/>
    <w:qFormat/>
    <w:uiPriority w:val="0"/>
    <w:pPr>
      <w:adjustRightInd w:val="0"/>
      <w:spacing w:line="360" w:lineRule="auto"/>
      <w:jc w:val="center"/>
    </w:pPr>
    <w:rPr>
      <w:b/>
      <w:bCs/>
      <w:kern w:val="0"/>
      <w:sz w:val="24"/>
    </w:rPr>
  </w:style>
  <w:style w:type="paragraph" w:customStyle="1" w:styleId="3007">
    <w:name w:val="样式 正文文本缩进 + 左侧:  0.95 厘米 首行缩进:  0.63 厘米"/>
    <w:basedOn w:val="35"/>
    <w:qFormat/>
    <w:uiPriority w:val="0"/>
    <w:pPr>
      <w:spacing w:line="480" w:lineRule="exact"/>
      <w:ind w:firstLine="480" w:firstLineChars="200"/>
    </w:pPr>
    <w:rPr>
      <w:rFonts w:ascii="宋体" w:hAnsi="宋体"/>
      <w:color w:val="000000"/>
      <w:sz w:val="24"/>
      <w:szCs w:val="24"/>
    </w:rPr>
  </w:style>
  <w:style w:type="paragraph" w:customStyle="1" w:styleId="3008">
    <w:name w:val="样式 表头样式1 + 首行缩进:  2 字符 段前: 0.5 行"/>
    <w:basedOn w:val="2818"/>
    <w:qFormat/>
    <w:uiPriority w:val="0"/>
    <w:pPr>
      <w:spacing w:after="100" w:afterAutospacing="1" w:line="360" w:lineRule="auto"/>
      <w:ind w:firstLine="480" w:firstLineChars="200"/>
    </w:pPr>
    <w:rPr>
      <w:rFonts w:ascii="Times New Roman" w:hAnsi="Times New Roman" w:cs="宋体"/>
      <w:bCs/>
      <w:szCs w:val="20"/>
    </w:rPr>
  </w:style>
  <w:style w:type="paragraph" w:customStyle="1" w:styleId="3009">
    <w:name w:val="样式 标题 4 + 段前: 7.8 磅"/>
    <w:basedOn w:val="7"/>
    <w:qFormat/>
    <w:uiPriority w:val="0"/>
    <w:pPr>
      <w:numPr>
        <w:ilvl w:val="0"/>
        <w:numId w:val="0"/>
      </w:numPr>
      <w:adjustRightInd/>
      <w:snapToGrid/>
      <w:spacing w:line="500" w:lineRule="exact"/>
      <w:outlineLvl w:val="0"/>
    </w:pPr>
    <w:rPr>
      <w:rFonts w:ascii="Arial" w:hAnsi="Arial" w:eastAsia="仿宋_GB2312" w:cs="Arial"/>
      <w:b/>
      <w:bCs w:val="0"/>
      <w:sz w:val="24"/>
      <w:szCs w:val="21"/>
    </w:rPr>
  </w:style>
  <w:style w:type="paragraph" w:customStyle="1" w:styleId="3010">
    <w:name w:val="样式 正文文本 + 首行缩进:  2 字符4"/>
    <w:basedOn w:val="2"/>
    <w:qFormat/>
    <w:uiPriority w:val="0"/>
    <w:pPr>
      <w:adjustRightInd w:val="0"/>
      <w:spacing w:after="0" w:line="240" w:lineRule="auto"/>
      <w:ind w:firstLine="0" w:firstLineChars="0"/>
    </w:pPr>
    <w:rPr>
      <w:rFonts w:eastAsia="仿宋_GB2312" w:cs="宋体"/>
      <w:snapToGrid/>
      <w:color w:val="000000"/>
      <w:kern w:val="2"/>
      <w:sz w:val="21"/>
      <w:szCs w:val="21"/>
    </w:rPr>
  </w:style>
  <w:style w:type="paragraph" w:customStyle="1" w:styleId="3011">
    <w:name w:val="样式 标题 3 + (西文)粗体"/>
    <w:basedOn w:val="6"/>
    <w:qFormat/>
    <w:uiPriority w:val="0"/>
    <w:pPr>
      <w:numPr>
        <w:ilvl w:val="0"/>
        <w:numId w:val="0"/>
      </w:numPr>
      <w:adjustRightInd/>
      <w:snapToGrid/>
      <w:spacing w:before="260" w:after="260" w:line="415" w:lineRule="auto"/>
    </w:pPr>
    <w:rPr>
      <w:rFonts w:ascii="Arial" w:hAnsi="Arial" w:eastAsia="仿宋_GB2312" w:cs="Angsana New"/>
      <w:b/>
      <w:sz w:val="24"/>
    </w:rPr>
  </w:style>
  <w:style w:type="paragraph" w:customStyle="1" w:styleId="3012">
    <w:name w:val="Char Char Char1 Char Char Char Char Char Char Char Char Char"/>
    <w:basedOn w:val="1"/>
    <w:qFormat/>
    <w:uiPriority w:val="0"/>
    <w:rPr>
      <w:rFonts w:ascii="黑体" w:hAnsi="黑体" w:eastAsia="黑体"/>
      <w:b/>
      <w:spacing w:val="10"/>
      <w:sz w:val="28"/>
      <w:szCs w:val="20"/>
    </w:rPr>
  </w:style>
  <w:style w:type="paragraph" w:customStyle="1" w:styleId="3013">
    <w:name w:val="lit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3014">
    <w:name w:val="封面单位"/>
    <w:basedOn w:val="1"/>
    <w:qFormat/>
    <w:uiPriority w:val="0"/>
    <w:pPr>
      <w:tabs>
        <w:tab w:val="center" w:pos="8222"/>
      </w:tabs>
      <w:spacing w:line="360" w:lineRule="auto"/>
      <w:jc w:val="center"/>
    </w:pPr>
    <w:rPr>
      <w:rFonts w:ascii="楷体_GB2312" w:eastAsia="楷体_GB2312" w:cs="楷体_GB2312"/>
      <w:b/>
      <w:bCs/>
      <w:sz w:val="36"/>
      <w:szCs w:val="36"/>
    </w:rPr>
  </w:style>
  <w:style w:type="paragraph" w:customStyle="1" w:styleId="3015">
    <w:name w:val="样式 左侧:  -0.16 厘米"/>
    <w:basedOn w:val="1"/>
    <w:qFormat/>
    <w:uiPriority w:val="0"/>
    <w:pPr>
      <w:snapToGrid w:val="0"/>
      <w:ind w:left="-90"/>
    </w:pPr>
    <w:rPr>
      <w:rFonts w:ascii="宋体" w:hAnsi="宋体" w:cs="宋体"/>
      <w:kern w:val="0"/>
      <w:sz w:val="24"/>
    </w:rPr>
  </w:style>
  <w:style w:type="paragraph" w:customStyle="1" w:styleId="3016">
    <w:name w:val="样式 五号 居中"/>
    <w:basedOn w:val="1"/>
    <w:qFormat/>
    <w:uiPriority w:val="0"/>
    <w:pPr>
      <w:snapToGrid w:val="0"/>
      <w:jc w:val="center"/>
    </w:pPr>
    <w:rPr>
      <w:rFonts w:ascii="宋体" w:hAnsi="宋体" w:cs="宋体"/>
      <w:kern w:val="0"/>
      <w:szCs w:val="21"/>
    </w:rPr>
  </w:style>
  <w:style w:type="paragraph" w:customStyle="1" w:styleId="3017">
    <w:name w:val="样式 左侧:  -0.16 厘米1"/>
    <w:basedOn w:val="1"/>
    <w:qFormat/>
    <w:uiPriority w:val="0"/>
    <w:pPr>
      <w:snapToGrid w:val="0"/>
      <w:ind w:left="-90"/>
    </w:pPr>
    <w:rPr>
      <w:rFonts w:ascii="宋体" w:hAnsi="宋体" w:cs="宋体"/>
      <w:kern w:val="0"/>
      <w:sz w:val="24"/>
    </w:rPr>
  </w:style>
  <w:style w:type="paragraph" w:customStyle="1" w:styleId="3018">
    <w:name w:val="样式 首行缩进:  0.77 厘米 行距: 1.5 倍行距"/>
    <w:basedOn w:val="1"/>
    <w:qFormat/>
    <w:uiPriority w:val="0"/>
    <w:pPr>
      <w:snapToGrid w:val="0"/>
      <w:spacing w:line="360" w:lineRule="auto"/>
      <w:ind w:firstLine="435"/>
    </w:pPr>
    <w:rPr>
      <w:rFonts w:ascii="宋体" w:hAnsi="宋体" w:cs="宋体"/>
      <w:kern w:val="0"/>
      <w:sz w:val="24"/>
    </w:rPr>
  </w:style>
  <w:style w:type="paragraph" w:customStyle="1" w:styleId="3019">
    <w:name w:val="初设正文"/>
    <w:basedOn w:val="1"/>
    <w:qFormat/>
    <w:uiPriority w:val="0"/>
    <w:pPr>
      <w:spacing w:after="120" w:line="440" w:lineRule="exact"/>
      <w:ind w:left="425" w:firstLine="425"/>
    </w:pPr>
    <w:rPr>
      <w:rFonts w:ascii="Arial" w:hAnsi="Arial" w:cs="宋体"/>
      <w:kern w:val="0"/>
      <w:sz w:val="24"/>
      <w:szCs w:val="20"/>
    </w:rPr>
  </w:style>
  <w:style w:type="paragraph" w:customStyle="1" w:styleId="3020">
    <w:name w:val="引言"/>
    <w:basedOn w:val="1"/>
    <w:next w:val="1"/>
    <w:qFormat/>
    <w:uiPriority w:val="0"/>
    <w:pPr>
      <w:snapToGrid w:val="0"/>
      <w:jc w:val="center"/>
    </w:pPr>
    <w:rPr>
      <w:rFonts w:ascii="仿宋_GB2312" w:eastAsia="仿宋_GB2312"/>
      <w:color w:val="000000"/>
      <w:sz w:val="24"/>
    </w:rPr>
  </w:style>
  <w:style w:type="paragraph" w:customStyle="1" w:styleId="3021">
    <w:name w:val="Char Char Char Char Char Char Char Char Char Char Char Char Char Char Char Char Char Char Char Char Char Char Char Char Char Char Char Char"/>
    <w:basedOn w:val="1"/>
    <w:qFormat/>
    <w:uiPriority w:val="0"/>
    <w:rPr>
      <w:sz w:val="24"/>
    </w:rPr>
  </w:style>
  <w:style w:type="paragraph" w:customStyle="1" w:styleId="3022">
    <w:name w:val="Char Char Char Char Char Char Char Char Char Char Char Char Char Char Char Char Char Char Char Char Char Char Char Char Char Char Char Char Char Char Char Char Char Char"/>
    <w:basedOn w:val="1"/>
    <w:qFormat/>
    <w:uiPriority w:val="0"/>
    <w:rPr>
      <w:sz w:val="24"/>
    </w:rPr>
  </w:style>
  <w:style w:type="character" w:customStyle="1" w:styleId="3023">
    <w:name w:val="chang正文 Char"/>
    <w:link w:val="3024"/>
    <w:qFormat/>
    <w:uiPriority w:val="0"/>
    <w:rPr>
      <w:rFonts w:ascii="宋体" w:hAnsi="宋体" w:eastAsia="宋体" w:cs="宋体"/>
      <w:sz w:val="24"/>
      <w:szCs w:val="24"/>
    </w:rPr>
  </w:style>
  <w:style w:type="paragraph" w:customStyle="1" w:styleId="3024">
    <w:name w:val="chang正文"/>
    <w:basedOn w:val="1"/>
    <w:link w:val="3023"/>
    <w:qFormat/>
    <w:uiPriority w:val="0"/>
    <w:pPr>
      <w:spacing w:line="360" w:lineRule="auto"/>
      <w:ind w:firstLine="200" w:firstLineChars="200"/>
    </w:pPr>
    <w:rPr>
      <w:rFonts w:ascii="宋体" w:hAnsi="宋体" w:cs="宋体"/>
      <w:sz w:val="24"/>
    </w:rPr>
  </w:style>
  <w:style w:type="paragraph" w:customStyle="1" w:styleId="3025">
    <w:name w:val="xl749"/>
    <w:basedOn w:val="1"/>
    <w:qFormat/>
    <w:uiPriority w:val="0"/>
    <w:pPr>
      <w:widowControl/>
      <w:spacing w:before="100" w:beforeAutospacing="1" w:after="100" w:afterAutospacing="1"/>
      <w:jc w:val="center"/>
    </w:pPr>
    <w:rPr>
      <w:rFonts w:ascii="Courier New" w:hAnsi="Courier New" w:eastAsia="Arial Unicode MS"/>
      <w:b/>
      <w:bCs/>
      <w:kern w:val="0"/>
      <w:sz w:val="44"/>
      <w:szCs w:val="44"/>
    </w:rPr>
  </w:style>
  <w:style w:type="paragraph" w:customStyle="1" w:styleId="3026">
    <w:name w:val="ISO标题4"/>
    <w:qFormat/>
    <w:uiPriority w:val="0"/>
    <w:pPr>
      <w:tabs>
        <w:tab w:val="left" w:pos="420"/>
        <w:tab w:val="left" w:pos="1280"/>
        <w:tab w:val="left" w:pos="1440"/>
        <w:tab w:val="left" w:pos="2240"/>
      </w:tabs>
      <w:ind w:left="2240" w:hanging="420"/>
      <w:outlineLvl w:val="3"/>
    </w:pPr>
    <w:rPr>
      <w:rFonts w:ascii="宋体" w:hAnsi="宋体" w:eastAsia="宋体" w:cs="Times New Roman"/>
      <w:color w:val="000000"/>
      <w:sz w:val="24"/>
      <w:lang w:val="en-US" w:eastAsia="zh-CN" w:bidi="ar-SA"/>
    </w:rPr>
  </w:style>
  <w:style w:type="character" w:customStyle="1" w:styleId="3027">
    <w:name w:val="大港正文 Char"/>
    <w:link w:val="3028"/>
    <w:qFormat/>
    <w:uiPriority w:val="0"/>
    <w:rPr>
      <w:rFonts w:ascii="宋体" w:hAnsi="宋体" w:eastAsia="宋体"/>
      <w:sz w:val="24"/>
      <w:szCs w:val="24"/>
    </w:rPr>
  </w:style>
  <w:style w:type="paragraph" w:customStyle="1" w:styleId="3028">
    <w:name w:val="大港正文"/>
    <w:basedOn w:val="1"/>
    <w:next w:val="1"/>
    <w:link w:val="3027"/>
    <w:qFormat/>
    <w:uiPriority w:val="0"/>
    <w:pPr>
      <w:adjustRightInd w:val="0"/>
      <w:snapToGrid w:val="0"/>
      <w:spacing w:line="360" w:lineRule="auto"/>
      <w:ind w:firstLine="540" w:firstLineChars="225"/>
    </w:pPr>
    <w:rPr>
      <w:rFonts w:ascii="宋体" w:hAnsi="宋体"/>
      <w:sz w:val="24"/>
    </w:rPr>
  </w:style>
  <w:style w:type="paragraph" w:customStyle="1" w:styleId="3029">
    <w:name w:val="表格的文字"/>
    <w:basedOn w:val="1"/>
    <w:qFormat/>
    <w:uiPriority w:val="0"/>
    <w:pPr>
      <w:spacing w:line="300" w:lineRule="exact"/>
      <w:jc w:val="center"/>
    </w:pPr>
    <w:rPr>
      <w:rFonts w:ascii="仿宋_GB2312" w:hAnsi="宋体" w:eastAsia="仿宋_GB2312"/>
      <w:bCs/>
      <w:color w:val="000000"/>
      <w:szCs w:val="20"/>
    </w:rPr>
  </w:style>
  <w:style w:type="paragraph" w:customStyle="1" w:styleId="3030">
    <w:name w:val="Char Char Char1 Char Char Char Char Char Char Char Char Char Char Char Char Char Char Char Char"/>
    <w:basedOn w:val="1"/>
    <w:qFormat/>
    <w:uiPriority w:val="0"/>
    <w:pPr>
      <w:spacing w:line="240" w:lineRule="exact"/>
      <w:ind w:firstLine="200" w:firstLineChars="200"/>
    </w:pPr>
    <w:rPr>
      <w:sz w:val="28"/>
      <w:szCs w:val="28"/>
    </w:rPr>
  </w:style>
  <w:style w:type="paragraph" w:customStyle="1" w:styleId="3031">
    <w:name w:val="Char1 Char Char Char Char Char1 Char1"/>
    <w:basedOn w:val="1"/>
    <w:qFormat/>
    <w:uiPriority w:val="0"/>
    <w:rPr>
      <w:szCs w:val="21"/>
    </w:rPr>
  </w:style>
  <w:style w:type="paragraph" w:customStyle="1" w:styleId="3032">
    <w:name w:val="表题123"/>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033">
    <w:name w:val="正文格式53"/>
    <w:basedOn w:val="1"/>
    <w:qFormat/>
    <w:uiPriority w:val="0"/>
    <w:pPr>
      <w:spacing w:line="360" w:lineRule="auto"/>
      <w:ind w:firstLine="482"/>
    </w:pPr>
    <w:rPr>
      <w:rFonts w:ascii="宋体" w:hAnsi="宋体"/>
      <w:sz w:val="24"/>
    </w:rPr>
  </w:style>
  <w:style w:type="paragraph" w:customStyle="1" w:styleId="3034">
    <w:name w:val="表题2113"/>
    <w:basedOn w:val="1"/>
    <w:qFormat/>
    <w:uiPriority w:val="0"/>
    <w:pPr>
      <w:widowControl/>
      <w:adjustRightInd w:val="0"/>
      <w:snapToGrid w:val="0"/>
      <w:jc w:val="center"/>
    </w:pPr>
    <w:rPr>
      <w:rFonts w:ascii="黑体" w:hAnsi="宋体" w:eastAsia="黑体" w:cs="宋体"/>
      <w:kern w:val="0"/>
      <w:sz w:val="24"/>
    </w:rPr>
  </w:style>
  <w:style w:type="paragraph" w:customStyle="1" w:styleId="3035">
    <w:name w:val="表内宋5中14"/>
    <w:basedOn w:val="1"/>
    <w:qFormat/>
    <w:uiPriority w:val="0"/>
    <w:pPr>
      <w:adjustRightInd w:val="0"/>
      <w:snapToGrid w:val="0"/>
      <w:jc w:val="center"/>
    </w:pPr>
    <w:rPr>
      <w:rFonts w:ascii="宋体" w:hAnsi="宋体" w:cs="宋体"/>
      <w:kern w:val="0"/>
      <w:szCs w:val="20"/>
    </w:rPr>
  </w:style>
  <w:style w:type="paragraph" w:customStyle="1" w:styleId="3036">
    <w:name w:val="表内文字小113"/>
    <w:basedOn w:val="1"/>
    <w:qFormat/>
    <w:uiPriority w:val="0"/>
    <w:pPr>
      <w:adjustRightInd w:val="0"/>
      <w:snapToGrid w:val="0"/>
    </w:pPr>
    <w:rPr>
      <w:rFonts w:ascii="宋体" w:hAnsi="Times" w:cs="宋体"/>
      <w:szCs w:val="20"/>
    </w:rPr>
  </w:style>
  <w:style w:type="paragraph" w:customStyle="1" w:styleId="3037">
    <w:name w:val="表题1413"/>
    <w:basedOn w:val="1"/>
    <w:qFormat/>
    <w:uiPriority w:val="0"/>
    <w:pPr>
      <w:widowControl/>
      <w:adjustRightInd w:val="0"/>
      <w:snapToGrid w:val="0"/>
      <w:jc w:val="center"/>
    </w:pPr>
    <w:rPr>
      <w:rFonts w:ascii="黑体" w:hAnsi="宋体" w:eastAsia="黑体" w:cs="宋体"/>
      <w:kern w:val="0"/>
      <w:sz w:val="24"/>
    </w:rPr>
  </w:style>
  <w:style w:type="paragraph" w:customStyle="1" w:styleId="3038">
    <w:name w:val="表内文字小83"/>
    <w:basedOn w:val="1"/>
    <w:qFormat/>
    <w:uiPriority w:val="0"/>
    <w:pPr>
      <w:adjustRightInd w:val="0"/>
      <w:snapToGrid w:val="0"/>
      <w:jc w:val="center"/>
    </w:pPr>
    <w:rPr>
      <w:rFonts w:ascii="宋体" w:hAnsi="Times" w:cs="宋体"/>
      <w:szCs w:val="20"/>
    </w:rPr>
  </w:style>
  <w:style w:type="paragraph" w:customStyle="1" w:styleId="3039">
    <w:name w:val="Default3"/>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040">
    <w:name w:val="正文格式73"/>
    <w:basedOn w:val="1"/>
    <w:qFormat/>
    <w:uiPriority w:val="0"/>
    <w:pPr>
      <w:spacing w:line="360" w:lineRule="auto"/>
      <w:ind w:firstLine="482"/>
    </w:pPr>
    <w:rPr>
      <w:rFonts w:ascii="宋体" w:hAnsi="宋体"/>
      <w:sz w:val="24"/>
    </w:rPr>
  </w:style>
  <w:style w:type="paragraph" w:customStyle="1" w:styleId="3041">
    <w:name w:val="表题144"/>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042">
    <w:name w:val="表中文字33"/>
    <w:basedOn w:val="1"/>
    <w:qFormat/>
    <w:uiPriority w:val="0"/>
    <w:pPr>
      <w:widowControl/>
      <w:spacing w:line="240" w:lineRule="atLeast"/>
      <w:ind w:left="-24" w:leftChars="-10" w:right="-48" w:rightChars="-20"/>
      <w:jc w:val="center"/>
    </w:pPr>
    <w:rPr>
      <w:rFonts w:ascii="宋体"/>
      <w:kern w:val="0"/>
      <w:szCs w:val="21"/>
    </w:rPr>
  </w:style>
  <w:style w:type="character" w:customStyle="1" w:styleId="3043">
    <w:name w:val="燕山正文 Char1"/>
    <w:qFormat/>
    <w:uiPriority w:val="0"/>
    <w:rPr>
      <w:rFonts w:ascii="宋体" w:hAnsi="宋体" w:eastAsia="宋体" w:cs="宋体"/>
      <w:sz w:val="24"/>
      <w:szCs w:val="24"/>
    </w:rPr>
  </w:style>
  <w:style w:type="character" w:customStyle="1" w:styleId="3044">
    <w:name w:val="正文修改 Char1"/>
    <w:link w:val="3045"/>
    <w:qFormat/>
    <w:uiPriority w:val="0"/>
    <w:rPr>
      <w:rFonts w:ascii="宋体" w:hAnsi="宋体" w:eastAsia="宋体" w:cs="宋体"/>
      <w:color w:val="000000"/>
      <w:sz w:val="24"/>
      <w:szCs w:val="24"/>
    </w:rPr>
  </w:style>
  <w:style w:type="paragraph" w:customStyle="1" w:styleId="3045">
    <w:name w:val="正文修改"/>
    <w:basedOn w:val="280"/>
    <w:link w:val="3044"/>
    <w:qFormat/>
    <w:uiPriority w:val="0"/>
    <w:pPr>
      <w:spacing w:line="480" w:lineRule="exact"/>
      <w:ind w:firstLine="0" w:firstLineChars="0"/>
      <w:jc w:val="both"/>
    </w:pPr>
    <w:rPr>
      <w:rFonts w:cs="宋体"/>
      <w:szCs w:val="24"/>
    </w:rPr>
  </w:style>
  <w:style w:type="paragraph" w:customStyle="1" w:styleId="3046">
    <w:name w:val="图题6"/>
    <w:basedOn w:val="1192"/>
    <w:next w:val="1192"/>
    <w:qFormat/>
    <w:uiPriority w:val="0"/>
    <w:pPr>
      <w:adjustRightInd/>
      <w:snapToGrid/>
      <w:ind w:firstLine="0" w:firstLineChars="0"/>
      <w:jc w:val="center"/>
    </w:pPr>
    <w:rPr>
      <w:rFonts w:hint="eastAsia" w:ascii="黑体" w:hAnsi="宋体" w:eastAsia="黑体" w:cs="宋体"/>
      <w:b/>
      <w:bCs/>
      <w:szCs w:val="24"/>
    </w:rPr>
  </w:style>
  <w:style w:type="character" w:customStyle="1" w:styleId="3047">
    <w:name w:val="图表题 Char"/>
    <w:link w:val="3048"/>
    <w:qFormat/>
    <w:uiPriority w:val="0"/>
    <w:rPr>
      <w:rFonts w:ascii="黑体" w:hAnsi="宋体" w:eastAsia="黑体" w:cs="宋体"/>
      <w:b/>
      <w:bCs/>
      <w:sz w:val="24"/>
      <w:szCs w:val="24"/>
    </w:rPr>
  </w:style>
  <w:style w:type="paragraph" w:customStyle="1" w:styleId="3048">
    <w:name w:val="图表题"/>
    <w:basedOn w:val="1192"/>
    <w:next w:val="1192"/>
    <w:link w:val="3047"/>
    <w:qFormat/>
    <w:uiPriority w:val="0"/>
    <w:pPr>
      <w:adjustRightInd/>
      <w:snapToGrid/>
      <w:ind w:firstLine="0" w:firstLineChars="0"/>
      <w:jc w:val="center"/>
    </w:pPr>
    <w:rPr>
      <w:rFonts w:ascii="黑体" w:hAnsi="宋体" w:eastAsia="黑体" w:cs="宋体"/>
      <w:b/>
      <w:bCs/>
      <w:szCs w:val="24"/>
    </w:rPr>
  </w:style>
  <w:style w:type="character" w:customStyle="1" w:styleId="3049">
    <w:name w:val="样式 表格内字体 + Char"/>
    <w:link w:val="3050"/>
    <w:qFormat/>
    <w:uiPriority w:val="0"/>
    <w:rPr>
      <w:rFonts w:ascii="宋体" w:hAnsi="宋体" w:eastAsia="宋体" w:cs="宋体"/>
      <w:szCs w:val="24"/>
    </w:rPr>
  </w:style>
  <w:style w:type="paragraph" w:customStyle="1" w:styleId="3050">
    <w:name w:val="样式 表格内字体 +"/>
    <w:basedOn w:val="1491"/>
    <w:link w:val="3049"/>
    <w:qFormat/>
    <w:uiPriority w:val="0"/>
    <w:pPr>
      <w:spacing w:line="280" w:lineRule="exact"/>
      <w:ind w:firstLine="36"/>
      <w:jc w:val="both"/>
    </w:pPr>
    <w:rPr>
      <w:rFonts w:hAnsi="宋体"/>
      <w:szCs w:val="24"/>
    </w:rPr>
  </w:style>
  <w:style w:type="character" w:customStyle="1" w:styleId="3051">
    <w:name w:val="A正文 Char"/>
    <w:link w:val="3052"/>
    <w:qFormat/>
    <w:uiPriority w:val="0"/>
    <w:rPr>
      <w:rFonts w:ascii="仿宋_GB2312" w:eastAsia="仿宋_GB2312"/>
      <w:sz w:val="24"/>
      <w:szCs w:val="24"/>
    </w:rPr>
  </w:style>
  <w:style w:type="paragraph" w:customStyle="1" w:styleId="3052">
    <w:name w:val="A正文"/>
    <w:basedOn w:val="1"/>
    <w:link w:val="3051"/>
    <w:qFormat/>
    <w:uiPriority w:val="0"/>
    <w:pPr>
      <w:widowControl/>
      <w:overflowPunct w:val="0"/>
      <w:autoSpaceDE w:val="0"/>
      <w:autoSpaceDN w:val="0"/>
      <w:adjustRightInd w:val="0"/>
      <w:spacing w:line="360" w:lineRule="auto"/>
      <w:ind w:firstLine="200" w:firstLineChars="200"/>
      <w:jc w:val="left"/>
    </w:pPr>
    <w:rPr>
      <w:rFonts w:ascii="仿宋_GB2312" w:hAnsi="Calibri" w:eastAsia="仿宋_GB2312"/>
      <w:sz w:val="24"/>
    </w:rPr>
  </w:style>
  <w:style w:type="character" w:customStyle="1" w:styleId="3053">
    <w:name w:val="图题注 Char"/>
    <w:link w:val="1510"/>
    <w:qFormat/>
    <w:uiPriority w:val="0"/>
    <w:rPr>
      <w:rFonts w:ascii="黑体" w:hAnsi="Arial" w:eastAsia="黑体" w:cs="宋体"/>
      <w:b/>
      <w:bCs/>
      <w:sz w:val="24"/>
      <w:szCs w:val="24"/>
    </w:rPr>
  </w:style>
  <w:style w:type="paragraph" w:customStyle="1" w:styleId="3054">
    <w:name w:val="表中文字4"/>
    <w:basedOn w:val="1"/>
    <w:qFormat/>
    <w:uiPriority w:val="0"/>
    <w:pPr>
      <w:snapToGrid w:val="0"/>
      <w:spacing w:line="340" w:lineRule="exact"/>
      <w:ind w:firstLine="480" w:firstLineChars="200"/>
      <w:jc w:val="center"/>
    </w:pPr>
    <w:rPr>
      <w:rFonts w:ascii="Arial" w:hAnsi="Arial" w:cs="Arial"/>
      <w:lang w:eastAsia="zh-TW"/>
    </w:rPr>
  </w:style>
  <w:style w:type="character" w:customStyle="1" w:styleId="3055">
    <w:name w:val="样式 正文缩进 + 宋体 黑色 Char"/>
    <w:link w:val="3056"/>
    <w:qFormat/>
    <w:uiPriority w:val="0"/>
    <w:rPr>
      <w:rFonts w:ascii="宋体" w:hAnsi="宋体" w:eastAsia="宋体"/>
      <w:color w:val="000000"/>
      <w:sz w:val="24"/>
      <w:szCs w:val="24"/>
    </w:rPr>
  </w:style>
  <w:style w:type="paragraph" w:customStyle="1" w:styleId="3056">
    <w:name w:val="样式 正文缩进 + 宋体 黑色"/>
    <w:basedOn w:val="22"/>
    <w:link w:val="3055"/>
    <w:qFormat/>
    <w:uiPriority w:val="0"/>
    <w:pPr>
      <w:spacing w:line="360" w:lineRule="auto"/>
      <w:ind w:firstLine="200"/>
      <w:jc w:val="left"/>
    </w:pPr>
    <w:rPr>
      <w:rFonts w:ascii="宋体" w:hAnsi="宋体"/>
      <w:color w:val="000000"/>
      <w:sz w:val="24"/>
    </w:rPr>
  </w:style>
  <w:style w:type="character" w:customStyle="1" w:styleId="3057">
    <w:name w:val="表内5 Char"/>
    <w:link w:val="3058"/>
    <w:qFormat/>
    <w:uiPriority w:val="0"/>
    <w:rPr>
      <w:rFonts w:ascii="宋体" w:hAnsi="宋体" w:eastAsia="宋体"/>
    </w:rPr>
  </w:style>
  <w:style w:type="paragraph" w:customStyle="1" w:styleId="3058">
    <w:name w:val="表内51"/>
    <w:basedOn w:val="1"/>
    <w:link w:val="3057"/>
    <w:qFormat/>
    <w:uiPriority w:val="0"/>
    <w:pPr>
      <w:adjustRightInd w:val="0"/>
      <w:snapToGrid w:val="0"/>
      <w:jc w:val="center"/>
    </w:pPr>
    <w:rPr>
      <w:rFonts w:ascii="宋体" w:hAnsi="宋体"/>
      <w:szCs w:val="22"/>
    </w:rPr>
  </w:style>
  <w:style w:type="character" w:customStyle="1" w:styleId="3059">
    <w:name w:val="正文斜体 Char"/>
    <w:link w:val="3060"/>
    <w:qFormat/>
    <w:uiPriority w:val="0"/>
    <w:rPr>
      <w:rFonts w:ascii="宋体" w:hAnsi="宋体" w:eastAsia="宋体" w:cs="宋体"/>
      <w:i/>
      <w:iCs/>
      <w:sz w:val="24"/>
      <w:szCs w:val="24"/>
    </w:rPr>
  </w:style>
  <w:style w:type="paragraph" w:customStyle="1" w:styleId="3060">
    <w:name w:val="正文斜体"/>
    <w:basedOn w:val="1192"/>
    <w:next w:val="1192"/>
    <w:link w:val="3059"/>
    <w:qFormat/>
    <w:uiPriority w:val="0"/>
    <w:pPr>
      <w:adjustRightInd/>
      <w:snapToGrid/>
      <w:ind w:firstLine="482" w:firstLineChars="0"/>
    </w:pPr>
    <w:rPr>
      <w:rFonts w:ascii="宋体" w:hAnsi="宋体" w:cs="宋体"/>
      <w:i/>
      <w:iCs/>
      <w:szCs w:val="24"/>
    </w:rPr>
  </w:style>
  <w:style w:type="character" w:customStyle="1" w:styleId="3061">
    <w:name w:val="样式 表内小5 + 黑体 加粗 倾斜 下划线 Char"/>
    <w:link w:val="3062"/>
    <w:qFormat/>
    <w:uiPriority w:val="0"/>
    <w:rPr>
      <w:rFonts w:ascii="黑体" w:hAnsi="黑体" w:eastAsia="黑体"/>
      <w:b/>
      <w:bCs/>
      <w:i/>
      <w:iCs/>
      <w:sz w:val="18"/>
      <w:szCs w:val="24"/>
      <w:u w:val="single"/>
    </w:rPr>
  </w:style>
  <w:style w:type="paragraph" w:customStyle="1" w:styleId="3062">
    <w:name w:val="样式 表内小5 + 黑体 加粗 倾斜 下划线"/>
    <w:basedOn w:val="1"/>
    <w:link w:val="3061"/>
    <w:qFormat/>
    <w:uiPriority w:val="0"/>
    <w:pPr>
      <w:adjustRightInd w:val="0"/>
      <w:snapToGrid w:val="0"/>
      <w:spacing w:line="300" w:lineRule="auto"/>
      <w:jc w:val="left"/>
    </w:pPr>
    <w:rPr>
      <w:rFonts w:ascii="黑体" w:hAnsi="黑体" w:eastAsia="黑体"/>
      <w:b/>
      <w:bCs/>
      <w:i/>
      <w:iCs/>
      <w:sz w:val="18"/>
      <w:u w:val="single"/>
    </w:rPr>
  </w:style>
  <w:style w:type="character" w:customStyle="1" w:styleId="3063">
    <w:name w:val="福建正文缩进 Char"/>
    <w:link w:val="3064"/>
    <w:qFormat/>
    <w:uiPriority w:val="0"/>
    <w:rPr>
      <w:rFonts w:ascii="宋体" w:hAnsi="宋体" w:eastAsia="宋体" w:cs="宋体"/>
      <w:color w:val="000000"/>
      <w:sz w:val="24"/>
      <w:szCs w:val="24"/>
    </w:rPr>
  </w:style>
  <w:style w:type="paragraph" w:customStyle="1" w:styleId="3064">
    <w:name w:val="福建正文缩进"/>
    <w:basedOn w:val="22"/>
    <w:link w:val="3063"/>
    <w:qFormat/>
    <w:uiPriority w:val="0"/>
    <w:pPr>
      <w:widowControl/>
      <w:tabs>
        <w:tab w:val="left" w:pos="5837"/>
      </w:tabs>
      <w:adjustRightInd w:val="0"/>
      <w:snapToGrid w:val="0"/>
      <w:spacing w:line="480" w:lineRule="exact"/>
      <w:ind w:firstLine="0" w:firstLineChars="0"/>
    </w:pPr>
    <w:rPr>
      <w:rFonts w:ascii="宋体" w:hAnsi="宋体" w:cs="宋体"/>
      <w:color w:val="000000"/>
      <w:sz w:val="24"/>
    </w:rPr>
  </w:style>
  <w:style w:type="paragraph" w:customStyle="1" w:styleId="3065">
    <w:name w:val="正文.1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066">
    <w:name w:val="表题15"/>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067">
    <w:name w:val="Char Char2 Char Char Char Char"/>
    <w:basedOn w:val="1"/>
    <w:semiHidden/>
    <w:qFormat/>
    <w:uiPriority w:val="0"/>
  </w:style>
  <w:style w:type="paragraph" w:customStyle="1" w:styleId="3068">
    <w:name w:val="Char Char Char Char Char Char Char151"/>
    <w:basedOn w:val="1"/>
    <w:qFormat/>
    <w:uiPriority w:val="0"/>
    <w:rPr>
      <w:szCs w:val="20"/>
    </w:rPr>
  </w:style>
  <w:style w:type="paragraph" w:customStyle="1" w:styleId="3069">
    <w:name w:val="燕山正文114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070">
    <w:name w:val="表题15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071">
    <w:name w:val="正文格式＝"/>
    <w:basedOn w:val="1192"/>
    <w:next w:val="1192"/>
    <w:semiHidden/>
    <w:qFormat/>
    <w:uiPriority w:val="0"/>
    <w:pPr>
      <w:adjustRightInd/>
      <w:snapToGrid/>
      <w:ind w:firstLine="482" w:firstLineChars="0"/>
    </w:pPr>
    <w:rPr>
      <w:rFonts w:hint="eastAsia" w:ascii="宋体" w:hAnsi="宋体"/>
      <w:szCs w:val="24"/>
    </w:rPr>
  </w:style>
  <w:style w:type="paragraph" w:customStyle="1" w:styleId="3072">
    <w:name w:val="默认段落字体 Para Char3"/>
    <w:basedOn w:val="1"/>
    <w:qFormat/>
    <w:uiPriority w:val="0"/>
    <w:pPr>
      <w:spacing w:line="360" w:lineRule="auto"/>
      <w:ind w:firstLine="200" w:firstLineChars="200"/>
    </w:pPr>
    <w:rPr>
      <w:rFonts w:ascii="宋体" w:hAnsi="宋体" w:cs="宋体"/>
      <w:sz w:val="24"/>
    </w:rPr>
  </w:style>
  <w:style w:type="paragraph" w:customStyle="1" w:styleId="3073">
    <w:name w:val="23-47表名"/>
    <w:basedOn w:val="1"/>
    <w:qFormat/>
    <w:uiPriority w:val="0"/>
    <w:pPr>
      <w:spacing w:line="440" w:lineRule="exact"/>
      <w:jc w:val="center"/>
    </w:pPr>
    <w:rPr>
      <w:rFonts w:ascii="宋体" w:hAnsi="宋体"/>
      <w:b/>
      <w:sz w:val="24"/>
    </w:rPr>
  </w:style>
  <w:style w:type="paragraph" w:customStyle="1" w:styleId="3074">
    <w:name w:val="表题1113"/>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075">
    <w:name w:val="标题43132"/>
    <w:basedOn w:val="1"/>
    <w:qFormat/>
    <w:uiPriority w:val="0"/>
    <w:pPr>
      <w:adjustRightInd w:val="0"/>
      <w:snapToGrid w:val="0"/>
      <w:spacing w:line="480" w:lineRule="exact"/>
      <w:jc w:val="center"/>
    </w:pPr>
    <w:rPr>
      <w:rFonts w:ascii="宋体" w:hAnsi="宋体" w:cs="宋体"/>
      <w:sz w:val="24"/>
    </w:rPr>
  </w:style>
  <w:style w:type="paragraph" w:customStyle="1" w:styleId="3076">
    <w:name w:val="图题213"/>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077">
    <w:name w:val="附件42"/>
    <w:basedOn w:val="4"/>
    <w:next w:val="1192"/>
    <w:qFormat/>
    <w:uiPriority w:val="0"/>
    <w:pPr>
      <w:numPr>
        <w:numId w:val="0"/>
      </w:numPr>
      <w:tabs>
        <w:tab w:val="left" w:pos="1566"/>
      </w:tabs>
      <w:adjustRightInd/>
      <w:snapToGrid/>
      <w:spacing w:line="360" w:lineRule="auto"/>
    </w:pPr>
    <w:rPr>
      <w:rFonts w:ascii="黑体" w:hAnsi="宋体"/>
      <w:b/>
      <w:sz w:val="32"/>
      <w:szCs w:val="32"/>
    </w:rPr>
  </w:style>
  <w:style w:type="paragraph" w:customStyle="1" w:styleId="3078">
    <w:name w:val="燕山正文11"/>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079">
    <w:name w:val="表内5313"/>
    <w:basedOn w:val="1"/>
    <w:qFormat/>
    <w:uiPriority w:val="0"/>
    <w:pPr>
      <w:adjustRightInd w:val="0"/>
      <w:snapToGrid w:val="0"/>
      <w:spacing w:line="300" w:lineRule="auto"/>
      <w:jc w:val="left"/>
    </w:pPr>
    <w:rPr>
      <w:rFonts w:ascii="宋体"/>
      <w:szCs w:val="20"/>
    </w:rPr>
  </w:style>
  <w:style w:type="paragraph" w:customStyle="1" w:styleId="3080">
    <w:name w:val="样式 标题 4无效格式无效格式1河石管道4H4H41小小节河石管道41H42H411小小节1河石管道42...112"/>
    <w:basedOn w:val="7"/>
    <w:qFormat/>
    <w:uiPriority w:val="0"/>
    <w:pPr>
      <w:numPr>
        <w:ilvl w:val="0"/>
        <w:numId w:val="0"/>
      </w:numPr>
      <w:ind w:left="664" w:hanging="864"/>
      <w:jc w:val="left"/>
    </w:pPr>
    <w:rPr>
      <w:rFonts w:ascii="黑体" w:hAnsi="Arial" w:cs="宋体"/>
      <w:bCs w:val="0"/>
      <w:sz w:val="24"/>
      <w:szCs w:val="20"/>
    </w:rPr>
  </w:style>
  <w:style w:type="paragraph" w:customStyle="1" w:styleId="3081">
    <w:name w:val="Char38"/>
    <w:basedOn w:val="1"/>
    <w:qFormat/>
    <w:uiPriority w:val="0"/>
    <w:pPr>
      <w:ind w:left="-48"/>
    </w:pPr>
  </w:style>
  <w:style w:type="paragraph" w:customStyle="1" w:styleId="3082">
    <w:name w:val="样式 标题 4无效格式无效格式1河石管道4H4H41小小节河石管道41H42H411小小节1河石管道42...22"/>
    <w:basedOn w:val="7"/>
    <w:qFormat/>
    <w:uiPriority w:val="0"/>
    <w:pPr>
      <w:numPr>
        <w:ilvl w:val="0"/>
        <w:numId w:val="0"/>
      </w:numPr>
      <w:ind w:left="664" w:hanging="864"/>
    </w:pPr>
    <w:rPr>
      <w:rFonts w:ascii="黑体" w:hAnsi="Arial"/>
      <w:bCs w:val="0"/>
      <w:sz w:val="24"/>
      <w:szCs w:val="24"/>
    </w:rPr>
  </w:style>
  <w:style w:type="paragraph" w:customStyle="1" w:styleId="3083">
    <w:name w:val="表题31"/>
    <w:basedOn w:val="35"/>
    <w:qFormat/>
    <w:uiPriority w:val="0"/>
    <w:pPr>
      <w:tabs>
        <w:tab w:val="left" w:pos="4305"/>
      </w:tabs>
      <w:adjustRightInd w:val="0"/>
      <w:snapToGrid w:val="0"/>
      <w:spacing w:line="360" w:lineRule="auto"/>
      <w:ind w:firstLine="561"/>
    </w:pPr>
    <w:rPr>
      <w:rFonts w:ascii="宋体" w:hAnsi="宋体" w:cs="宋体"/>
      <w:color w:val="000000"/>
      <w:sz w:val="24"/>
      <w:szCs w:val="24"/>
    </w:rPr>
  </w:style>
  <w:style w:type="paragraph" w:customStyle="1" w:styleId="3084">
    <w:name w:val="样式123"/>
    <w:basedOn w:val="3083"/>
    <w:qFormat/>
    <w:uiPriority w:val="0"/>
    <w:pPr>
      <w:spacing w:line="240" w:lineRule="auto"/>
      <w:ind w:firstLine="0"/>
      <w:jc w:val="center"/>
    </w:pPr>
    <w:rPr>
      <w:rFonts w:cs="Times New Roman"/>
      <w:b/>
      <w:color w:val="auto"/>
      <w:szCs w:val="20"/>
    </w:rPr>
  </w:style>
  <w:style w:type="paragraph" w:customStyle="1" w:styleId="3085">
    <w:name w:val="燕山正文1312"/>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086">
    <w:name w:val="标题431"/>
    <w:basedOn w:val="1"/>
    <w:qFormat/>
    <w:uiPriority w:val="0"/>
    <w:pPr>
      <w:adjustRightInd w:val="0"/>
      <w:snapToGrid w:val="0"/>
      <w:spacing w:line="480" w:lineRule="exact"/>
      <w:jc w:val="center"/>
    </w:pPr>
    <w:rPr>
      <w:rFonts w:ascii="宋体" w:hAnsi="宋体" w:cs="宋体"/>
      <w:sz w:val="24"/>
    </w:rPr>
  </w:style>
  <w:style w:type="paragraph" w:customStyle="1" w:styleId="3087">
    <w:name w:val="表文字523"/>
    <w:basedOn w:val="1"/>
    <w:qFormat/>
    <w:uiPriority w:val="0"/>
    <w:pPr>
      <w:adjustRightInd w:val="0"/>
      <w:jc w:val="left"/>
    </w:pPr>
    <w:rPr>
      <w:rFonts w:ascii="宋体"/>
      <w:kern w:val="0"/>
      <w:szCs w:val="20"/>
    </w:rPr>
  </w:style>
  <w:style w:type="paragraph" w:customStyle="1" w:styleId="3088">
    <w:name w:val="样式 正文缩进 + 宋体 黑色 首行缩进:  2 字符"/>
    <w:basedOn w:val="22"/>
    <w:qFormat/>
    <w:uiPriority w:val="0"/>
    <w:pPr>
      <w:spacing w:line="360" w:lineRule="auto"/>
      <w:ind w:firstLine="480"/>
      <w:jc w:val="left"/>
    </w:pPr>
    <w:rPr>
      <w:rFonts w:ascii="宋体" w:hAnsi="宋体" w:cs="宋体"/>
      <w:color w:val="FF00FF"/>
      <w:sz w:val="24"/>
      <w:szCs w:val="20"/>
    </w:rPr>
  </w:style>
  <w:style w:type="paragraph" w:customStyle="1" w:styleId="3089">
    <w:name w:val="表题41"/>
    <w:basedOn w:val="35"/>
    <w:qFormat/>
    <w:uiPriority w:val="0"/>
    <w:pPr>
      <w:tabs>
        <w:tab w:val="left" w:pos="4305"/>
      </w:tabs>
      <w:adjustRightInd w:val="0"/>
      <w:snapToGrid w:val="0"/>
      <w:spacing w:line="360" w:lineRule="auto"/>
      <w:ind w:firstLine="561"/>
    </w:pPr>
    <w:rPr>
      <w:rFonts w:ascii="宋体" w:hAnsi="宋体" w:cs="宋体"/>
      <w:color w:val="000000"/>
      <w:sz w:val="24"/>
      <w:szCs w:val="24"/>
    </w:rPr>
  </w:style>
  <w:style w:type="paragraph" w:customStyle="1" w:styleId="3090">
    <w:name w:val="附件"/>
    <w:basedOn w:val="4"/>
    <w:next w:val="1192"/>
    <w:qFormat/>
    <w:uiPriority w:val="0"/>
    <w:pPr>
      <w:numPr>
        <w:numId w:val="0"/>
      </w:numPr>
      <w:tabs>
        <w:tab w:val="left" w:pos="1566"/>
      </w:tabs>
      <w:adjustRightInd/>
      <w:snapToGrid/>
      <w:spacing w:line="360" w:lineRule="auto"/>
    </w:pPr>
    <w:rPr>
      <w:rFonts w:ascii="黑体" w:hAnsi="宋体"/>
      <w:b/>
      <w:sz w:val="32"/>
      <w:szCs w:val="32"/>
    </w:rPr>
  </w:style>
  <w:style w:type="paragraph" w:customStyle="1" w:styleId="3091">
    <w:name w:val="表内541"/>
    <w:basedOn w:val="1"/>
    <w:qFormat/>
    <w:uiPriority w:val="0"/>
    <w:pPr>
      <w:adjustRightInd w:val="0"/>
      <w:snapToGrid w:val="0"/>
      <w:spacing w:line="300" w:lineRule="auto"/>
      <w:jc w:val="center"/>
    </w:pPr>
    <w:rPr>
      <w:rFonts w:ascii="宋体" w:hAnsi="宋体" w:cs="宋体"/>
      <w:szCs w:val="20"/>
    </w:rPr>
  </w:style>
  <w:style w:type="paragraph" w:customStyle="1" w:styleId="3092">
    <w:name w:val="默认段落字体 Para Char5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093">
    <w:name w:val="表内文字小21"/>
    <w:basedOn w:val="1"/>
    <w:qFormat/>
    <w:uiPriority w:val="0"/>
    <w:pPr>
      <w:adjustRightInd w:val="0"/>
      <w:snapToGrid w:val="0"/>
      <w:jc w:val="center"/>
    </w:pPr>
    <w:rPr>
      <w:rFonts w:ascii="宋体" w:hAnsi="Times"/>
      <w:bCs/>
      <w:color w:val="000000"/>
      <w:szCs w:val="20"/>
    </w:rPr>
  </w:style>
  <w:style w:type="paragraph" w:customStyle="1" w:styleId="3094">
    <w:name w:val="正文格式6"/>
    <w:basedOn w:val="1"/>
    <w:qFormat/>
    <w:uiPriority w:val="0"/>
    <w:pPr>
      <w:spacing w:line="360" w:lineRule="auto"/>
      <w:ind w:firstLine="482"/>
    </w:pPr>
    <w:rPr>
      <w:rFonts w:ascii="宋体" w:hAnsi="宋体"/>
      <w:sz w:val="24"/>
    </w:rPr>
  </w:style>
  <w:style w:type="paragraph" w:customStyle="1" w:styleId="3095">
    <w:name w:val="表文字5"/>
    <w:basedOn w:val="1"/>
    <w:qFormat/>
    <w:uiPriority w:val="0"/>
    <w:pPr>
      <w:adjustRightInd w:val="0"/>
      <w:jc w:val="left"/>
    </w:pPr>
    <w:rPr>
      <w:rFonts w:ascii="宋体"/>
      <w:kern w:val="0"/>
      <w:szCs w:val="20"/>
    </w:rPr>
  </w:style>
  <w:style w:type="paragraph" w:customStyle="1" w:styleId="3096">
    <w:name w:val="表内文字小31"/>
    <w:basedOn w:val="1"/>
    <w:qFormat/>
    <w:uiPriority w:val="0"/>
    <w:pPr>
      <w:adjustRightInd w:val="0"/>
      <w:snapToGrid w:val="0"/>
      <w:jc w:val="center"/>
    </w:pPr>
    <w:rPr>
      <w:rFonts w:ascii="宋体" w:hAnsi="Times" w:cs="宋体"/>
      <w:bCs/>
      <w:color w:val="003366"/>
      <w:szCs w:val="20"/>
    </w:rPr>
  </w:style>
  <w:style w:type="paragraph" w:customStyle="1" w:styleId="3097">
    <w:name w:val="表内宋511"/>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098">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099">
    <w:name w:val="黑体三号"/>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100">
    <w:name w:val="首行缩进:  0.99 厘米 + 首行缩进:  2 字符"/>
    <w:basedOn w:val="1"/>
    <w:qFormat/>
    <w:uiPriority w:val="0"/>
    <w:pPr>
      <w:widowControl/>
      <w:topLinePunct/>
      <w:snapToGrid w:val="0"/>
      <w:spacing w:line="480" w:lineRule="exact"/>
      <w:ind w:firstLine="420" w:firstLineChars="200"/>
      <w:jc w:val="center"/>
    </w:pPr>
    <w:rPr>
      <w:rFonts w:ascii="宋体" w:cs="宋体"/>
      <w:color w:val="FF0000"/>
      <w:kern w:val="0"/>
      <w:szCs w:val="21"/>
    </w:rPr>
  </w:style>
  <w:style w:type="paragraph" w:customStyle="1" w:styleId="3101">
    <w:name w:val="表内文字边"/>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102">
    <w:name w:val="正文缩"/>
    <w:basedOn w:val="1"/>
    <w:qFormat/>
    <w:uiPriority w:val="0"/>
    <w:pPr>
      <w:adjustRightInd w:val="0"/>
      <w:snapToGrid w:val="0"/>
      <w:spacing w:line="480" w:lineRule="atLeast"/>
      <w:ind w:firstLine="567"/>
    </w:pPr>
    <w:rPr>
      <w:rFonts w:ascii="宋体"/>
      <w:color w:val="000080"/>
      <w:spacing w:val="6"/>
      <w:kern w:val="0"/>
      <w:sz w:val="28"/>
      <w:szCs w:val="20"/>
    </w:rPr>
  </w:style>
  <w:style w:type="paragraph" w:customStyle="1" w:styleId="3103">
    <w:name w:val="默认段落字体 Para Char Char Char Char Char"/>
    <w:basedOn w:val="1"/>
    <w:qFormat/>
    <w:uiPriority w:val="0"/>
  </w:style>
  <w:style w:type="paragraph" w:customStyle="1" w:styleId="3104">
    <w:name w:val="表内宋5中"/>
    <w:basedOn w:val="1"/>
    <w:qFormat/>
    <w:uiPriority w:val="0"/>
    <w:pPr>
      <w:adjustRightInd w:val="0"/>
      <w:snapToGrid w:val="0"/>
    </w:pPr>
    <w:rPr>
      <w:color w:val="000000"/>
      <w:kern w:val="0"/>
      <w:szCs w:val="20"/>
    </w:rPr>
  </w:style>
  <w:style w:type="paragraph" w:customStyle="1" w:styleId="3105">
    <w:name w:val="样式 标题 3 + 段前: 12 磅"/>
    <w:basedOn w:val="6"/>
    <w:qFormat/>
    <w:uiPriority w:val="0"/>
    <w:pPr>
      <w:widowControl/>
      <w:numPr>
        <w:ilvl w:val="0"/>
        <w:numId w:val="0"/>
      </w:numPr>
      <w:autoSpaceDE w:val="0"/>
      <w:autoSpaceDN w:val="0"/>
    </w:pPr>
    <w:rPr>
      <w:rFonts w:ascii="黑体" w:hAnsi="宋体" w:cs="宋体"/>
      <w:bCs w:val="0"/>
      <w:color w:val="000000"/>
      <w:kern w:val="21"/>
      <w:sz w:val="24"/>
      <w:szCs w:val="20"/>
    </w:rPr>
  </w:style>
  <w:style w:type="paragraph" w:customStyle="1" w:styleId="3106">
    <w:name w:val="表内文字小"/>
    <w:basedOn w:val="1"/>
    <w:qFormat/>
    <w:uiPriority w:val="0"/>
    <w:pPr>
      <w:adjustRightInd w:val="0"/>
      <w:snapToGrid w:val="0"/>
      <w:jc w:val="center"/>
    </w:pPr>
    <w:rPr>
      <w:rFonts w:ascii="宋体" w:hAnsi="Times"/>
      <w:szCs w:val="20"/>
    </w:rPr>
  </w:style>
  <w:style w:type="paragraph" w:customStyle="1" w:styleId="3107">
    <w:name w:val="表内宋5"/>
    <w:basedOn w:val="3104"/>
    <w:semiHidden/>
    <w:qFormat/>
    <w:uiPriority w:val="0"/>
    <w:pPr>
      <w:widowControl/>
      <w:autoSpaceDE w:val="0"/>
      <w:autoSpaceDN w:val="0"/>
      <w:jc w:val="left"/>
    </w:pPr>
    <w:rPr>
      <w:color w:val="auto"/>
      <w:w w:val="90"/>
    </w:rPr>
  </w:style>
  <w:style w:type="paragraph" w:customStyle="1" w:styleId="3108">
    <w:name w:val="正文格式11"/>
    <w:basedOn w:val="1"/>
    <w:qFormat/>
    <w:uiPriority w:val="0"/>
    <w:pPr>
      <w:spacing w:line="360" w:lineRule="auto"/>
      <w:ind w:firstLine="482"/>
    </w:pPr>
    <w:rPr>
      <w:rFonts w:ascii="宋体" w:hAnsi="宋体"/>
      <w:sz w:val="24"/>
    </w:rPr>
  </w:style>
  <w:style w:type="paragraph" w:customStyle="1" w:styleId="3109">
    <w:name w:val="正文格式＝1"/>
    <w:basedOn w:val="1192"/>
    <w:next w:val="1192"/>
    <w:semiHidden/>
    <w:qFormat/>
    <w:uiPriority w:val="0"/>
    <w:pPr>
      <w:adjustRightInd/>
      <w:snapToGrid/>
      <w:ind w:firstLine="482" w:firstLineChars="0"/>
    </w:pPr>
    <w:rPr>
      <w:rFonts w:hint="eastAsia" w:ascii="宋体" w:hAnsi="宋体"/>
      <w:szCs w:val="24"/>
    </w:rPr>
  </w:style>
  <w:style w:type="paragraph" w:customStyle="1" w:styleId="3110">
    <w:name w:val="正文格式2"/>
    <w:basedOn w:val="1"/>
    <w:qFormat/>
    <w:uiPriority w:val="0"/>
    <w:pPr>
      <w:spacing w:line="360" w:lineRule="auto"/>
      <w:ind w:firstLine="482"/>
    </w:pPr>
    <w:rPr>
      <w:rFonts w:ascii="宋体" w:hAnsi="宋体"/>
      <w:sz w:val="24"/>
    </w:rPr>
  </w:style>
  <w:style w:type="paragraph" w:customStyle="1" w:styleId="3111">
    <w:name w:val="图题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112">
    <w:name w:val="表格内字体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113">
    <w:name w:val="表内5411"/>
    <w:basedOn w:val="1"/>
    <w:qFormat/>
    <w:uiPriority w:val="0"/>
    <w:pPr>
      <w:adjustRightInd w:val="0"/>
      <w:snapToGrid w:val="0"/>
      <w:spacing w:line="300" w:lineRule="auto"/>
      <w:jc w:val="center"/>
    </w:pPr>
    <w:rPr>
      <w:rFonts w:ascii="宋体" w:hAnsi="宋体" w:cs="宋体"/>
      <w:szCs w:val="20"/>
    </w:rPr>
  </w:style>
  <w:style w:type="paragraph" w:customStyle="1" w:styleId="3114">
    <w:name w:val="表内文字小211"/>
    <w:basedOn w:val="1"/>
    <w:qFormat/>
    <w:uiPriority w:val="0"/>
    <w:pPr>
      <w:adjustRightInd w:val="0"/>
      <w:snapToGrid w:val="0"/>
      <w:jc w:val="center"/>
    </w:pPr>
    <w:rPr>
      <w:rFonts w:ascii="宋体" w:hAnsi="Times"/>
      <w:bCs/>
      <w:color w:val="000000"/>
      <w:szCs w:val="20"/>
    </w:rPr>
  </w:style>
  <w:style w:type="paragraph" w:customStyle="1" w:styleId="3115">
    <w:name w:val="表题311"/>
    <w:basedOn w:val="35"/>
    <w:qFormat/>
    <w:uiPriority w:val="0"/>
    <w:pPr>
      <w:tabs>
        <w:tab w:val="left" w:pos="4305"/>
      </w:tabs>
      <w:adjustRightInd w:val="0"/>
      <w:snapToGrid w:val="0"/>
      <w:ind w:firstLine="0"/>
      <w:jc w:val="center"/>
    </w:pPr>
    <w:rPr>
      <w:rFonts w:ascii="宋体" w:hAnsi="宋体"/>
      <w:sz w:val="24"/>
    </w:rPr>
  </w:style>
  <w:style w:type="paragraph" w:customStyle="1" w:styleId="3116">
    <w:name w:val="Char Char Char Char Char Char Char11"/>
    <w:basedOn w:val="1"/>
    <w:qFormat/>
    <w:uiPriority w:val="0"/>
  </w:style>
  <w:style w:type="paragraph" w:customStyle="1" w:styleId="3117">
    <w:name w:val="标题4311"/>
    <w:basedOn w:val="1"/>
    <w:qFormat/>
    <w:uiPriority w:val="0"/>
    <w:pPr>
      <w:adjustRightInd w:val="0"/>
      <w:snapToGrid w:val="0"/>
      <w:spacing w:line="480" w:lineRule="exact"/>
      <w:jc w:val="center"/>
    </w:pPr>
    <w:rPr>
      <w:rFonts w:ascii="宋体" w:hAnsi="宋体" w:cs="宋体"/>
      <w:sz w:val="24"/>
    </w:rPr>
  </w:style>
  <w:style w:type="paragraph" w:customStyle="1" w:styleId="3118">
    <w:name w:val="燕山正文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119">
    <w:name w:val="默认段落字体 Para Char Char Char Char1"/>
    <w:basedOn w:val="1"/>
    <w:qFormat/>
    <w:uiPriority w:val="0"/>
  </w:style>
  <w:style w:type="paragraph" w:customStyle="1" w:styleId="3120">
    <w:name w:val="附件1"/>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121">
    <w:name w:val="黑体三号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122">
    <w:name w:val="表题11"/>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123">
    <w:name w:val="燕山正文1"/>
    <w:basedOn w:val="1"/>
    <w:qFormat/>
    <w:uiPriority w:val="0"/>
    <w:pPr>
      <w:tabs>
        <w:tab w:val="left" w:pos="4680"/>
      </w:tabs>
      <w:adjustRightInd w:val="0"/>
      <w:snapToGrid w:val="0"/>
      <w:spacing w:line="480" w:lineRule="exact"/>
    </w:pPr>
    <w:rPr>
      <w:rFonts w:ascii="宋体" w:cs="宋体"/>
      <w:sz w:val="24"/>
    </w:rPr>
  </w:style>
  <w:style w:type="paragraph" w:customStyle="1" w:styleId="3124">
    <w:name w:val="正文修改1"/>
    <w:basedOn w:val="280"/>
    <w:qFormat/>
    <w:uiPriority w:val="0"/>
    <w:pPr>
      <w:spacing w:line="480" w:lineRule="exact"/>
      <w:ind w:firstLine="0" w:firstLineChars="0"/>
      <w:jc w:val="both"/>
    </w:pPr>
    <w:rPr>
      <w:rFonts w:hint="eastAsia" w:cs="宋体"/>
      <w:szCs w:val="24"/>
    </w:rPr>
  </w:style>
  <w:style w:type="paragraph" w:customStyle="1" w:styleId="3125">
    <w:name w:val="表文字51"/>
    <w:basedOn w:val="1"/>
    <w:qFormat/>
    <w:uiPriority w:val="0"/>
    <w:pPr>
      <w:adjustRightInd w:val="0"/>
      <w:jc w:val="left"/>
    </w:pPr>
    <w:rPr>
      <w:rFonts w:ascii="宋体"/>
      <w:kern w:val="0"/>
      <w:szCs w:val="20"/>
    </w:rPr>
  </w:style>
  <w:style w:type="paragraph" w:customStyle="1" w:styleId="3126">
    <w:name w:val="表内文字小311"/>
    <w:basedOn w:val="1"/>
    <w:qFormat/>
    <w:uiPriority w:val="0"/>
    <w:pPr>
      <w:adjustRightInd w:val="0"/>
      <w:snapToGrid w:val="0"/>
      <w:jc w:val="center"/>
    </w:pPr>
    <w:rPr>
      <w:rFonts w:ascii="宋体" w:hAnsi="Times" w:cs="宋体"/>
      <w:bCs/>
      <w:color w:val="003366"/>
      <w:szCs w:val="20"/>
    </w:rPr>
  </w:style>
  <w:style w:type="paragraph" w:customStyle="1" w:styleId="3127">
    <w:name w:val="正文格式＝2"/>
    <w:basedOn w:val="1192"/>
    <w:next w:val="1192"/>
    <w:semiHidden/>
    <w:qFormat/>
    <w:uiPriority w:val="0"/>
    <w:pPr>
      <w:adjustRightInd/>
      <w:snapToGrid/>
      <w:ind w:firstLine="482" w:firstLineChars="0"/>
    </w:pPr>
    <w:rPr>
      <w:rFonts w:hint="eastAsia" w:ascii="宋体" w:hAnsi="宋体"/>
      <w:szCs w:val="24"/>
    </w:rPr>
  </w:style>
  <w:style w:type="paragraph" w:customStyle="1" w:styleId="3128">
    <w:name w:val="表内文字小2"/>
    <w:basedOn w:val="1"/>
    <w:qFormat/>
    <w:uiPriority w:val="0"/>
    <w:pPr>
      <w:adjustRightInd w:val="0"/>
      <w:snapToGrid w:val="0"/>
      <w:jc w:val="center"/>
    </w:pPr>
    <w:rPr>
      <w:rFonts w:ascii="宋体" w:hAnsi="Times"/>
      <w:bCs/>
      <w:color w:val="000000"/>
      <w:szCs w:val="20"/>
    </w:rPr>
  </w:style>
  <w:style w:type="paragraph" w:customStyle="1" w:styleId="3129">
    <w:name w:val="表内53"/>
    <w:basedOn w:val="1"/>
    <w:qFormat/>
    <w:uiPriority w:val="0"/>
    <w:pPr>
      <w:adjustRightInd w:val="0"/>
      <w:snapToGrid w:val="0"/>
      <w:spacing w:line="300" w:lineRule="auto"/>
      <w:jc w:val="left"/>
    </w:pPr>
    <w:rPr>
      <w:rFonts w:ascii="宋体"/>
      <w:szCs w:val="20"/>
    </w:rPr>
  </w:style>
  <w:style w:type="paragraph" w:customStyle="1" w:styleId="3130">
    <w:name w:val="正文格式3"/>
    <w:basedOn w:val="1"/>
    <w:qFormat/>
    <w:uiPriority w:val="0"/>
    <w:pPr>
      <w:spacing w:line="360" w:lineRule="auto"/>
      <w:ind w:firstLine="482"/>
    </w:pPr>
    <w:rPr>
      <w:rFonts w:ascii="宋体" w:hAnsi="宋体"/>
      <w:sz w:val="24"/>
    </w:rPr>
  </w:style>
  <w:style w:type="paragraph" w:customStyle="1" w:styleId="3131">
    <w:name w:val="表内5412"/>
    <w:basedOn w:val="1"/>
    <w:qFormat/>
    <w:uiPriority w:val="0"/>
    <w:pPr>
      <w:adjustRightInd w:val="0"/>
      <w:snapToGrid w:val="0"/>
      <w:spacing w:line="300" w:lineRule="auto"/>
      <w:jc w:val="center"/>
    </w:pPr>
    <w:rPr>
      <w:rFonts w:ascii="宋体" w:hAnsi="宋体" w:cs="宋体"/>
      <w:szCs w:val="20"/>
    </w:rPr>
  </w:style>
  <w:style w:type="paragraph" w:customStyle="1" w:styleId="3132">
    <w:name w:val="表内文字小212"/>
    <w:basedOn w:val="1"/>
    <w:qFormat/>
    <w:uiPriority w:val="0"/>
    <w:pPr>
      <w:adjustRightInd w:val="0"/>
      <w:snapToGrid w:val="0"/>
      <w:jc w:val="center"/>
    </w:pPr>
    <w:rPr>
      <w:rFonts w:ascii="宋体" w:hAnsi="Times"/>
      <w:bCs/>
      <w:color w:val="000000"/>
      <w:szCs w:val="20"/>
    </w:rPr>
  </w:style>
  <w:style w:type="paragraph" w:customStyle="1" w:styleId="3133">
    <w:name w:val="表题312"/>
    <w:basedOn w:val="35"/>
    <w:qFormat/>
    <w:uiPriority w:val="0"/>
    <w:pPr>
      <w:tabs>
        <w:tab w:val="left" w:pos="4305"/>
      </w:tabs>
      <w:adjustRightInd w:val="0"/>
      <w:snapToGrid w:val="0"/>
      <w:ind w:firstLine="0"/>
      <w:jc w:val="center"/>
    </w:pPr>
    <w:rPr>
      <w:rFonts w:ascii="宋体" w:hAnsi="宋体"/>
      <w:sz w:val="24"/>
    </w:rPr>
  </w:style>
  <w:style w:type="paragraph" w:customStyle="1" w:styleId="3134">
    <w:name w:val="标题4312"/>
    <w:basedOn w:val="1"/>
    <w:qFormat/>
    <w:uiPriority w:val="0"/>
    <w:pPr>
      <w:adjustRightInd w:val="0"/>
      <w:snapToGrid w:val="0"/>
      <w:spacing w:line="480" w:lineRule="exact"/>
      <w:jc w:val="center"/>
    </w:pPr>
    <w:rPr>
      <w:rFonts w:ascii="宋体" w:hAnsi="宋体" w:cs="宋体"/>
      <w:sz w:val="24"/>
    </w:rPr>
  </w:style>
  <w:style w:type="paragraph" w:customStyle="1" w:styleId="3135">
    <w:name w:val="燕山正文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136">
    <w:name w:val="默认段落字体 Para Char Char Char Char2"/>
    <w:basedOn w:val="1"/>
    <w:qFormat/>
    <w:uiPriority w:val="0"/>
  </w:style>
  <w:style w:type="paragraph" w:customStyle="1" w:styleId="3137">
    <w:name w:val="附件2"/>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138">
    <w:name w:val="黑体三号2"/>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139">
    <w:name w:val="表2"/>
    <w:basedOn w:val="1"/>
    <w:qFormat/>
    <w:uiPriority w:val="0"/>
    <w:pPr>
      <w:adjustRightInd w:val="0"/>
      <w:snapToGrid w:val="0"/>
      <w:jc w:val="center"/>
    </w:pPr>
    <w:rPr>
      <w:rFonts w:eastAsia="仿宋_GB2312"/>
      <w:sz w:val="24"/>
    </w:rPr>
  </w:style>
  <w:style w:type="paragraph" w:customStyle="1" w:styleId="3140">
    <w:name w:val="表题12"/>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141">
    <w:name w:val="燕山正文2"/>
    <w:basedOn w:val="1"/>
    <w:qFormat/>
    <w:uiPriority w:val="0"/>
    <w:pPr>
      <w:tabs>
        <w:tab w:val="left" w:pos="4680"/>
      </w:tabs>
      <w:adjustRightInd w:val="0"/>
      <w:snapToGrid w:val="0"/>
      <w:spacing w:line="480" w:lineRule="exact"/>
    </w:pPr>
    <w:rPr>
      <w:rFonts w:ascii="宋体" w:cs="宋体"/>
      <w:sz w:val="24"/>
    </w:rPr>
  </w:style>
  <w:style w:type="paragraph" w:customStyle="1" w:styleId="3142">
    <w:name w:val="正文修改2"/>
    <w:basedOn w:val="280"/>
    <w:qFormat/>
    <w:uiPriority w:val="0"/>
    <w:pPr>
      <w:spacing w:line="480" w:lineRule="exact"/>
      <w:ind w:firstLine="0" w:firstLineChars="0"/>
      <w:jc w:val="both"/>
    </w:pPr>
    <w:rPr>
      <w:rFonts w:hint="eastAsia" w:cs="宋体"/>
      <w:szCs w:val="24"/>
    </w:rPr>
  </w:style>
  <w:style w:type="paragraph" w:customStyle="1" w:styleId="3143">
    <w:name w:val="表中文字2"/>
    <w:basedOn w:val="1"/>
    <w:qFormat/>
    <w:uiPriority w:val="0"/>
    <w:pPr>
      <w:widowControl/>
      <w:adjustRightInd w:val="0"/>
      <w:spacing w:line="240" w:lineRule="atLeast"/>
      <w:ind w:right="-42" w:rightChars="-20"/>
      <w:jc w:val="center"/>
    </w:pPr>
    <w:rPr>
      <w:rFonts w:ascii="宋体"/>
      <w:kern w:val="0"/>
      <w:szCs w:val="21"/>
    </w:rPr>
  </w:style>
  <w:style w:type="paragraph" w:customStyle="1" w:styleId="3144">
    <w:name w:val="表文字52"/>
    <w:basedOn w:val="1"/>
    <w:qFormat/>
    <w:uiPriority w:val="0"/>
    <w:pPr>
      <w:adjustRightInd w:val="0"/>
      <w:jc w:val="left"/>
    </w:pPr>
    <w:rPr>
      <w:rFonts w:ascii="宋体"/>
      <w:kern w:val="0"/>
      <w:szCs w:val="20"/>
    </w:rPr>
  </w:style>
  <w:style w:type="paragraph" w:customStyle="1" w:styleId="3145">
    <w:name w:val="表内文字小312"/>
    <w:basedOn w:val="1"/>
    <w:qFormat/>
    <w:uiPriority w:val="0"/>
    <w:pPr>
      <w:adjustRightInd w:val="0"/>
      <w:snapToGrid w:val="0"/>
      <w:jc w:val="center"/>
    </w:pPr>
    <w:rPr>
      <w:rFonts w:ascii="宋体" w:hAnsi="Times" w:cs="宋体"/>
      <w:bCs/>
      <w:color w:val="003366"/>
      <w:szCs w:val="20"/>
    </w:rPr>
  </w:style>
  <w:style w:type="paragraph" w:customStyle="1" w:styleId="3146">
    <w:name w:val="正文格式＝3"/>
    <w:basedOn w:val="1192"/>
    <w:next w:val="1192"/>
    <w:semiHidden/>
    <w:qFormat/>
    <w:uiPriority w:val="0"/>
    <w:pPr>
      <w:adjustRightInd/>
      <w:snapToGrid/>
      <w:ind w:firstLine="482" w:firstLineChars="0"/>
    </w:pPr>
    <w:rPr>
      <w:rFonts w:hint="eastAsia" w:ascii="宋体" w:hAnsi="宋体"/>
      <w:szCs w:val="24"/>
    </w:rPr>
  </w:style>
  <w:style w:type="paragraph" w:customStyle="1" w:styleId="3147">
    <w:name w:val="表内文字小22"/>
    <w:basedOn w:val="1"/>
    <w:qFormat/>
    <w:uiPriority w:val="0"/>
    <w:pPr>
      <w:adjustRightInd w:val="0"/>
      <w:snapToGrid w:val="0"/>
      <w:jc w:val="center"/>
    </w:pPr>
    <w:rPr>
      <w:rFonts w:ascii="宋体" w:hAnsi="Times"/>
      <w:bCs/>
      <w:color w:val="000000"/>
      <w:szCs w:val="20"/>
    </w:rPr>
  </w:style>
  <w:style w:type="paragraph" w:customStyle="1" w:styleId="3148">
    <w:name w:val="表内531"/>
    <w:basedOn w:val="1"/>
    <w:qFormat/>
    <w:uiPriority w:val="0"/>
    <w:pPr>
      <w:adjustRightInd w:val="0"/>
      <w:snapToGrid w:val="0"/>
      <w:spacing w:line="300" w:lineRule="auto"/>
      <w:jc w:val="left"/>
    </w:pPr>
    <w:rPr>
      <w:rFonts w:ascii="宋体"/>
      <w:szCs w:val="20"/>
    </w:rPr>
  </w:style>
  <w:style w:type="paragraph" w:customStyle="1" w:styleId="3149">
    <w:name w:val="正文格式21"/>
    <w:basedOn w:val="1"/>
    <w:qFormat/>
    <w:uiPriority w:val="0"/>
    <w:pPr>
      <w:spacing w:line="360" w:lineRule="auto"/>
      <w:ind w:firstLine="482"/>
    </w:pPr>
    <w:rPr>
      <w:rFonts w:ascii="宋体" w:hAnsi="宋体"/>
      <w:sz w:val="24"/>
    </w:rPr>
  </w:style>
  <w:style w:type="paragraph" w:customStyle="1" w:styleId="3150">
    <w:name w:val="图题2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151">
    <w:name w:val="表格内字体21"/>
    <w:basedOn w:val="1192"/>
    <w:next w:val="1192"/>
    <w:qFormat/>
    <w:uiPriority w:val="0"/>
    <w:pPr>
      <w:spacing w:line="240" w:lineRule="auto"/>
      <w:ind w:firstLine="0" w:firstLineChars="0"/>
      <w:jc w:val="center"/>
    </w:pPr>
    <w:rPr>
      <w:rFonts w:hint="eastAsia" w:ascii="宋体" w:hAnsi="宋体"/>
      <w:sz w:val="21"/>
      <w:szCs w:val="24"/>
    </w:rPr>
  </w:style>
  <w:style w:type="paragraph" w:customStyle="1" w:styleId="3152">
    <w:name w:val="表题11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153">
    <w:name w:val="表中文字11"/>
    <w:basedOn w:val="1"/>
    <w:qFormat/>
    <w:uiPriority w:val="0"/>
    <w:pPr>
      <w:widowControl/>
      <w:spacing w:line="240" w:lineRule="atLeast"/>
      <w:ind w:left="-24" w:leftChars="-10" w:right="-48" w:rightChars="-20"/>
      <w:jc w:val="center"/>
    </w:pPr>
    <w:rPr>
      <w:rFonts w:ascii="宋体"/>
      <w:kern w:val="0"/>
      <w:szCs w:val="21"/>
    </w:rPr>
  </w:style>
  <w:style w:type="paragraph" w:customStyle="1" w:styleId="3154">
    <w:name w:val="表文字511"/>
    <w:basedOn w:val="1"/>
    <w:qFormat/>
    <w:uiPriority w:val="0"/>
    <w:pPr>
      <w:adjustRightInd w:val="0"/>
      <w:jc w:val="left"/>
    </w:pPr>
    <w:rPr>
      <w:rFonts w:ascii="宋体"/>
      <w:kern w:val="0"/>
      <w:szCs w:val="20"/>
    </w:rPr>
  </w:style>
  <w:style w:type="paragraph" w:customStyle="1" w:styleId="3155">
    <w:name w:val="正文格式4"/>
    <w:basedOn w:val="1"/>
    <w:qFormat/>
    <w:uiPriority w:val="0"/>
    <w:pPr>
      <w:spacing w:line="360" w:lineRule="auto"/>
      <w:ind w:firstLine="482"/>
    </w:pPr>
    <w:rPr>
      <w:rFonts w:ascii="宋体" w:hAnsi="宋体"/>
      <w:sz w:val="24"/>
    </w:rPr>
  </w:style>
  <w:style w:type="paragraph" w:customStyle="1" w:styleId="3156">
    <w:name w:val="图题4"/>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157">
    <w:name w:val="正文格式＝4"/>
    <w:basedOn w:val="1192"/>
    <w:next w:val="1192"/>
    <w:semiHidden/>
    <w:qFormat/>
    <w:uiPriority w:val="0"/>
    <w:pPr>
      <w:adjustRightInd/>
      <w:snapToGrid/>
      <w:ind w:firstLine="482" w:firstLineChars="0"/>
    </w:pPr>
    <w:rPr>
      <w:rFonts w:hint="eastAsia" w:ascii="宋体" w:hAnsi="宋体"/>
      <w:szCs w:val="24"/>
    </w:rPr>
  </w:style>
  <w:style w:type="paragraph" w:customStyle="1" w:styleId="3158">
    <w:name w:val="表题13"/>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159">
    <w:name w:val="默认段落字体 Para Char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160">
    <w:name w:val="Char Char Char Char Char Char Char12"/>
    <w:basedOn w:val="1"/>
    <w:qFormat/>
    <w:uiPriority w:val="0"/>
    <w:rPr>
      <w:szCs w:val="20"/>
    </w:rPr>
  </w:style>
  <w:style w:type="paragraph" w:customStyle="1" w:styleId="3161">
    <w:name w:val="燕山正文113"/>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162">
    <w:name w:val="正文格式5"/>
    <w:basedOn w:val="1"/>
    <w:qFormat/>
    <w:uiPriority w:val="0"/>
    <w:pPr>
      <w:spacing w:line="360" w:lineRule="auto"/>
      <w:ind w:firstLine="482"/>
    </w:pPr>
    <w:rPr>
      <w:rFonts w:ascii="宋体" w:hAnsi="宋体"/>
      <w:sz w:val="24"/>
    </w:rPr>
  </w:style>
  <w:style w:type="paragraph" w:customStyle="1" w:styleId="3163">
    <w:name w:val="图题5"/>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164">
    <w:name w:val="表3"/>
    <w:basedOn w:val="1"/>
    <w:qFormat/>
    <w:uiPriority w:val="0"/>
    <w:pPr>
      <w:adjustRightInd w:val="0"/>
      <w:snapToGrid w:val="0"/>
      <w:jc w:val="center"/>
    </w:pPr>
    <w:rPr>
      <w:rFonts w:eastAsia="仿宋_GB2312"/>
      <w:sz w:val="24"/>
    </w:rPr>
  </w:style>
  <w:style w:type="paragraph" w:customStyle="1" w:styleId="3165">
    <w:name w:val="正文.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166">
    <w:name w:val="文本框1"/>
    <w:basedOn w:val="1"/>
    <w:qFormat/>
    <w:uiPriority w:val="0"/>
    <w:pPr>
      <w:adjustRightInd w:val="0"/>
      <w:snapToGrid w:val="0"/>
      <w:spacing w:after="6"/>
      <w:jc w:val="center"/>
    </w:pPr>
    <w:rPr>
      <w:rFonts w:eastAsia="仿宋_GB2312"/>
    </w:rPr>
  </w:style>
  <w:style w:type="paragraph" w:customStyle="1" w:styleId="3167">
    <w:name w:val="表内宋5111"/>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168">
    <w:name w:val="表内文字小313"/>
    <w:basedOn w:val="1"/>
    <w:qFormat/>
    <w:uiPriority w:val="0"/>
    <w:pPr>
      <w:adjustRightInd w:val="0"/>
      <w:snapToGrid w:val="0"/>
      <w:jc w:val="center"/>
    </w:pPr>
    <w:rPr>
      <w:rFonts w:ascii="宋体" w:hAnsi="Times" w:cs="宋体"/>
      <w:bCs/>
      <w:color w:val="003366"/>
      <w:szCs w:val="20"/>
    </w:rPr>
  </w:style>
  <w:style w:type="paragraph" w:customStyle="1" w:styleId="3169">
    <w:name w:val="表文字53"/>
    <w:basedOn w:val="1"/>
    <w:qFormat/>
    <w:uiPriority w:val="0"/>
    <w:pPr>
      <w:adjustRightInd w:val="0"/>
      <w:jc w:val="left"/>
    </w:pPr>
    <w:rPr>
      <w:rFonts w:ascii="宋体"/>
      <w:kern w:val="0"/>
      <w:szCs w:val="20"/>
    </w:rPr>
  </w:style>
  <w:style w:type="paragraph" w:customStyle="1" w:styleId="3170">
    <w:name w:val="表题313"/>
    <w:basedOn w:val="35"/>
    <w:qFormat/>
    <w:uiPriority w:val="0"/>
    <w:pPr>
      <w:tabs>
        <w:tab w:val="left" w:pos="4305"/>
      </w:tabs>
      <w:adjustRightInd w:val="0"/>
      <w:snapToGrid w:val="0"/>
      <w:ind w:firstLine="0"/>
      <w:jc w:val="center"/>
    </w:pPr>
    <w:rPr>
      <w:rFonts w:ascii="宋体" w:hAnsi="宋体"/>
      <w:sz w:val="24"/>
    </w:rPr>
  </w:style>
  <w:style w:type="paragraph" w:customStyle="1" w:styleId="3171">
    <w:name w:val="表内文字小213"/>
    <w:basedOn w:val="1"/>
    <w:qFormat/>
    <w:uiPriority w:val="0"/>
    <w:pPr>
      <w:adjustRightInd w:val="0"/>
      <w:snapToGrid w:val="0"/>
      <w:jc w:val="center"/>
    </w:pPr>
    <w:rPr>
      <w:rFonts w:ascii="宋体" w:hAnsi="Times"/>
      <w:bCs/>
      <w:color w:val="000000"/>
      <w:szCs w:val="20"/>
    </w:rPr>
  </w:style>
  <w:style w:type="paragraph" w:customStyle="1" w:styleId="3172">
    <w:name w:val="燕山正文3"/>
    <w:basedOn w:val="1"/>
    <w:qFormat/>
    <w:uiPriority w:val="0"/>
    <w:pPr>
      <w:tabs>
        <w:tab w:val="left" w:pos="4680"/>
      </w:tabs>
      <w:adjustRightInd w:val="0"/>
      <w:snapToGrid w:val="0"/>
      <w:spacing w:line="480" w:lineRule="exact"/>
    </w:pPr>
    <w:rPr>
      <w:rFonts w:ascii="宋体" w:cs="宋体"/>
      <w:sz w:val="24"/>
    </w:rPr>
  </w:style>
  <w:style w:type="paragraph" w:customStyle="1" w:styleId="3173">
    <w:name w:val="正文修改3"/>
    <w:basedOn w:val="280"/>
    <w:qFormat/>
    <w:uiPriority w:val="0"/>
    <w:pPr>
      <w:spacing w:line="480" w:lineRule="exact"/>
      <w:ind w:firstLine="0" w:firstLineChars="0"/>
      <w:jc w:val="both"/>
    </w:pPr>
    <w:rPr>
      <w:rFonts w:hint="eastAsia" w:cs="宋体"/>
      <w:szCs w:val="24"/>
    </w:rPr>
  </w:style>
  <w:style w:type="paragraph" w:customStyle="1" w:styleId="3174">
    <w:name w:val="表题14"/>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175">
    <w:name w:val="表中文字3"/>
    <w:basedOn w:val="1"/>
    <w:qFormat/>
    <w:uiPriority w:val="0"/>
    <w:pPr>
      <w:widowControl/>
      <w:spacing w:line="240" w:lineRule="atLeast"/>
      <w:ind w:left="-24" w:leftChars="-10" w:right="-48" w:rightChars="-20"/>
      <w:jc w:val="center"/>
    </w:pPr>
    <w:rPr>
      <w:rFonts w:ascii="宋体"/>
      <w:kern w:val="0"/>
      <w:szCs w:val="21"/>
    </w:rPr>
  </w:style>
  <w:style w:type="paragraph" w:customStyle="1" w:styleId="3176">
    <w:name w:val="黑体三号3"/>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177">
    <w:name w:val="默认段落字体 Para Char Char Char Char3"/>
    <w:basedOn w:val="1"/>
    <w:qFormat/>
    <w:uiPriority w:val="0"/>
  </w:style>
  <w:style w:type="paragraph" w:customStyle="1" w:styleId="3178">
    <w:name w:val="表内5413"/>
    <w:basedOn w:val="1"/>
    <w:qFormat/>
    <w:uiPriority w:val="0"/>
    <w:pPr>
      <w:adjustRightInd w:val="0"/>
      <w:snapToGrid w:val="0"/>
      <w:spacing w:line="300" w:lineRule="auto"/>
      <w:jc w:val="center"/>
    </w:pPr>
    <w:rPr>
      <w:rFonts w:ascii="宋体" w:hAnsi="宋体" w:cs="宋体"/>
      <w:szCs w:val="20"/>
    </w:rPr>
  </w:style>
  <w:style w:type="paragraph" w:customStyle="1" w:styleId="3179">
    <w:name w:val="表题211"/>
    <w:basedOn w:val="1"/>
    <w:qFormat/>
    <w:uiPriority w:val="0"/>
    <w:pPr>
      <w:widowControl/>
      <w:adjustRightInd w:val="0"/>
      <w:snapToGrid w:val="0"/>
      <w:jc w:val="center"/>
    </w:pPr>
    <w:rPr>
      <w:rFonts w:ascii="黑体" w:hAnsi="宋体" w:eastAsia="黑体" w:cs="宋体"/>
      <w:kern w:val="0"/>
      <w:sz w:val="24"/>
    </w:rPr>
  </w:style>
  <w:style w:type="paragraph" w:customStyle="1" w:styleId="3180">
    <w:name w:val="表内宋5中11"/>
    <w:basedOn w:val="1"/>
    <w:qFormat/>
    <w:uiPriority w:val="0"/>
    <w:pPr>
      <w:adjustRightInd w:val="0"/>
      <w:snapToGrid w:val="0"/>
      <w:jc w:val="center"/>
    </w:pPr>
    <w:rPr>
      <w:rFonts w:ascii="宋体" w:hAnsi="宋体" w:cs="宋体"/>
      <w:kern w:val="0"/>
      <w:szCs w:val="20"/>
    </w:rPr>
  </w:style>
  <w:style w:type="paragraph" w:customStyle="1" w:styleId="3181">
    <w:name w:val="表内宋5中1"/>
    <w:basedOn w:val="1"/>
    <w:qFormat/>
    <w:uiPriority w:val="0"/>
    <w:pPr>
      <w:adjustRightInd w:val="0"/>
      <w:snapToGrid w:val="0"/>
      <w:jc w:val="center"/>
    </w:pPr>
    <w:rPr>
      <w:rFonts w:ascii="宋体" w:hAnsi="宋体" w:cs="宋体"/>
      <w:kern w:val="0"/>
      <w:szCs w:val="20"/>
    </w:rPr>
  </w:style>
  <w:style w:type="paragraph" w:customStyle="1" w:styleId="3182">
    <w:name w:val="表内文字小11"/>
    <w:basedOn w:val="1"/>
    <w:qFormat/>
    <w:uiPriority w:val="0"/>
    <w:pPr>
      <w:adjustRightInd w:val="0"/>
      <w:snapToGrid w:val="0"/>
    </w:pPr>
    <w:rPr>
      <w:rFonts w:ascii="宋体" w:hAnsi="Times" w:cs="宋体"/>
      <w:szCs w:val="20"/>
    </w:rPr>
  </w:style>
  <w:style w:type="paragraph" w:customStyle="1" w:styleId="3183">
    <w:name w:val="标题4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184">
    <w:name w:val="表题141"/>
    <w:basedOn w:val="1"/>
    <w:qFormat/>
    <w:uiPriority w:val="0"/>
    <w:pPr>
      <w:widowControl/>
      <w:adjustRightInd w:val="0"/>
      <w:snapToGrid w:val="0"/>
      <w:jc w:val="center"/>
    </w:pPr>
    <w:rPr>
      <w:rFonts w:ascii="黑体" w:hAnsi="宋体" w:eastAsia="黑体" w:cs="宋体"/>
      <w:kern w:val="0"/>
      <w:sz w:val="24"/>
    </w:rPr>
  </w:style>
  <w:style w:type="paragraph" w:customStyle="1" w:styleId="3185">
    <w:name w:val="表内文字小8"/>
    <w:basedOn w:val="1"/>
    <w:qFormat/>
    <w:uiPriority w:val="0"/>
    <w:pPr>
      <w:adjustRightInd w:val="0"/>
      <w:snapToGrid w:val="0"/>
      <w:jc w:val="center"/>
    </w:pPr>
    <w:rPr>
      <w:rFonts w:ascii="宋体" w:hAnsi="Times" w:cs="宋体"/>
      <w:szCs w:val="20"/>
    </w:rPr>
  </w:style>
  <w:style w:type="paragraph" w:customStyle="1" w:styleId="3186">
    <w:name w:val="默认段落字体 Para Char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187">
    <w:name w:val="表内5中"/>
    <w:basedOn w:val="1"/>
    <w:qFormat/>
    <w:uiPriority w:val="0"/>
    <w:pPr>
      <w:adjustRightInd w:val="0"/>
      <w:snapToGrid w:val="0"/>
      <w:jc w:val="center"/>
    </w:pPr>
    <w:rPr>
      <w:rFonts w:ascii="宋体" w:hAnsi="宋体" w:cs="Arial"/>
      <w:color w:val="000000"/>
      <w:szCs w:val="21"/>
    </w:rPr>
  </w:style>
  <w:style w:type="paragraph" w:customStyle="1" w:styleId="3188">
    <w:name w:val="正文格式＝5"/>
    <w:basedOn w:val="1192"/>
    <w:next w:val="1192"/>
    <w:semiHidden/>
    <w:qFormat/>
    <w:uiPriority w:val="0"/>
    <w:pPr>
      <w:adjustRightInd/>
      <w:snapToGrid/>
      <w:ind w:firstLine="482" w:firstLineChars="0"/>
    </w:pPr>
    <w:rPr>
      <w:rFonts w:hint="eastAsia" w:ascii="宋体" w:hAnsi="宋体"/>
      <w:szCs w:val="24"/>
    </w:rPr>
  </w:style>
  <w:style w:type="paragraph" w:customStyle="1" w:styleId="3189">
    <w:name w:val="附件3"/>
    <w:basedOn w:val="4"/>
    <w:next w:val="1192"/>
    <w:qFormat/>
    <w:uiPriority w:val="0"/>
    <w:pPr>
      <w:numPr>
        <w:numId w:val="0"/>
      </w:numPr>
      <w:tabs>
        <w:tab w:val="left" w:pos="1566"/>
      </w:tabs>
      <w:spacing w:line="360" w:lineRule="auto"/>
    </w:pPr>
    <w:rPr>
      <w:rFonts w:ascii="黑体" w:hAnsi="宋体"/>
      <w:sz w:val="32"/>
      <w:szCs w:val="32"/>
    </w:rPr>
  </w:style>
  <w:style w:type="paragraph" w:customStyle="1" w:styleId="3190">
    <w:name w:val="黑体三号4"/>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191">
    <w:name w:val="默认段落字体 Para Char Char Char Char4"/>
    <w:basedOn w:val="1"/>
    <w:qFormat/>
    <w:uiPriority w:val="0"/>
  </w:style>
  <w:style w:type="paragraph" w:customStyle="1" w:styleId="3192">
    <w:name w:val="Char7"/>
    <w:basedOn w:val="1"/>
    <w:qFormat/>
    <w:uiPriority w:val="0"/>
    <w:pPr>
      <w:ind w:left="-48"/>
    </w:pPr>
  </w:style>
  <w:style w:type="paragraph" w:customStyle="1" w:styleId="3193">
    <w:name w:val="Char Char2 Char Char Char Char1"/>
    <w:basedOn w:val="1"/>
    <w:semiHidden/>
    <w:qFormat/>
    <w:uiPriority w:val="0"/>
  </w:style>
  <w:style w:type="paragraph" w:customStyle="1" w:styleId="3194">
    <w:name w:val="样式 样式 宋体 + 首行缩进:  2 字符1"/>
    <w:basedOn w:val="1"/>
    <w:qFormat/>
    <w:uiPriority w:val="0"/>
    <w:pPr>
      <w:spacing w:line="360" w:lineRule="auto"/>
      <w:ind w:firstLine="480" w:firstLineChars="200"/>
      <w:jc w:val="left"/>
    </w:pPr>
    <w:rPr>
      <w:rFonts w:ascii="宋体" w:cs="宋体"/>
      <w:sz w:val="24"/>
    </w:rPr>
  </w:style>
  <w:style w:type="paragraph" w:customStyle="1" w:styleId="3195">
    <w:name w:val="表内宋5中2"/>
    <w:basedOn w:val="1"/>
    <w:qFormat/>
    <w:uiPriority w:val="0"/>
    <w:pPr>
      <w:adjustRightInd w:val="0"/>
      <w:snapToGrid w:val="0"/>
      <w:jc w:val="center"/>
    </w:pPr>
    <w:rPr>
      <w:rFonts w:ascii="宋体" w:hAnsi="宋体"/>
      <w:kern w:val="0"/>
      <w:szCs w:val="20"/>
    </w:rPr>
  </w:style>
  <w:style w:type="paragraph" w:customStyle="1" w:styleId="3196">
    <w:name w:val="Fax Header"/>
    <w:basedOn w:val="1"/>
    <w:qFormat/>
    <w:uiPriority w:val="0"/>
    <w:pPr>
      <w:widowControl/>
      <w:spacing w:before="240" w:after="60"/>
      <w:jc w:val="left"/>
    </w:pPr>
    <w:rPr>
      <w:kern w:val="0"/>
      <w:sz w:val="20"/>
      <w:szCs w:val="20"/>
    </w:rPr>
  </w:style>
  <w:style w:type="paragraph" w:customStyle="1" w:styleId="3197">
    <w:name w:val="样式 表格内字体1 +"/>
    <w:basedOn w:val="1476"/>
    <w:next w:val="1491"/>
    <w:qFormat/>
    <w:uiPriority w:val="0"/>
    <w:rPr>
      <w:rFonts w:hint="eastAsia"/>
    </w:rPr>
  </w:style>
  <w:style w:type="paragraph" w:customStyle="1" w:styleId="3198">
    <w:name w:val="Char Char2 Char Char Char Char11"/>
    <w:basedOn w:val="1"/>
    <w:semiHidden/>
    <w:qFormat/>
    <w:uiPriority w:val="0"/>
  </w:style>
  <w:style w:type="paragraph" w:customStyle="1" w:styleId="3199">
    <w:name w:val="Char8"/>
    <w:basedOn w:val="1"/>
    <w:qFormat/>
    <w:uiPriority w:val="0"/>
    <w:pPr>
      <w:ind w:left="-48"/>
    </w:pPr>
  </w:style>
  <w:style w:type="paragraph" w:customStyle="1" w:styleId="3200">
    <w:name w:val="正文格式7"/>
    <w:basedOn w:val="1"/>
    <w:qFormat/>
    <w:uiPriority w:val="0"/>
    <w:pPr>
      <w:spacing w:line="360" w:lineRule="auto"/>
      <w:ind w:firstLine="482"/>
    </w:pPr>
    <w:rPr>
      <w:rFonts w:ascii="宋体" w:hAnsi="宋体"/>
      <w:sz w:val="24"/>
    </w:rPr>
  </w:style>
  <w:style w:type="paragraph" w:customStyle="1" w:styleId="3201">
    <w:name w:val="图题7"/>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202">
    <w:name w:val="Char9"/>
    <w:basedOn w:val="1"/>
    <w:qFormat/>
    <w:uiPriority w:val="0"/>
    <w:pPr>
      <w:ind w:left="-48"/>
    </w:pPr>
  </w:style>
  <w:style w:type="paragraph" w:customStyle="1" w:styleId="3203">
    <w:name w:val="正文格式＝6"/>
    <w:basedOn w:val="1192"/>
    <w:next w:val="1192"/>
    <w:semiHidden/>
    <w:qFormat/>
    <w:uiPriority w:val="0"/>
    <w:pPr>
      <w:adjustRightInd/>
      <w:snapToGrid/>
      <w:ind w:firstLine="482" w:firstLineChars="0"/>
    </w:pPr>
    <w:rPr>
      <w:rFonts w:hint="eastAsia" w:ascii="宋体" w:hAnsi="宋体"/>
      <w:szCs w:val="24"/>
    </w:rPr>
  </w:style>
  <w:style w:type="paragraph" w:customStyle="1" w:styleId="3204">
    <w:name w:val="燕山正文4"/>
    <w:basedOn w:val="1"/>
    <w:qFormat/>
    <w:uiPriority w:val="0"/>
    <w:pPr>
      <w:tabs>
        <w:tab w:val="left" w:pos="4680"/>
      </w:tabs>
      <w:adjustRightInd w:val="0"/>
      <w:snapToGrid w:val="0"/>
      <w:spacing w:line="480" w:lineRule="exact"/>
    </w:pPr>
    <w:rPr>
      <w:rFonts w:ascii="宋体" w:cs="宋体"/>
      <w:sz w:val="24"/>
    </w:rPr>
  </w:style>
  <w:style w:type="paragraph" w:customStyle="1" w:styleId="3205">
    <w:name w:val="正文修改4"/>
    <w:basedOn w:val="280"/>
    <w:qFormat/>
    <w:uiPriority w:val="0"/>
    <w:pPr>
      <w:spacing w:line="480" w:lineRule="exact"/>
      <w:ind w:firstLine="0" w:firstLineChars="0"/>
      <w:jc w:val="both"/>
    </w:pPr>
    <w:rPr>
      <w:rFonts w:hint="eastAsia" w:cs="宋体"/>
      <w:szCs w:val="24"/>
    </w:rPr>
  </w:style>
  <w:style w:type="paragraph" w:customStyle="1" w:styleId="3206">
    <w:name w:val="表中文字5"/>
    <w:basedOn w:val="1"/>
    <w:qFormat/>
    <w:uiPriority w:val="0"/>
    <w:pPr>
      <w:widowControl/>
      <w:spacing w:line="240" w:lineRule="atLeast"/>
      <w:ind w:left="-24" w:leftChars="-10" w:right="-48" w:rightChars="-20"/>
      <w:jc w:val="center"/>
    </w:pPr>
    <w:rPr>
      <w:rFonts w:ascii="宋体"/>
      <w:kern w:val="0"/>
      <w:szCs w:val="21"/>
    </w:rPr>
  </w:style>
  <w:style w:type="paragraph" w:customStyle="1" w:styleId="3207">
    <w:name w:val="默认段落字体 Para Char Char Char Char5"/>
    <w:basedOn w:val="1"/>
    <w:qFormat/>
    <w:uiPriority w:val="0"/>
  </w:style>
  <w:style w:type="paragraph" w:customStyle="1" w:styleId="3208">
    <w:name w:val="Char10"/>
    <w:basedOn w:val="1"/>
    <w:qFormat/>
    <w:uiPriority w:val="0"/>
    <w:pPr>
      <w:adjustRightInd w:val="0"/>
      <w:snapToGrid w:val="0"/>
      <w:spacing w:line="360" w:lineRule="auto"/>
    </w:pPr>
  </w:style>
  <w:style w:type="paragraph" w:customStyle="1" w:styleId="3209">
    <w:name w:val="表内5中1"/>
    <w:basedOn w:val="1"/>
    <w:qFormat/>
    <w:uiPriority w:val="0"/>
    <w:pPr>
      <w:adjustRightInd w:val="0"/>
      <w:snapToGrid w:val="0"/>
      <w:jc w:val="center"/>
    </w:pPr>
    <w:rPr>
      <w:rFonts w:ascii="宋体" w:hAnsi="宋体" w:cs="Arial"/>
      <w:color w:val="000000"/>
      <w:szCs w:val="21"/>
    </w:rPr>
  </w:style>
  <w:style w:type="paragraph" w:customStyle="1" w:styleId="3210">
    <w:name w:val="表内5414"/>
    <w:basedOn w:val="1"/>
    <w:qFormat/>
    <w:uiPriority w:val="0"/>
    <w:pPr>
      <w:adjustRightInd w:val="0"/>
      <w:snapToGrid w:val="0"/>
      <w:spacing w:line="300" w:lineRule="auto"/>
      <w:jc w:val="center"/>
    </w:pPr>
    <w:rPr>
      <w:rFonts w:ascii="宋体" w:hAnsi="宋体" w:cs="宋体"/>
      <w:szCs w:val="20"/>
    </w:rPr>
  </w:style>
  <w:style w:type="paragraph" w:customStyle="1" w:styleId="3211">
    <w:name w:val="表题9"/>
    <w:basedOn w:val="45"/>
    <w:qFormat/>
    <w:uiPriority w:val="0"/>
    <w:pPr>
      <w:adjustRightInd w:val="0"/>
      <w:snapToGrid w:val="0"/>
      <w:spacing w:line="300" w:lineRule="auto"/>
      <w:jc w:val="center"/>
    </w:pPr>
    <w:rPr>
      <w:rFonts w:ascii="黑体" w:eastAsia="黑体"/>
      <w:sz w:val="24"/>
      <w:szCs w:val="20"/>
    </w:rPr>
  </w:style>
  <w:style w:type="paragraph" w:customStyle="1" w:styleId="3212">
    <w:name w:val="表内59"/>
    <w:basedOn w:val="1"/>
    <w:qFormat/>
    <w:uiPriority w:val="0"/>
    <w:pPr>
      <w:adjustRightInd w:val="0"/>
      <w:snapToGrid w:val="0"/>
      <w:spacing w:line="300" w:lineRule="auto"/>
      <w:jc w:val="center"/>
    </w:pPr>
    <w:rPr>
      <w:rFonts w:ascii="宋体"/>
      <w:szCs w:val="21"/>
    </w:rPr>
  </w:style>
  <w:style w:type="paragraph" w:customStyle="1" w:styleId="3213">
    <w:name w:val="表内小5中"/>
    <w:basedOn w:val="1"/>
    <w:qFormat/>
    <w:uiPriority w:val="0"/>
    <w:pPr>
      <w:adjustRightInd w:val="0"/>
      <w:snapToGrid w:val="0"/>
      <w:jc w:val="center"/>
    </w:pPr>
    <w:rPr>
      <w:rFonts w:ascii="宋体" w:hAnsi="宋体"/>
      <w:sz w:val="18"/>
      <w:szCs w:val="20"/>
    </w:rPr>
  </w:style>
  <w:style w:type="paragraph" w:customStyle="1" w:styleId="3214">
    <w:name w:val="表内5中4"/>
    <w:basedOn w:val="1"/>
    <w:qFormat/>
    <w:uiPriority w:val="0"/>
    <w:pPr>
      <w:adjustRightInd w:val="0"/>
      <w:snapToGrid w:val="0"/>
      <w:jc w:val="center"/>
    </w:pPr>
    <w:rPr>
      <w:rFonts w:ascii="宋体"/>
      <w:bCs/>
      <w:szCs w:val="20"/>
    </w:rPr>
  </w:style>
  <w:style w:type="paragraph" w:customStyle="1" w:styleId="3215">
    <w:name w:val="默认段落字体 Para Char4"/>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216">
    <w:name w:val="燕山正文13"/>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217">
    <w:name w:val="样式 标题 4无效格式无效格式1河石管道4H4H41小小节河石管道41H42H411小小节1河石管道42..."/>
    <w:basedOn w:val="7"/>
    <w:qFormat/>
    <w:uiPriority w:val="0"/>
    <w:pPr>
      <w:numPr>
        <w:ilvl w:val="0"/>
        <w:numId w:val="0"/>
      </w:numPr>
      <w:ind w:left="664" w:hanging="864"/>
    </w:pPr>
    <w:rPr>
      <w:rFonts w:ascii="黑体" w:hAnsi="Arial"/>
      <w:bCs w:val="0"/>
      <w:sz w:val="24"/>
      <w:szCs w:val="24"/>
    </w:rPr>
  </w:style>
  <w:style w:type="paragraph" w:customStyle="1" w:styleId="3218">
    <w:name w:val="样式 标题 4无效格式无效格式1河石管道4H4H41小小节河石管道41H42H411小小节1河石管道42...1"/>
    <w:basedOn w:val="7"/>
    <w:qFormat/>
    <w:uiPriority w:val="0"/>
    <w:pPr>
      <w:numPr>
        <w:ilvl w:val="0"/>
        <w:numId w:val="0"/>
      </w:numPr>
      <w:ind w:left="664" w:hanging="864"/>
      <w:jc w:val="left"/>
    </w:pPr>
    <w:rPr>
      <w:rFonts w:ascii="黑体" w:hAnsi="Arial" w:cs="宋体"/>
      <w:bCs w:val="0"/>
      <w:sz w:val="24"/>
      <w:szCs w:val="20"/>
    </w:rPr>
  </w:style>
  <w:style w:type="paragraph" w:customStyle="1" w:styleId="3219">
    <w:name w:val="正文格式8"/>
    <w:basedOn w:val="1"/>
    <w:qFormat/>
    <w:uiPriority w:val="0"/>
    <w:pPr>
      <w:spacing w:line="360" w:lineRule="auto"/>
      <w:ind w:firstLine="482"/>
    </w:pPr>
    <w:rPr>
      <w:rFonts w:ascii="宋体" w:hAnsi="宋体"/>
      <w:sz w:val="24"/>
    </w:rPr>
  </w:style>
  <w:style w:type="paragraph" w:customStyle="1" w:styleId="3220">
    <w:name w:val="正文格式9"/>
    <w:basedOn w:val="1"/>
    <w:qFormat/>
    <w:uiPriority w:val="0"/>
    <w:pPr>
      <w:spacing w:line="360" w:lineRule="auto"/>
      <w:ind w:firstLine="482"/>
    </w:pPr>
    <w:rPr>
      <w:rFonts w:ascii="宋体" w:hAnsi="宋体"/>
      <w:sz w:val="24"/>
    </w:rPr>
  </w:style>
  <w:style w:type="paragraph" w:customStyle="1" w:styleId="3221">
    <w:name w:val="Char Char2 Char Char Char Char2"/>
    <w:basedOn w:val="1"/>
    <w:semiHidden/>
    <w:qFormat/>
    <w:uiPriority w:val="0"/>
  </w:style>
  <w:style w:type="paragraph" w:customStyle="1" w:styleId="3222">
    <w:name w:val="Char Char Char Char Char Char Char13"/>
    <w:basedOn w:val="1"/>
    <w:qFormat/>
    <w:uiPriority w:val="0"/>
  </w:style>
  <w:style w:type="paragraph" w:customStyle="1" w:styleId="3223">
    <w:name w:val="Char Char Char Char Char Char Char21"/>
    <w:basedOn w:val="1"/>
    <w:qFormat/>
    <w:uiPriority w:val="0"/>
  </w:style>
  <w:style w:type="paragraph" w:customStyle="1" w:styleId="3224">
    <w:name w:val="Char Char2 Char Char Char Char3"/>
    <w:basedOn w:val="1"/>
    <w:semiHidden/>
    <w:qFormat/>
    <w:uiPriority w:val="0"/>
  </w:style>
  <w:style w:type="paragraph" w:customStyle="1" w:styleId="3225">
    <w:name w:val="Char15"/>
    <w:basedOn w:val="1"/>
    <w:qFormat/>
    <w:uiPriority w:val="0"/>
    <w:pPr>
      <w:ind w:left="-48"/>
    </w:pPr>
  </w:style>
  <w:style w:type="paragraph" w:customStyle="1" w:styleId="3226">
    <w:name w:val="Char16"/>
    <w:basedOn w:val="1"/>
    <w:qFormat/>
    <w:uiPriority w:val="0"/>
    <w:pPr>
      <w:ind w:left="-48"/>
    </w:pPr>
  </w:style>
  <w:style w:type="paragraph" w:customStyle="1" w:styleId="3227">
    <w:name w:val="Char Char Char Char Char Char Char14"/>
    <w:basedOn w:val="1"/>
    <w:qFormat/>
    <w:uiPriority w:val="0"/>
  </w:style>
  <w:style w:type="paragraph" w:customStyle="1" w:styleId="3228">
    <w:name w:val="Char24"/>
    <w:basedOn w:val="1"/>
    <w:qFormat/>
    <w:uiPriority w:val="0"/>
    <w:pPr>
      <w:ind w:left="-48"/>
    </w:pPr>
  </w:style>
  <w:style w:type="paragraph" w:customStyle="1" w:styleId="3229">
    <w:name w:val="Char Char Char Char Char Char Char22"/>
    <w:basedOn w:val="1"/>
    <w:qFormat/>
    <w:uiPriority w:val="0"/>
  </w:style>
  <w:style w:type="paragraph" w:customStyle="1" w:styleId="3230">
    <w:name w:val="正文格式10"/>
    <w:basedOn w:val="1"/>
    <w:qFormat/>
    <w:uiPriority w:val="0"/>
    <w:pPr>
      <w:spacing w:line="360" w:lineRule="auto"/>
      <w:ind w:firstLine="482"/>
    </w:pPr>
    <w:rPr>
      <w:rFonts w:ascii="宋体" w:hAnsi="宋体"/>
      <w:sz w:val="24"/>
    </w:rPr>
  </w:style>
  <w:style w:type="paragraph" w:customStyle="1" w:styleId="3231">
    <w:name w:val="图题8"/>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232">
    <w:name w:val="表格内字体8"/>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233">
    <w:name w:val="正文格式＝7"/>
    <w:basedOn w:val="1192"/>
    <w:next w:val="1192"/>
    <w:semiHidden/>
    <w:qFormat/>
    <w:uiPriority w:val="0"/>
    <w:pPr>
      <w:adjustRightInd/>
      <w:snapToGrid/>
      <w:ind w:firstLine="482" w:firstLineChars="0"/>
    </w:pPr>
    <w:rPr>
      <w:rFonts w:hint="eastAsia" w:ascii="宋体" w:hAnsi="宋体"/>
      <w:szCs w:val="24"/>
    </w:rPr>
  </w:style>
  <w:style w:type="paragraph" w:customStyle="1" w:styleId="3234">
    <w:name w:val="表题16"/>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235">
    <w:name w:val="燕山正文5"/>
    <w:basedOn w:val="1"/>
    <w:qFormat/>
    <w:uiPriority w:val="0"/>
    <w:pPr>
      <w:tabs>
        <w:tab w:val="left" w:pos="4680"/>
      </w:tabs>
      <w:adjustRightInd w:val="0"/>
      <w:snapToGrid w:val="0"/>
      <w:spacing w:line="480" w:lineRule="exact"/>
    </w:pPr>
    <w:rPr>
      <w:rFonts w:ascii="宋体" w:cs="宋体"/>
      <w:sz w:val="24"/>
    </w:rPr>
  </w:style>
  <w:style w:type="paragraph" w:customStyle="1" w:styleId="3236">
    <w:name w:val="正文修改5"/>
    <w:basedOn w:val="280"/>
    <w:qFormat/>
    <w:uiPriority w:val="0"/>
    <w:pPr>
      <w:spacing w:line="480" w:lineRule="exact"/>
      <w:ind w:firstLine="0" w:firstLineChars="0"/>
      <w:jc w:val="both"/>
    </w:pPr>
    <w:rPr>
      <w:rFonts w:hint="eastAsia" w:cs="宋体"/>
      <w:szCs w:val="24"/>
    </w:rPr>
  </w:style>
  <w:style w:type="paragraph" w:customStyle="1" w:styleId="3237">
    <w:name w:val="表中文字6"/>
    <w:basedOn w:val="1"/>
    <w:qFormat/>
    <w:uiPriority w:val="0"/>
    <w:pPr>
      <w:widowControl/>
      <w:spacing w:line="240" w:lineRule="atLeast"/>
      <w:ind w:left="-24" w:leftChars="-10" w:right="-48" w:rightChars="-20"/>
      <w:jc w:val="center"/>
    </w:pPr>
    <w:rPr>
      <w:rFonts w:ascii="宋体"/>
      <w:kern w:val="0"/>
      <w:szCs w:val="21"/>
    </w:rPr>
  </w:style>
  <w:style w:type="paragraph" w:customStyle="1" w:styleId="3238">
    <w:name w:val="默认段落字体 Para Char Char Char Char6"/>
    <w:basedOn w:val="1"/>
    <w:qFormat/>
    <w:uiPriority w:val="0"/>
  </w:style>
  <w:style w:type="paragraph" w:customStyle="1" w:styleId="3239">
    <w:name w:val="Char121"/>
    <w:basedOn w:val="1"/>
    <w:qFormat/>
    <w:uiPriority w:val="0"/>
    <w:pPr>
      <w:adjustRightInd w:val="0"/>
      <w:snapToGrid w:val="0"/>
      <w:spacing w:line="360" w:lineRule="auto"/>
    </w:pPr>
  </w:style>
  <w:style w:type="paragraph" w:customStyle="1" w:styleId="3240">
    <w:name w:val="封面标准文稿编辑信息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241">
    <w:name w:val="样式 表内小5 + 黑体 加粗 倾斜 下划线1"/>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242">
    <w:name w:val="表内5中2"/>
    <w:basedOn w:val="1"/>
    <w:qFormat/>
    <w:uiPriority w:val="0"/>
    <w:pPr>
      <w:adjustRightInd w:val="0"/>
      <w:snapToGrid w:val="0"/>
      <w:jc w:val="center"/>
    </w:pPr>
    <w:rPr>
      <w:rFonts w:ascii="宋体" w:hAnsi="宋体" w:cs="Arial"/>
      <w:color w:val="000000"/>
      <w:szCs w:val="21"/>
    </w:rPr>
  </w:style>
  <w:style w:type="paragraph" w:customStyle="1" w:styleId="3243">
    <w:name w:val="表内5415"/>
    <w:basedOn w:val="1"/>
    <w:qFormat/>
    <w:uiPriority w:val="0"/>
    <w:pPr>
      <w:adjustRightInd w:val="0"/>
      <w:snapToGrid w:val="0"/>
      <w:spacing w:line="300" w:lineRule="auto"/>
      <w:jc w:val="center"/>
    </w:pPr>
    <w:rPr>
      <w:rFonts w:ascii="宋体" w:hAnsi="宋体" w:cs="宋体"/>
      <w:szCs w:val="20"/>
    </w:rPr>
  </w:style>
  <w:style w:type="paragraph" w:customStyle="1" w:styleId="3244">
    <w:name w:val="表格11"/>
    <w:basedOn w:val="1"/>
    <w:qFormat/>
    <w:uiPriority w:val="0"/>
    <w:pPr>
      <w:adjustRightInd w:val="0"/>
      <w:jc w:val="center"/>
    </w:pPr>
    <w:rPr>
      <w:rFonts w:ascii="宋体"/>
      <w:kern w:val="0"/>
      <w:sz w:val="24"/>
      <w:szCs w:val="20"/>
    </w:rPr>
  </w:style>
  <w:style w:type="paragraph" w:customStyle="1" w:styleId="3245">
    <w:name w:val="表题91"/>
    <w:basedOn w:val="45"/>
    <w:qFormat/>
    <w:uiPriority w:val="0"/>
    <w:pPr>
      <w:adjustRightInd w:val="0"/>
      <w:snapToGrid w:val="0"/>
      <w:spacing w:line="300" w:lineRule="auto"/>
      <w:jc w:val="center"/>
    </w:pPr>
    <w:rPr>
      <w:rFonts w:ascii="黑体" w:eastAsia="黑体"/>
      <w:sz w:val="24"/>
      <w:szCs w:val="20"/>
    </w:rPr>
  </w:style>
  <w:style w:type="paragraph" w:customStyle="1" w:styleId="3246">
    <w:name w:val="福建正文缩进1"/>
    <w:basedOn w:val="22"/>
    <w:qFormat/>
    <w:uiPriority w:val="0"/>
    <w:pPr>
      <w:adjustRightInd w:val="0"/>
      <w:snapToGrid w:val="0"/>
      <w:spacing w:line="360" w:lineRule="auto"/>
      <w:ind w:firstLine="567" w:firstLineChars="0"/>
    </w:pPr>
    <w:rPr>
      <w:rFonts w:ascii="宋体"/>
      <w:kern w:val="0"/>
      <w:sz w:val="24"/>
    </w:rPr>
  </w:style>
  <w:style w:type="paragraph" w:customStyle="1" w:styleId="3247">
    <w:name w:val="表内文字小3"/>
    <w:basedOn w:val="1"/>
    <w:qFormat/>
    <w:uiPriority w:val="0"/>
    <w:pPr>
      <w:adjustRightInd w:val="0"/>
      <w:snapToGrid w:val="0"/>
      <w:jc w:val="center"/>
    </w:pPr>
    <w:rPr>
      <w:rFonts w:ascii="宋体" w:hAnsi="Times"/>
      <w:szCs w:val="20"/>
    </w:rPr>
  </w:style>
  <w:style w:type="paragraph" w:customStyle="1" w:styleId="3248">
    <w:name w:val="表内591"/>
    <w:basedOn w:val="1"/>
    <w:qFormat/>
    <w:uiPriority w:val="0"/>
    <w:pPr>
      <w:adjustRightInd w:val="0"/>
      <w:snapToGrid w:val="0"/>
      <w:spacing w:line="300" w:lineRule="auto"/>
      <w:jc w:val="center"/>
    </w:pPr>
    <w:rPr>
      <w:rFonts w:ascii="宋体"/>
      <w:szCs w:val="21"/>
    </w:rPr>
  </w:style>
  <w:style w:type="paragraph" w:customStyle="1" w:styleId="3249">
    <w:name w:val="表内小5中1"/>
    <w:basedOn w:val="1"/>
    <w:qFormat/>
    <w:uiPriority w:val="0"/>
    <w:pPr>
      <w:adjustRightInd w:val="0"/>
      <w:snapToGrid w:val="0"/>
      <w:jc w:val="center"/>
    </w:pPr>
    <w:rPr>
      <w:rFonts w:ascii="宋体" w:hAnsi="宋体"/>
      <w:sz w:val="18"/>
      <w:szCs w:val="20"/>
    </w:rPr>
  </w:style>
  <w:style w:type="paragraph" w:customStyle="1" w:styleId="3250">
    <w:name w:val="表内5中41"/>
    <w:basedOn w:val="1"/>
    <w:qFormat/>
    <w:uiPriority w:val="0"/>
    <w:pPr>
      <w:adjustRightInd w:val="0"/>
      <w:snapToGrid w:val="0"/>
      <w:jc w:val="center"/>
    </w:pPr>
    <w:rPr>
      <w:rFonts w:ascii="宋体"/>
      <w:bCs/>
      <w:szCs w:val="20"/>
    </w:rPr>
  </w:style>
  <w:style w:type="paragraph" w:customStyle="1" w:styleId="3251">
    <w:name w:val="默认段落字体 Para Char5"/>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252">
    <w:name w:val="燕山正文13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253">
    <w:name w:val="样式 标题 4无效格式无效格式1河石管道4H4H41小小节河石管道41H42H411小小节1河石管道42...2"/>
    <w:basedOn w:val="7"/>
    <w:qFormat/>
    <w:uiPriority w:val="0"/>
    <w:pPr>
      <w:numPr>
        <w:ilvl w:val="0"/>
        <w:numId w:val="0"/>
      </w:numPr>
      <w:ind w:left="1404" w:hanging="864"/>
    </w:pPr>
    <w:rPr>
      <w:rFonts w:ascii="黑体" w:hAnsi="Arial"/>
      <w:bCs w:val="0"/>
      <w:sz w:val="24"/>
      <w:szCs w:val="24"/>
    </w:rPr>
  </w:style>
  <w:style w:type="paragraph" w:customStyle="1" w:styleId="3254">
    <w:name w:val="样式 标题 4无效格式无效格式1河石管道4H4H41小小节河石管道41H42H411小小节1河石管道42...11"/>
    <w:basedOn w:val="7"/>
    <w:qFormat/>
    <w:uiPriority w:val="0"/>
    <w:pPr>
      <w:numPr>
        <w:ilvl w:val="0"/>
        <w:numId w:val="0"/>
      </w:numPr>
      <w:ind w:left="664" w:hanging="864"/>
      <w:jc w:val="left"/>
    </w:pPr>
    <w:rPr>
      <w:rFonts w:ascii="黑体" w:hAnsi="Arial" w:cs="宋体"/>
      <w:bCs w:val="0"/>
      <w:sz w:val="24"/>
      <w:szCs w:val="20"/>
    </w:rPr>
  </w:style>
  <w:style w:type="paragraph" w:customStyle="1" w:styleId="3255">
    <w:name w:val="附件4"/>
    <w:basedOn w:val="4"/>
    <w:next w:val="1192"/>
    <w:qFormat/>
    <w:uiPriority w:val="0"/>
    <w:pPr>
      <w:numPr>
        <w:numId w:val="0"/>
      </w:numPr>
      <w:tabs>
        <w:tab w:val="left" w:pos="1566"/>
      </w:tabs>
      <w:adjustRightInd/>
      <w:snapToGrid/>
      <w:spacing w:line="360" w:lineRule="auto"/>
    </w:pPr>
    <w:rPr>
      <w:rFonts w:ascii="黑体" w:hAnsi="宋体"/>
      <w:b/>
      <w:sz w:val="32"/>
      <w:szCs w:val="32"/>
    </w:rPr>
  </w:style>
  <w:style w:type="paragraph" w:customStyle="1" w:styleId="3256">
    <w:name w:val="标题4313"/>
    <w:basedOn w:val="1"/>
    <w:qFormat/>
    <w:uiPriority w:val="0"/>
    <w:pPr>
      <w:adjustRightInd w:val="0"/>
      <w:snapToGrid w:val="0"/>
      <w:spacing w:line="480" w:lineRule="exact"/>
      <w:jc w:val="center"/>
    </w:pPr>
    <w:rPr>
      <w:rFonts w:ascii="宋体" w:hAnsi="宋体" w:cs="宋体"/>
      <w:sz w:val="24"/>
    </w:rPr>
  </w:style>
  <w:style w:type="paragraph" w:customStyle="1" w:styleId="3257">
    <w:name w:val="燕山正文114"/>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58">
    <w:name w:val="表题411"/>
    <w:basedOn w:val="35"/>
    <w:qFormat/>
    <w:uiPriority w:val="0"/>
    <w:pPr>
      <w:tabs>
        <w:tab w:val="left" w:pos="4305"/>
      </w:tabs>
      <w:adjustRightInd w:val="0"/>
      <w:snapToGrid w:val="0"/>
      <w:ind w:firstLine="0"/>
      <w:jc w:val="center"/>
    </w:pPr>
    <w:rPr>
      <w:rFonts w:ascii="宋体" w:hAnsi="宋体" w:cs="宋体"/>
      <w:color w:val="000000"/>
      <w:sz w:val="24"/>
      <w:szCs w:val="24"/>
    </w:rPr>
  </w:style>
  <w:style w:type="paragraph" w:customStyle="1" w:styleId="3259">
    <w:name w:val="表内文字小214"/>
    <w:basedOn w:val="1"/>
    <w:qFormat/>
    <w:uiPriority w:val="0"/>
    <w:pPr>
      <w:adjustRightInd w:val="0"/>
      <w:snapToGrid w:val="0"/>
      <w:jc w:val="center"/>
    </w:pPr>
    <w:rPr>
      <w:rFonts w:ascii="宋体" w:hAnsi="Times"/>
      <w:bCs/>
      <w:color w:val="000000"/>
      <w:szCs w:val="20"/>
    </w:rPr>
  </w:style>
  <w:style w:type="paragraph" w:customStyle="1" w:styleId="3260">
    <w:name w:val="表题314"/>
    <w:basedOn w:val="35"/>
    <w:qFormat/>
    <w:uiPriority w:val="0"/>
    <w:pPr>
      <w:tabs>
        <w:tab w:val="left" w:pos="4305"/>
      </w:tabs>
      <w:adjustRightInd w:val="0"/>
      <w:snapToGrid w:val="0"/>
      <w:ind w:firstLine="0"/>
      <w:jc w:val="center"/>
    </w:pPr>
    <w:rPr>
      <w:rFonts w:ascii="宋体" w:hAnsi="宋体"/>
      <w:sz w:val="24"/>
    </w:rPr>
  </w:style>
  <w:style w:type="paragraph" w:customStyle="1" w:styleId="3261">
    <w:name w:val="Char Char Char Char Char Char Char31"/>
    <w:basedOn w:val="1"/>
    <w:qFormat/>
    <w:uiPriority w:val="0"/>
  </w:style>
  <w:style w:type="paragraph" w:customStyle="1" w:styleId="3262">
    <w:name w:val="表文字54"/>
    <w:basedOn w:val="1"/>
    <w:qFormat/>
    <w:uiPriority w:val="0"/>
    <w:pPr>
      <w:adjustRightInd w:val="0"/>
      <w:jc w:val="left"/>
    </w:pPr>
    <w:rPr>
      <w:rFonts w:ascii="宋体"/>
      <w:kern w:val="0"/>
      <w:szCs w:val="20"/>
    </w:rPr>
  </w:style>
  <w:style w:type="paragraph" w:customStyle="1" w:styleId="3263">
    <w:name w:val="表内文字小314"/>
    <w:basedOn w:val="1"/>
    <w:qFormat/>
    <w:uiPriority w:val="0"/>
    <w:pPr>
      <w:adjustRightInd w:val="0"/>
      <w:snapToGrid w:val="0"/>
      <w:jc w:val="center"/>
    </w:pPr>
    <w:rPr>
      <w:rFonts w:ascii="宋体" w:hAnsi="Times" w:cs="宋体"/>
      <w:bCs/>
      <w:color w:val="003366"/>
      <w:szCs w:val="20"/>
    </w:rPr>
  </w:style>
  <w:style w:type="paragraph" w:customStyle="1" w:styleId="3264">
    <w:name w:val="表内宋5112"/>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265">
    <w:name w:val="文本框2"/>
    <w:basedOn w:val="1"/>
    <w:qFormat/>
    <w:uiPriority w:val="0"/>
    <w:pPr>
      <w:adjustRightInd w:val="0"/>
      <w:snapToGrid w:val="0"/>
      <w:spacing w:after="6"/>
      <w:jc w:val="center"/>
    </w:pPr>
    <w:rPr>
      <w:rFonts w:eastAsia="仿宋_GB2312"/>
    </w:rPr>
  </w:style>
  <w:style w:type="paragraph" w:customStyle="1" w:styleId="3266">
    <w:name w:val="正文.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267">
    <w:name w:val="表4"/>
    <w:basedOn w:val="1"/>
    <w:qFormat/>
    <w:uiPriority w:val="0"/>
    <w:pPr>
      <w:adjustRightInd w:val="0"/>
      <w:snapToGrid w:val="0"/>
      <w:jc w:val="center"/>
    </w:pPr>
    <w:rPr>
      <w:rFonts w:eastAsia="仿宋_GB2312"/>
      <w:sz w:val="24"/>
    </w:rPr>
  </w:style>
  <w:style w:type="paragraph" w:customStyle="1" w:styleId="3268">
    <w:name w:val="黑体三号5"/>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269">
    <w:name w:val="Char Char2 Char Char Char Char21"/>
    <w:basedOn w:val="1"/>
    <w:semiHidden/>
    <w:qFormat/>
    <w:uiPriority w:val="0"/>
  </w:style>
  <w:style w:type="paragraph" w:customStyle="1" w:styleId="3270">
    <w:name w:val="Char131"/>
    <w:basedOn w:val="1"/>
    <w:qFormat/>
    <w:uiPriority w:val="0"/>
    <w:pPr>
      <w:ind w:left="-48"/>
    </w:pPr>
  </w:style>
  <w:style w:type="paragraph" w:customStyle="1" w:styleId="3271">
    <w:name w:val="首行缩进:  0.99 厘米 + 首行缩进:  2 字符1"/>
    <w:basedOn w:val="1"/>
    <w:qFormat/>
    <w:uiPriority w:val="0"/>
    <w:pPr>
      <w:widowControl/>
      <w:topLinePunct/>
      <w:snapToGrid w:val="0"/>
      <w:spacing w:line="480" w:lineRule="exact"/>
      <w:ind w:firstLine="420" w:firstLineChars="200"/>
      <w:jc w:val="center"/>
    </w:pPr>
    <w:rPr>
      <w:rFonts w:ascii="宋体" w:cs="宋体"/>
      <w:color w:val="FF0000"/>
      <w:kern w:val="0"/>
      <w:szCs w:val="21"/>
    </w:rPr>
  </w:style>
  <w:style w:type="paragraph" w:customStyle="1" w:styleId="3272">
    <w:name w:val="图表名称1"/>
    <w:basedOn w:val="86"/>
    <w:qFormat/>
    <w:uiPriority w:val="0"/>
    <w:pPr>
      <w:widowControl/>
      <w:autoSpaceDE w:val="0"/>
      <w:autoSpaceDN w:val="0"/>
      <w:adjustRightInd w:val="0"/>
      <w:snapToGrid w:val="0"/>
      <w:spacing w:after="0" w:line="480" w:lineRule="exact"/>
      <w:ind w:firstLine="0" w:firstLineChars="0"/>
      <w:jc w:val="center"/>
    </w:pPr>
    <w:rPr>
      <w:rFonts w:ascii="宋体" w:hAnsi="宋体"/>
      <w:bCs/>
      <w:snapToGrid/>
    </w:rPr>
  </w:style>
  <w:style w:type="paragraph" w:customStyle="1" w:styleId="3273">
    <w:name w:val="表内文字边1"/>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274">
    <w:name w:val="正文缩1"/>
    <w:basedOn w:val="1"/>
    <w:qFormat/>
    <w:uiPriority w:val="0"/>
    <w:pPr>
      <w:adjustRightInd w:val="0"/>
      <w:snapToGrid w:val="0"/>
      <w:spacing w:line="480" w:lineRule="atLeast"/>
      <w:ind w:firstLine="567"/>
    </w:pPr>
    <w:rPr>
      <w:rFonts w:ascii="宋体"/>
      <w:color w:val="000080"/>
      <w:spacing w:val="6"/>
      <w:kern w:val="0"/>
      <w:sz w:val="28"/>
      <w:szCs w:val="20"/>
    </w:rPr>
  </w:style>
  <w:style w:type="paragraph" w:customStyle="1" w:styleId="3275">
    <w:name w:val="样式21"/>
    <w:basedOn w:val="1"/>
    <w:qFormat/>
    <w:uiPriority w:val="0"/>
    <w:pPr>
      <w:adjustRightInd w:val="0"/>
      <w:spacing w:line="360" w:lineRule="auto"/>
      <w:jc w:val="center"/>
      <w:outlineLvl w:val="0"/>
    </w:pPr>
    <w:rPr>
      <w:kern w:val="0"/>
      <w:szCs w:val="20"/>
    </w:rPr>
  </w:style>
  <w:style w:type="paragraph" w:customStyle="1" w:styleId="3276">
    <w:name w:val="默认段落字体 Para Char Char Char Char Char1"/>
    <w:basedOn w:val="1"/>
    <w:qFormat/>
    <w:uiPriority w:val="0"/>
  </w:style>
  <w:style w:type="paragraph" w:customStyle="1" w:styleId="3277">
    <w:name w:val="表内宋5中3"/>
    <w:basedOn w:val="1"/>
    <w:qFormat/>
    <w:uiPriority w:val="0"/>
    <w:pPr>
      <w:adjustRightInd w:val="0"/>
      <w:snapToGrid w:val="0"/>
    </w:pPr>
    <w:rPr>
      <w:color w:val="000000"/>
      <w:kern w:val="0"/>
      <w:szCs w:val="20"/>
    </w:rPr>
  </w:style>
  <w:style w:type="paragraph" w:customStyle="1" w:styleId="3278">
    <w:name w:val="样式 标题 3 + 段前: 12 磅1"/>
    <w:basedOn w:val="6"/>
    <w:qFormat/>
    <w:uiPriority w:val="0"/>
    <w:pPr>
      <w:widowControl/>
      <w:numPr>
        <w:ilvl w:val="0"/>
        <w:numId w:val="0"/>
      </w:numPr>
      <w:autoSpaceDE w:val="0"/>
      <w:autoSpaceDN w:val="0"/>
    </w:pPr>
    <w:rPr>
      <w:rFonts w:ascii="黑体" w:hAnsi="宋体" w:cs="宋体"/>
      <w:bCs w:val="0"/>
      <w:color w:val="000000"/>
      <w:kern w:val="21"/>
      <w:sz w:val="24"/>
      <w:szCs w:val="20"/>
    </w:rPr>
  </w:style>
  <w:style w:type="paragraph" w:customStyle="1" w:styleId="3279">
    <w:name w:val="表内52"/>
    <w:basedOn w:val="1"/>
    <w:qFormat/>
    <w:uiPriority w:val="0"/>
    <w:pPr>
      <w:adjustRightInd w:val="0"/>
      <w:snapToGrid w:val="0"/>
      <w:spacing w:line="300" w:lineRule="auto"/>
      <w:jc w:val="left"/>
    </w:pPr>
    <w:rPr>
      <w:rFonts w:ascii="宋体"/>
      <w:sz w:val="18"/>
      <w:szCs w:val="20"/>
    </w:rPr>
  </w:style>
  <w:style w:type="paragraph" w:customStyle="1" w:styleId="3280">
    <w:name w:val="表内宋51"/>
    <w:basedOn w:val="3104"/>
    <w:semiHidden/>
    <w:qFormat/>
    <w:uiPriority w:val="0"/>
    <w:pPr>
      <w:widowControl/>
      <w:autoSpaceDE w:val="0"/>
      <w:autoSpaceDN w:val="0"/>
      <w:jc w:val="left"/>
    </w:pPr>
    <w:rPr>
      <w:color w:val="auto"/>
      <w:w w:val="90"/>
    </w:rPr>
  </w:style>
  <w:style w:type="paragraph" w:customStyle="1" w:styleId="3281">
    <w:name w:val="Char Char Char Char1 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3282">
    <w:name w:val="正文格式111"/>
    <w:basedOn w:val="1"/>
    <w:qFormat/>
    <w:uiPriority w:val="0"/>
    <w:pPr>
      <w:spacing w:line="360" w:lineRule="auto"/>
      <w:ind w:firstLine="482"/>
    </w:pPr>
    <w:rPr>
      <w:rFonts w:ascii="宋体" w:hAnsi="宋体"/>
      <w:sz w:val="24"/>
    </w:rPr>
  </w:style>
  <w:style w:type="paragraph" w:customStyle="1" w:styleId="3283">
    <w:name w:val="图题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284">
    <w:name w:val="Char141"/>
    <w:basedOn w:val="1"/>
    <w:qFormat/>
    <w:uiPriority w:val="0"/>
    <w:pPr>
      <w:ind w:left="-48"/>
    </w:pPr>
  </w:style>
  <w:style w:type="paragraph" w:customStyle="1" w:styleId="3285">
    <w:name w:val="正文格式＝11"/>
    <w:basedOn w:val="1192"/>
    <w:next w:val="1192"/>
    <w:semiHidden/>
    <w:qFormat/>
    <w:uiPriority w:val="0"/>
    <w:pPr>
      <w:adjustRightInd/>
      <w:snapToGrid/>
      <w:ind w:firstLine="482" w:firstLineChars="0"/>
    </w:pPr>
    <w:rPr>
      <w:rFonts w:hint="eastAsia" w:ascii="宋体" w:hAnsi="宋体"/>
      <w:szCs w:val="24"/>
    </w:rPr>
  </w:style>
  <w:style w:type="paragraph" w:customStyle="1" w:styleId="3286">
    <w:name w:val="正文格式22"/>
    <w:basedOn w:val="1"/>
    <w:qFormat/>
    <w:uiPriority w:val="0"/>
    <w:pPr>
      <w:spacing w:line="360" w:lineRule="auto"/>
      <w:ind w:firstLine="482"/>
    </w:pPr>
    <w:rPr>
      <w:rFonts w:ascii="宋体" w:hAnsi="宋体"/>
      <w:sz w:val="24"/>
    </w:rPr>
  </w:style>
  <w:style w:type="paragraph" w:customStyle="1" w:styleId="3287">
    <w:name w:val="Char151"/>
    <w:basedOn w:val="1"/>
    <w:qFormat/>
    <w:uiPriority w:val="0"/>
    <w:pPr>
      <w:adjustRightInd w:val="0"/>
      <w:snapToGrid w:val="0"/>
      <w:spacing w:beforeLines="50" w:line="360" w:lineRule="auto"/>
    </w:pPr>
    <w:rPr>
      <w:rFonts w:ascii="黑体" w:eastAsia="黑体"/>
      <w:sz w:val="32"/>
      <w:szCs w:val="32"/>
    </w:rPr>
  </w:style>
  <w:style w:type="paragraph" w:customStyle="1" w:styleId="3288">
    <w:name w:val="图题2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289">
    <w:name w:val="表格内字体2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290">
    <w:name w:val="表内54111"/>
    <w:basedOn w:val="1"/>
    <w:qFormat/>
    <w:uiPriority w:val="0"/>
    <w:pPr>
      <w:adjustRightInd w:val="0"/>
      <w:snapToGrid w:val="0"/>
      <w:spacing w:line="300" w:lineRule="auto"/>
      <w:jc w:val="center"/>
    </w:pPr>
    <w:rPr>
      <w:rFonts w:ascii="宋体" w:hAnsi="宋体" w:cs="宋体"/>
      <w:szCs w:val="20"/>
    </w:rPr>
  </w:style>
  <w:style w:type="paragraph" w:customStyle="1" w:styleId="3291">
    <w:name w:val="表内文字小2111"/>
    <w:basedOn w:val="1"/>
    <w:qFormat/>
    <w:uiPriority w:val="0"/>
    <w:pPr>
      <w:adjustRightInd w:val="0"/>
      <w:snapToGrid w:val="0"/>
      <w:jc w:val="center"/>
    </w:pPr>
    <w:rPr>
      <w:rFonts w:ascii="宋体" w:hAnsi="Times"/>
      <w:bCs/>
      <w:color w:val="000000"/>
      <w:szCs w:val="20"/>
    </w:rPr>
  </w:style>
  <w:style w:type="paragraph" w:customStyle="1" w:styleId="3292">
    <w:name w:val="表题3111"/>
    <w:basedOn w:val="35"/>
    <w:qFormat/>
    <w:uiPriority w:val="0"/>
    <w:pPr>
      <w:tabs>
        <w:tab w:val="left" w:pos="4305"/>
      </w:tabs>
      <w:adjustRightInd w:val="0"/>
      <w:snapToGrid w:val="0"/>
      <w:ind w:firstLine="0"/>
      <w:jc w:val="center"/>
    </w:pPr>
    <w:rPr>
      <w:rFonts w:ascii="宋体" w:hAnsi="宋体"/>
      <w:sz w:val="24"/>
    </w:rPr>
  </w:style>
  <w:style w:type="paragraph" w:customStyle="1" w:styleId="3293">
    <w:name w:val="Char Char Char Char Char Char Char111"/>
    <w:basedOn w:val="1"/>
    <w:qFormat/>
    <w:uiPriority w:val="0"/>
  </w:style>
  <w:style w:type="paragraph" w:customStyle="1" w:styleId="3294">
    <w:name w:val="标题43111"/>
    <w:basedOn w:val="1"/>
    <w:qFormat/>
    <w:uiPriority w:val="0"/>
    <w:pPr>
      <w:adjustRightInd w:val="0"/>
      <w:snapToGrid w:val="0"/>
      <w:spacing w:line="480" w:lineRule="exact"/>
      <w:jc w:val="center"/>
    </w:pPr>
    <w:rPr>
      <w:rFonts w:ascii="宋体" w:hAnsi="宋体" w:cs="宋体"/>
      <w:sz w:val="24"/>
    </w:rPr>
  </w:style>
  <w:style w:type="paragraph" w:customStyle="1" w:styleId="3295">
    <w:name w:val="燕山正文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296">
    <w:name w:val="默认段落字体 Para Char Char Char Char11"/>
    <w:basedOn w:val="1"/>
    <w:qFormat/>
    <w:uiPriority w:val="0"/>
  </w:style>
  <w:style w:type="paragraph" w:customStyle="1" w:styleId="3297">
    <w:name w:val="附件11"/>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298">
    <w:name w:val="黑体三号1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299">
    <w:name w:val="表11"/>
    <w:basedOn w:val="1"/>
    <w:qFormat/>
    <w:uiPriority w:val="0"/>
    <w:pPr>
      <w:adjustRightInd w:val="0"/>
      <w:snapToGrid w:val="0"/>
      <w:jc w:val="center"/>
    </w:pPr>
    <w:rPr>
      <w:rFonts w:eastAsia="仿宋_GB2312"/>
      <w:sz w:val="24"/>
    </w:rPr>
  </w:style>
  <w:style w:type="paragraph" w:customStyle="1" w:styleId="3300">
    <w:name w:val="表题112"/>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301">
    <w:name w:val="燕山正文12"/>
    <w:basedOn w:val="1"/>
    <w:qFormat/>
    <w:uiPriority w:val="0"/>
    <w:pPr>
      <w:tabs>
        <w:tab w:val="left" w:pos="4680"/>
      </w:tabs>
      <w:adjustRightInd w:val="0"/>
      <w:snapToGrid w:val="0"/>
      <w:spacing w:line="480" w:lineRule="exact"/>
    </w:pPr>
    <w:rPr>
      <w:rFonts w:ascii="宋体" w:cs="宋体"/>
      <w:sz w:val="24"/>
    </w:rPr>
  </w:style>
  <w:style w:type="paragraph" w:customStyle="1" w:styleId="3302">
    <w:name w:val="正文修改11"/>
    <w:basedOn w:val="280"/>
    <w:qFormat/>
    <w:uiPriority w:val="0"/>
    <w:pPr>
      <w:spacing w:line="480" w:lineRule="exact"/>
      <w:ind w:firstLine="0" w:firstLineChars="0"/>
      <w:jc w:val="both"/>
    </w:pPr>
    <w:rPr>
      <w:rFonts w:hint="eastAsia" w:cs="宋体"/>
      <w:szCs w:val="24"/>
    </w:rPr>
  </w:style>
  <w:style w:type="paragraph" w:customStyle="1" w:styleId="3303">
    <w:name w:val="表中文字12"/>
    <w:basedOn w:val="1"/>
    <w:qFormat/>
    <w:uiPriority w:val="0"/>
    <w:pPr>
      <w:widowControl/>
      <w:spacing w:line="240" w:lineRule="atLeast"/>
      <w:ind w:left="-24" w:leftChars="-10" w:right="-48" w:rightChars="-20"/>
      <w:jc w:val="center"/>
    </w:pPr>
    <w:rPr>
      <w:rFonts w:ascii="宋体"/>
      <w:kern w:val="0"/>
      <w:szCs w:val="21"/>
    </w:rPr>
  </w:style>
  <w:style w:type="paragraph" w:customStyle="1" w:styleId="3304">
    <w:name w:val="表文字512"/>
    <w:basedOn w:val="1"/>
    <w:qFormat/>
    <w:uiPriority w:val="0"/>
    <w:pPr>
      <w:adjustRightInd w:val="0"/>
      <w:jc w:val="left"/>
    </w:pPr>
    <w:rPr>
      <w:rFonts w:ascii="宋体"/>
      <w:kern w:val="0"/>
      <w:szCs w:val="20"/>
    </w:rPr>
  </w:style>
  <w:style w:type="paragraph" w:customStyle="1" w:styleId="3305">
    <w:name w:val="表内文字小3111"/>
    <w:basedOn w:val="1"/>
    <w:qFormat/>
    <w:uiPriority w:val="0"/>
    <w:pPr>
      <w:adjustRightInd w:val="0"/>
      <w:snapToGrid w:val="0"/>
      <w:jc w:val="center"/>
    </w:pPr>
    <w:rPr>
      <w:rFonts w:ascii="宋体" w:hAnsi="Times" w:cs="宋体"/>
      <w:bCs/>
      <w:color w:val="003366"/>
      <w:szCs w:val="20"/>
    </w:rPr>
  </w:style>
  <w:style w:type="paragraph" w:customStyle="1" w:styleId="3306">
    <w:name w:val="样式111"/>
    <w:basedOn w:val="3083"/>
    <w:qFormat/>
    <w:uiPriority w:val="0"/>
    <w:pPr>
      <w:spacing w:line="240" w:lineRule="auto"/>
      <w:ind w:firstLine="0"/>
      <w:jc w:val="center"/>
    </w:pPr>
    <w:rPr>
      <w:rFonts w:cs="Times New Roman"/>
      <w:b/>
      <w:color w:val="auto"/>
      <w:szCs w:val="20"/>
    </w:rPr>
  </w:style>
  <w:style w:type="paragraph" w:customStyle="1" w:styleId="3307">
    <w:name w:val="正文格式＝21"/>
    <w:basedOn w:val="1192"/>
    <w:next w:val="1192"/>
    <w:semiHidden/>
    <w:qFormat/>
    <w:uiPriority w:val="0"/>
    <w:pPr>
      <w:adjustRightInd/>
      <w:snapToGrid/>
      <w:ind w:firstLine="482" w:firstLineChars="0"/>
    </w:pPr>
    <w:rPr>
      <w:rFonts w:hint="eastAsia" w:ascii="宋体" w:hAnsi="宋体"/>
      <w:szCs w:val="24"/>
    </w:rPr>
  </w:style>
  <w:style w:type="paragraph" w:customStyle="1" w:styleId="3308">
    <w:name w:val="Char211"/>
    <w:basedOn w:val="1"/>
    <w:qFormat/>
    <w:uiPriority w:val="0"/>
    <w:pPr>
      <w:ind w:left="-48"/>
    </w:pPr>
  </w:style>
  <w:style w:type="paragraph" w:customStyle="1" w:styleId="3309">
    <w:name w:val="表内文字小23"/>
    <w:basedOn w:val="1"/>
    <w:qFormat/>
    <w:uiPriority w:val="0"/>
    <w:pPr>
      <w:adjustRightInd w:val="0"/>
      <w:snapToGrid w:val="0"/>
      <w:jc w:val="center"/>
    </w:pPr>
    <w:rPr>
      <w:rFonts w:ascii="宋体" w:hAnsi="Times"/>
      <w:bCs/>
      <w:color w:val="000000"/>
      <w:szCs w:val="20"/>
    </w:rPr>
  </w:style>
  <w:style w:type="paragraph" w:customStyle="1" w:styleId="3310">
    <w:name w:val="表内532"/>
    <w:basedOn w:val="1"/>
    <w:qFormat/>
    <w:uiPriority w:val="0"/>
    <w:pPr>
      <w:adjustRightInd w:val="0"/>
      <w:snapToGrid w:val="0"/>
      <w:spacing w:line="300" w:lineRule="auto"/>
      <w:jc w:val="left"/>
    </w:pPr>
    <w:rPr>
      <w:rFonts w:ascii="宋体"/>
      <w:szCs w:val="20"/>
    </w:rPr>
  </w:style>
  <w:style w:type="paragraph" w:customStyle="1" w:styleId="3311">
    <w:name w:val="正文格式31"/>
    <w:basedOn w:val="1"/>
    <w:qFormat/>
    <w:uiPriority w:val="0"/>
    <w:pPr>
      <w:spacing w:line="360" w:lineRule="auto"/>
      <w:ind w:firstLine="482"/>
    </w:pPr>
    <w:rPr>
      <w:rFonts w:ascii="宋体" w:hAnsi="宋体"/>
      <w:sz w:val="24"/>
    </w:rPr>
  </w:style>
  <w:style w:type="paragraph" w:customStyle="1" w:styleId="3312">
    <w:name w:val="Char221"/>
    <w:basedOn w:val="1"/>
    <w:qFormat/>
    <w:uiPriority w:val="0"/>
    <w:pPr>
      <w:adjustRightInd w:val="0"/>
      <w:snapToGrid w:val="0"/>
      <w:spacing w:beforeLines="50" w:line="360" w:lineRule="auto"/>
    </w:pPr>
    <w:rPr>
      <w:rFonts w:ascii="黑体" w:eastAsia="黑体"/>
      <w:sz w:val="32"/>
      <w:szCs w:val="32"/>
    </w:rPr>
  </w:style>
  <w:style w:type="paragraph" w:customStyle="1" w:styleId="3313">
    <w:name w:val="图题3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314">
    <w:name w:val="表格内字体3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315">
    <w:name w:val="表内54121"/>
    <w:basedOn w:val="1"/>
    <w:qFormat/>
    <w:uiPriority w:val="0"/>
    <w:pPr>
      <w:adjustRightInd w:val="0"/>
      <w:snapToGrid w:val="0"/>
      <w:spacing w:line="300" w:lineRule="auto"/>
      <w:jc w:val="center"/>
    </w:pPr>
    <w:rPr>
      <w:rFonts w:ascii="宋体" w:hAnsi="宋体" w:cs="宋体"/>
      <w:szCs w:val="20"/>
    </w:rPr>
  </w:style>
  <w:style w:type="paragraph" w:customStyle="1" w:styleId="3316">
    <w:name w:val="表内文字小2121"/>
    <w:basedOn w:val="1"/>
    <w:qFormat/>
    <w:uiPriority w:val="0"/>
    <w:pPr>
      <w:adjustRightInd w:val="0"/>
      <w:snapToGrid w:val="0"/>
      <w:jc w:val="center"/>
    </w:pPr>
    <w:rPr>
      <w:rFonts w:ascii="宋体" w:hAnsi="Times"/>
      <w:bCs/>
      <w:color w:val="000000"/>
      <w:szCs w:val="20"/>
    </w:rPr>
  </w:style>
  <w:style w:type="paragraph" w:customStyle="1" w:styleId="3317">
    <w:name w:val="表题3121"/>
    <w:basedOn w:val="35"/>
    <w:qFormat/>
    <w:uiPriority w:val="0"/>
    <w:pPr>
      <w:tabs>
        <w:tab w:val="left" w:pos="4305"/>
      </w:tabs>
      <w:adjustRightInd w:val="0"/>
      <w:snapToGrid w:val="0"/>
      <w:ind w:firstLine="0"/>
      <w:jc w:val="center"/>
    </w:pPr>
    <w:rPr>
      <w:rFonts w:ascii="宋体" w:hAnsi="宋体"/>
      <w:sz w:val="24"/>
    </w:rPr>
  </w:style>
  <w:style w:type="paragraph" w:customStyle="1" w:styleId="3318">
    <w:name w:val="Char Char Char Char Char Char Char41"/>
    <w:basedOn w:val="1"/>
    <w:qFormat/>
    <w:uiPriority w:val="0"/>
  </w:style>
  <w:style w:type="paragraph" w:customStyle="1" w:styleId="3319">
    <w:name w:val="标题43121"/>
    <w:basedOn w:val="1"/>
    <w:qFormat/>
    <w:uiPriority w:val="0"/>
    <w:pPr>
      <w:adjustRightInd w:val="0"/>
      <w:snapToGrid w:val="0"/>
      <w:spacing w:line="480" w:lineRule="exact"/>
      <w:jc w:val="center"/>
    </w:pPr>
    <w:rPr>
      <w:rFonts w:ascii="宋体" w:hAnsi="宋体" w:cs="宋体"/>
      <w:sz w:val="24"/>
    </w:rPr>
  </w:style>
  <w:style w:type="paragraph" w:customStyle="1" w:styleId="3320">
    <w:name w:val="燕山正文112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321">
    <w:name w:val="默认段落字体 Para Char Char Char Char21"/>
    <w:basedOn w:val="1"/>
    <w:qFormat/>
    <w:uiPriority w:val="0"/>
  </w:style>
  <w:style w:type="paragraph" w:customStyle="1" w:styleId="3322">
    <w:name w:val="附件21"/>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323">
    <w:name w:val="黑体三号2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324">
    <w:name w:val="表21"/>
    <w:basedOn w:val="1"/>
    <w:qFormat/>
    <w:uiPriority w:val="0"/>
    <w:pPr>
      <w:adjustRightInd w:val="0"/>
      <w:snapToGrid w:val="0"/>
      <w:jc w:val="center"/>
    </w:pPr>
    <w:rPr>
      <w:rFonts w:eastAsia="仿宋_GB2312"/>
      <w:sz w:val="24"/>
    </w:rPr>
  </w:style>
  <w:style w:type="paragraph" w:customStyle="1" w:styleId="3325">
    <w:name w:val="表题121"/>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326">
    <w:name w:val="燕山正文21"/>
    <w:basedOn w:val="1"/>
    <w:qFormat/>
    <w:uiPriority w:val="0"/>
    <w:pPr>
      <w:tabs>
        <w:tab w:val="left" w:pos="4680"/>
      </w:tabs>
      <w:adjustRightInd w:val="0"/>
      <w:snapToGrid w:val="0"/>
      <w:spacing w:line="480" w:lineRule="exact"/>
    </w:pPr>
    <w:rPr>
      <w:rFonts w:ascii="宋体" w:cs="宋体"/>
      <w:sz w:val="24"/>
    </w:rPr>
  </w:style>
  <w:style w:type="paragraph" w:customStyle="1" w:styleId="3327">
    <w:name w:val="正文修改21"/>
    <w:basedOn w:val="280"/>
    <w:qFormat/>
    <w:uiPriority w:val="0"/>
    <w:pPr>
      <w:spacing w:line="480" w:lineRule="exact"/>
      <w:ind w:firstLine="0" w:firstLineChars="0"/>
      <w:jc w:val="both"/>
    </w:pPr>
    <w:rPr>
      <w:rFonts w:hint="eastAsia" w:cs="宋体"/>
      <w:szCs w:val="24"/>
    </w:rPr>
  </w:style>
  <w:style w:type="paragraph" w:customStyle="1" w:styleId="3328">
    <w:name w:val="表中文字21"/>
    <w:basedOn w:val="1"/>
    <w:qFormat/>
    <w:uiPriority w:val="0"/>
    <w:pPr>
      <w:widowControl/>
      <w:adjustRightInd w:val="0"/>
      <w:spacing w:line="240" w:lineRule="atLeast"/>
      <w:ind w:right="-42" w:rightChars="-20"/>
      <w:jc w:val="center"/>
    </w:pPr>
    <w:rPr>
      <w:rFonts w:ascii="宋体"/>
      <w:kern w:val="0"/>
      <w:szCs w:val="21"/>
    </w:rPr>
  </w:style>
  <w:style w:type="paragraph" w:customStyle="1" w:styleId="3329">
    <w:name w:val="表文字521"/>
    <w:basedOn w:val="1"/>
    <w:qFormat/>
    <w:uiPriority w:val="0"/>
    <w:pPr>
      <w:adjustRightInd w:val="0"/>
      <w:jc w:val="left"/>
    </w:pPr>
    <w:rPr>
      <w:rFonts w:ascii="宋体"/>
      <w:kern w:val="0"/>
      <w:szCs w:val="20"/>
    </w:rPr>
  </w:style>
  <w:style w:type="paragraph" w:customStyle="1" w:styleId="3330">
    <w:name w:val="表内文字小3121"/>
    <w:basedOn w:val="1"/>
    <w:qFormat/>
    <w:uiPriority w:val="0"/>
    <w:pPr>
      <w:adjustRightInd w:val="0"/>
      <w:snapToGrid w:val="0"/>
      <w:jc w:val="center"/>
    </w:pPr>
    <w:rPr>
      <w:rFonts w:ascii="宋体" w:hAnsi="Times" w:cs="宋体"/>
      <w:bCs/>
      <w:color w:val="003366"/>
      <w:szCs w:val="20"/>
    </w:rPr>
  </w:style>
  <w:style w:type="paragraph" w:customStyle="1" w:styleId="3331">
    <w:name w:val="样式121"/>
    <w:basedOn w:val="3083"/>
    <w:qFormat/>
    <w:uiPriority w:val="0"/>
    <w:pPr>
      <w:spacing w:line="240" w:lineRule="auto"/>
      <w:ind w:firstLine="0"/>
      <w:jc w:val="center"/>
    </w:pPr>
    <w:rPr>
      <w:rFonts w:cs="Times New Roman"/>
      <w:b/>
      <w:color w:val="auto"/>
      <w:szCs w:val="20"/>
    </w:rPr>
  </w:style>
  <w:style w:type="paragraph" w:customStyle="1" w:styleId="3332">
    <w:name w:val="正文格式＝31"/>
    <w:basedOn w:val="1192"/>
    <w:next w:val="1192"/>
    <w:semiHidden/>
    <w:qFormat/>
    <w:uiPriority w:val="0"/>
    <w:pPr>
      <w:adjustRightInd/>
      <w:snapToGrid/>
      <w:ind w:firstLine="482" w:firstLineChars="0"/>
    </w:pPr>
    <w:rPr>
      <w:rFonts w:hint="eastAsia" w:ascii="宋体" w:hAnsi="宋体"/>
      <w:szCs w:val="24"/>
    </w:rPr>
  </w:style>
  <w:style w:type="paragraph" w:customStyle="1" w:styleId="3333">
    <w:name w:val="Char311"/>
    <w:basedOn w:val="1"/>
    <w:qFormat/>
    <w:uiPriority w:val="0"/>
    <w:pPr>
      <w:ind w:left="-48"/>
    </w:pPr>
  </w:style>
  <w:style w:type="paragraph" w:customStyle="1" w:styleId="3334">
    <w:name w:val="表内文字小221"/>
    <w:basedOn w:val="1"/>
    <w:qFormat/>
    <w:uiPriority w:val="0"/>
    <w:pPr>
      <w:adjustRightInd w:val="0"/>
      <w:snapToGrid w:val="0"/>
      <w:jc w:val="center"/>
    </w:pPr>
    <w:rPr>
      <w:rFonts w:ascii="宋体" w:hAnsi="Times"/>
      <w:bCs/>
      <w:color w:val="000000"/>
      <w:szCs w:val="20"/>
    </w:rPr>
  </w:style>
  <w:style w:type="paragraph" w:customStyle="1" w:styleId="3335">
    <w:name w:val="表内5311"/>
    <w:basedOn w:val="1"/>
    <w:qFormat/>
    <w:uiPriority w:val="0"/>
    <w:pPr>
      <w:adjustRightInd w:val="0"/>
      <w:snapToGrid w:val="0"/>
      <w:spacing w:line="300" w:lineRule="auto"/>
      <w:jc w:val="left"/>
    </w:pPr>
    <w:rPr>
      <w:rFonts w:ascii="宋体"/>
      <w:szCs w:val="20"/>
    </w:rPr>
  </w:style>
  <w:style w:type="paragraph" w:customStyle="1" w:styleId="3336">
    <w:name w:val="正文格式211"/>
    <w:basedOn w:val="1"/>
    <w:qFormat/>
    <w:uiPriority w:val="0"/>
    <w:pPr>
      <w:spacing w:line="360" w:lineRule="auto"/>
      <w:ind w:firstLine="482"/>
    </w:pPr>
    <w:rPr>
      <w:rFonts w:ascii="宋体" w:hAnsi="宋体"/>
      <w:sz w:val="24"/>
    </w:rPr>
  </w:style>
  <w:style w:type="paragraph" w:customStyle="1" w:styleId="3337">
    <w:name w:val="图题2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338">
    <w:name w:val="表格内字体21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339">
    <w:name w:val="表题1111"/>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340">
    <w:name w:val="表中文字111"/>
    <w:basedOn w:val="1"/>
    <w:qFormat/>
    <w:uiPriority w:val="0"/>
    <w:pPr>
      <w:widowControl/>
      <w:spacing w:line="240" w:lineRule="atLeast"/>
      <w:ind w:left="-24" w:leftChars="-10" w:right="-48" w:rightChars="-20"/>
      <w:jc w:val="center"/>
    </w:pPr>
    <w:rPr>
      <w:rFonts w:ascii="宋体"/>
      <w:kern w:val="0"/>
      <w:szCs w:val="21"/>
    </w:rPr>
  </w:style>
  <w:style w:type="paragraph" w:customStyle="1" w:styleId="3341">
    <w:name w:val="表文字5111"/>
    <w:basedOn w:val="1"/>
    <w:qFormat/>
    <w:uiPriority w:val="0"/>
    <w:pPr>
      <w:adjustRightInd w:val="0"/>
      <w:jc w:val="left"/>
    </w:pPr>
    <w:rPr>
      <w:rFonts w:ascii="宋体"/>
      <w:kern w:val="0"/>
      <w:szCs w:val="20"/>
    </w:rPr>
  </w:style>
  <w:style w:type="paragraph" w:customStyle="1" w:styleId="3342">
    <w:name w:val="正文格式41"/>
    <w:basedOn w:val="1"/>
    <w:qFormat/>
    <w:uiPriority w:val="0"/>
    <w:pPr>
      <w:spacing w:line="360" w:lineRule="auto"/>
      <w:ind w:firstLine="482"/>
    </w:pPr>
    <w:rPr>
      <w:rFonts w:ascii="宋体" w:hAnsi="宋体"/>
      <w:sz w:val="24"/>
    </w:rPr>
  </w:style>
  <w:style w:type="paragraph" w:customStyle="1" w:styleId="3343">
    <w:name w:val="图题4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344">
    <w:name w:val="表格内字体4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345">
    <w:name w:val="Char411"/>
    <w:basedOn w:val="1"/>
    <w:qFormat/>
    <w:uiPriority w:val="0"/>
    <w:pPr>
      <w:ind w:left="-48"/>
    </w:pPr>
  </w:style>
  <w:style w:type="paragraph" w:customStyle="1" w:styleId="3346">
    <w:name w:val="正文格式＝41"/>
    <w:basedOn w:val="1192"/>
    <w:next w:val="1192"/>
    <w:semiHidden/>
    <w:qFormat/>
    <w:uiPriority w:val="0"/>
    <w:pPr>
      <w:adjustRightInd/>
      <w:snapToGrid/>
      <w:ind w:firstLine="482" w:firstLineChars="0"/>
    </w:pPr>
    <w:rPr>
      <w:rFonts w:hint="eastAsia" w:ascii="宋体" w:hAnsi="宋体"/>
      <w:szCs w:val="24"/>
    </w:rPr>
  </w:style>
  <w:style w:type="paragraph" w:customStyle="1" w:styleId="3347">
    <w:name w:val="表题13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348">
    <w:name w:val="默认段落字体 Para Char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49">
    <w:name w:val="23-47表名1"/>
    <w:basedOn w:val="1"/>
    <w:qFormat/>
    <w:uiPriority w:val="0"/>
    <w:pPr>
      <w:spacing w:line="440" w:lineRule="exact"/>
      <w:jc w:val="center"/>
    </w:pPr>
    <w:rPr>
      <w:rFonts w:ascii="宋体" w:hAnsi="宋体"/>
      <w:b/>
      <w:sz w:val="24"/>
    </w:rPr>
  </w:style>
  <w:style w:type="paragraph" w:customStyle="1" w:styleId="3350">
    <w:name w:val="xl241"/>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351">
    <w:name w:val="Char Char Char Char Char Char Char121"/>
    <w:basedOn w:val="1"/>
    <w:qFormat/>
    <w:uiPriority w:val="0"/>
    <w:rPr>
      <w:szCs w:val="20"/>
    </w:rPr>
  </w:style>
  <w:style w:type="paragraph" w:customStyle="1" w:styleId="3352">
    <w:name w:val="Char51"/>
    <w:basedOn w:val="1"/>
    <w:qFormat/>
    <w:uiPriority w:val="0"/>
    <w:pPr>
      <w:adjustRightInd w:val="0"/>
      <w:snapToGrid w:val="0"/>
      <w:ind w:left="-45"/>
    </w:pPr>
  </w:style>
  <w:style w:type="paragraph" w:customStyle="1" w:styleId="3353">
    <w:name w:val="燕山正文1131"/>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354">
    <w:name w:val="正文格式51"/>
    <w:basedOn w:val="1"/>
    <w:qFormat/>
    <w:uiPriority w:val="0"/>
    <w:pPr>
      <w:spacing w:line="360" w:lineRule="auto"/>
      <w:ind w:firstLine="482"/>
    </w:pPr>
    <w:rPr>
      <w:rFonts w:ascii="宋体" w:hAnsi="宋体"/>
      <w:sz w:val="24"/>
    </w:rPr>
  </w:style>
  <w:style w:type="paragraph" w:customStyle="1" w:styleId="3355">
    <w:name w:val="Char321"/>
    <w:basedOn w:val="1"/>
    <w:qFormat/>
    <w:uiPriority w:val="0"/>
    <w:pPr>
      <w:ind w:left="-48"/>
    </w:pPr>
  </w:style>
  <w:style w:type="paragraph" w:customStyle="1" w:styleId="3356">
    <w:name w:val="图题5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357">
    <w:name w:val="表格内字体51"/>
    <w:basedOn w:val="1192"/>
    <w:next w:val="1192"/>
    <w:qFormat/>
    <w:uiPriority w:val="0"/>
    <w:pPr>
      <w:spacing w:line="240" w:lineRule="auto"/>
      <w:ind w:firstLine="0" w:firstLineChars="0"/>
    </w:pPr>
    <w:rPr>
      <w:rFonts w:hint="eastAsia" w:ascii="宋体" w:hAnsi="宋体"/>
      <w:sz w:val="21"/>
      <w:szCs w:val="24"/>
    </w:rPr>
  </w:style>
  <w:style w:type="paragraph" w:customStyle="1" w:styleId="3358">
    <w:name w:val="表31"/>
    <w:basedOn w:val="1"/>
    <w:qFormat/>
    <w:uiPriority w:val="0"/>
    <w:pPr>
      <w:adjustRightInd w:val="0"/>
      <w:snapToGrid w:val="0"/>
      <w:jc w:val="center"/>
    </w:pPr>
    <w:rPr>
      <w:rFonts w:eastAsia="仿宋_GB2312"/>
      <w:sz w:val="24"/>
    </w:rPr>
  </w:style>
  <w:style w:type="paragraph" w:customStyle="1" w:styleId="3359">
    <w:name w:val="正文.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360">
    <w:name w:val="文本框11"/>
    <w:basedOn w:val="1"/>
    <w:qFormat/>
    <w:uiPriority w:val="0"/>
    <w:pPr>
      <w:adjustRightInd w:val="0"/>
      <w:snapToGrid w:val="0"/>
      <w:spacing w:after="6"/>
      <w:jc w:val="center"/>
    </w:pPr>
    <w:rPr>
      <w:rFonts w:eastAsia="仿宋_GB2312"/>
    </w:rPr>
  </w:style>
  <w:style w:type="paragraph" w:customStyle="1" w:styleId="3361">
    <w:name w:val="表内宋51111"/>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362">
    <w:name w:val="表内文字小3131"/>
    <w:basedOn w:val="1"/>
    <w:qFormat/>
    <w:uiPriority w:val="0"/>
    <w:pPr>
      <w:adjustRightInd w:val="0"/>
      <w:snapToGrid w:val="0"/>
      <w:jc w:val="center"/>
    </w:pPr>
    <w:rPr>
      <w:rFonts w:ascii="宋体" w:hAnsi="Times" w:cs="宋体"/>
      <w:bCs/>
      <w:color w:val="003366"/>
      <w:szCs w:val="20"/>
    </w:rPr>
  </w:style>
  <w:style w:type="paragraph" w:customStyle="1" w:styleId="3363">
    <w:name w:val="表文字531"/>
    <w:basedOn w:val="1"/>
    <w:qFormat/>
    <w:uiPriority w:val="0"/>
    <w:pPr>
      <w:adjustRightInd w:val="0"/>
      <w:jc w:val="left"/>
    </w:pPr>
    <w:rPr>
      <w:rFonts w:ascii="宋体"/>
      <w:kern w:val="0"/>
      <w:szCs w:val="20"/>
    </w:rPr>
  </w:style>
  <w:style w:type="paragraph" w:customStyle="1" w:styleId="3364">
    <w:name w:val="正文211"/>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3365">
    <w:name w:val="Char Char Char Char Char Char Char211"/>
    <w:basedOn w:val="1"/>
    <w:qFormat/>
    <w:uiPriority w:val="0"/>
  </w:style>
  <w:style w:type="paragraph" w:customStyle="1" w:styleId="3366">
    <w:name w:val="表题3131"/>
    <w:basedOn w:val="35"/>
    <w:qFormat/>
    <w:uiPriority w:val="0"/>
    <w:pPr>
      <w:tabs>
        <w:tab w:val="left" w:pos="4305"/>
      </w:tabs>
      <w:adjustRightInd w:val="0"/>
      <w:snapToGrid w:val="0"/>
      <w:ind w:firstLine="0"/>
      <w:jc w:val="center"/>
    </w:pPr>
    <w:rPr>
      <w:rFonts w:ascii="宋体" w:hAnsi="宋体"/>
      <w:sz w:val="24"/>
    </w:rPr>
  </w:style>
  <w:style w:type="paragraph" w:customStyle="1" w:styleId="3367">
    <w:name w:val="表内文字小2131"/>
    <w:basedOn w:val="1"/>
    <w:qFormat/>
    <w:uiPriority w:val="0"/>
    <w:pPr>
      <w:adjustRightInd w:val="0"/>
      <w:snapToGrid w:val="0"/>
      <w:jc w:val="center"/>
    </w:pPr>
    <w:rPr>
      <w:rFonts w:ascii="宋体" w:hAnsi="Times"/>
      <w:bCs/>
      <w:color w:val="000000"/>
      <w:szCs w:val="20"/>
    </w:rPr>
  </w:style>
  <w:style w:type="paragraph" w:customStyle="1" w:styleId="3368">
    <w:name w:val="燕山正文31"/>
    <w:basedOn w:val="1"/>
    <w:qFormat/>
    <w:uiPriority w:val="0"/>
    <w:pPr>
      <w:tabs>
        <w:tab w:val="left" w:pos="4680"/>
      </w:tabs>
      <w:adjustRightInd w:val="0"/>
      <w:snapToGrid w:val="0"/>
      <w:spacing w:line="480" w:lineRule="exact"/>
    </w:pPr>
    <w:rPr>
      <w:rFonts w:ascii="宋体" w:cs="宋体"/>
      <w:sz w:val="24"/>
    </w:rPr>
  </w:style>
  <w:style w:type="paragraph" w:customStyle="1" w:styleId="3369">
    <w:name w:val="正文修改31"/>
    <w:basedOn w:val="280"/>
    <w:qFormat/>
    <w:uiPriority w:val="0"/>
    <w:pPr>
      <w:spacing w:line="480" w:lineRule="exact"/>
      <w:ind w:firstLine="0" w:firstLineChars="0"/>
      <w:jc w:val="both"/>
    </w:pPr>
    <w:rPr>
      <w:rFonts w:hint="eastAsia" w:cs="宋体"/>
      <w:szCs w:val="24"/>
    </w:rPr>
  </w:style>
  <w:style w:type="paragraph" w:customStyle="1" w:styleId="3370">
    <w:name w:val="表题142"/>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371">
    <w:name w:val="表中文字31"/>
    <w:basedOn w:val="1"/>
    <w:qFormat/>
    <w:uiPriority w:val="0"/>
    <w:pPr>
      <w:widowControl/>
      <w:spacing w:line="240" w:lineRule="atLeast"/>
      <w:ind w:left="-24" w:leftChars="-10" w:right="-48" w:rightChars="-20"/>
      <w:jc w:val="center"/>
    </w:pPr>
    <w:rPr>
      <w:rFonts w:ascii="宋体"/>
      <w:kern w:val="0"/>
      <w:szCs w:val="21"/>
    </w:rPr>
  </w:style>
  <w:style w:type="paragraph" w:customStyle="1" w:styleId="3372">
    <w:name w:val="黑体三号3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373">
    <w:name w:val="默认段落字体 Para Char Char Char Char31"/>
    <w:basedOn w:val="1"/>
    <w:qFormat/>
    <w:uiPriority w:val="0"/>
  </w:style>
  <w:style w:type="paragraph" w:customStyle="1" w:styleId="3374">
    <w:name w:val="表内54131"/>
    <w:basedOn w:val="1"/>
    <w:qFormat/>
    <w:uiPriority w:val="0"/>
    <w:pPr>
      <w:adjustRightInd w:val="0"/>
      <w:snapToGrid w:val="0"/>
      <w:spacing w:line="300" w:lineRule="auto"/>
      <w:jc w:val="center"/>
    </w:pPr>
    <w:rPr>
      <w:rFonts w:ascii="宋体" w:hAnsi="宋体" w:cs="宋体"/>
      <w:szCs w:val="20"/>
    </w:rPr>
  </w:style>
  <w:style w:type="paragraph" w:customStyle="1" w:styleId="3375">
    <w:name w:val="Char61"/>
    <w:basedOn w:val="1"/>
    <w:qFormat/>
    <w:uiPriority w:val="0"/>
    <w:pPr>
      <w:adjustRightInd w:val="0"/>
      <w:snapToGrid w:val="0"/>
      <w:spacing w:beforeLines="50" w:line="360" w:lineRule="auto"/>
    </w:pPr>
    <w:rPr>
      <w:rFonts w:ascii="黑体" w:eastAsia="黑体"/>
      <w:sz w:val="32"/>
      <w:szCs w:val="32"/>
    </w:rPr>
  </w:style>
  <w:style w:type="paragraph" w:customStyle="1" w:styleId="3376">
    <w:name w:val="表题2111"/>
    <w:basedOn w:val="1"/>
    <w:qFormat/>
    <w:uiPriority w:val="0"/>
    <w:pPr>
      <w:widowControl/>
      <w:adjustRightInd w:val="0"/>
      <w:snapToGrid w:val="0"/>
      <w:jc w:val="center"/>
    </w:pPr>
    <w:rPr>
      <w:rFonts w:ascii="黑体" w:hAnsi="宋体" w:eastAsia="黑体" w:cs="宋体"/>
      <w:kern w:val="0"/>
      <w:sz w:val="24"/>
    </w:rPr>
  </w:style>
  <w:style w:type="paragraph" w:customStyle="1" w:styleId="3377">
    <w:name w:val="表内宋5中111"/>
    <w:basedOn w:val="1"/>
    <w:qFormat/>
    <w:uiPriority w:val="0"/>
    <w:pPr>
      <w:adjustRightInd w:val="0"/>
      <w:snapToGrid w:val="0"/>
      <w:jc w:val="center"/>
    </w:pPr>
    <w:rPr>
      <w:rFonts w:ascii="宋体" w:hAnsi="宋体" w:cs="宋体"/>
      <w:kern w:val="0"/>
      <w:szCs w:val="20"/>
    </w:rPr>
  </w:style>
  <w:style w:type="paragraph" w:customStyle="1" w:styleId="3378">
    <w:name w:val="表内宋5中12"/>
    <w:basedOn w:val="1"/>
    <w:qFormat/>
    <w:uiPriority w:val="0"/>
    <w:pPr>
      <w:adjustRightInd w:val="0"/>
      <w:snapToGrid w:val="0"/>
      <w:jc w:val="center"/>
    </w:pPr>
    <w:rPr>
      <w:rFonts w:ascii="宋体" w:hAnsi="宋体" w:cs="宋体"/>
      <w:kern w:val="0"/>
      <w:szCs w:val="20"/>
    </w:rPr>
  </w:style>
  <w:style w:type="paragraph" w:customStyle="1" w:styleId="3379">
    <w:name w:val="表内文字小111"/>
    <w:basedOn w:val="1"/>
    <w:qFormat/>
    <w:uiPriority w:val="0"/>
    <w:pPr>
      <w:adjustRightInd w:val="0"/>
      <w:snapToGrid w:val="0"/>
    </w:pPr>
    <w:rPr>
      <w:rFonts w:ascii="宋体" w:hAnsi="Times" w:cs="宋体"/>
      <w:szCs w:val="20"/>
    </w:rPr>
  </w:style>
  <w:style w:type="paragraph" w:customStyle="1" w:styleId="3380">
    <w:name w:val="标题4111"/>
    <w:basedOn w:val="1"/>
    <w:qFormat/>
    <w:uiPriority w:val="39"/>
    <w:pPr>
      <w:adjustRightInd w:val="0"/>
      <w:snapToGrid w:val="0"/>
      <w:spacing w:line="300" w:lineRule="auto"/>
      <w:jc w:val="left"/>
    </w:pPr>
    <w:rPr>
      <w:rFonts w:ascii="黑体" w:hAnsi="宋体" w:eastAsia="黑体" w:cs="宋体"/>
      <w:bCs/>
      <w:sz w:val="24"/>
      <w:szCs w:val="20"/>
    </w:rPr>
  </w:style>
  <w:style w:type="paragraph" w:customStyle="1" w:styleId="3381">
    <w:name w:val="表题1411"/>
    <w:basedOn w:val="1"/>
    <w:qFormat/>
    <w:uiPriority w:val="0"/>
    <w:pPr>
      <w:widowControl/>
      <w:adjustRightInd w:val="0"/>
      <w:snapToGrid w:val="0"/>
      <w:jc w:val="center"/>
    </w:pPr>
    <w:rPr>
      <w:rFonts w:ascii="黑体" w:hAnsi="宋体" w:eastAsia="黑体" w:cs="宋体"/>
      <w:kern w:val="0"/>
      <w:sz w:val="24"/>
    </w:rPr>
  </w:style>
  <w:style w:type="paragraph" w:customStyle="1" w:styleId="3382">
    <w:name w:val="表内文字小81"/>
    <w:basedOn w:val="1"/>
    <w:qFormat/>
    <w:uiPriority w:val="0"/>
    <w:pPr>
      <w:adjustRightInd w:val="0"/>
      <w:snapToGrid w:val="0"/>
      <w:jc w:val="center"/>
    </w:pPr>
    <w:rPr>
      <w:rFonts w:ascii="宋体" w:hAnsi="Times" w:cs="宋体"/>
      <w:szCs w:val="20"/>
    </w:rPr>
  </w:style>
  <w:style w:type="paragraph" w:customStyle="1" w:styleId="3383">
    <w:name w:val="默认段落字体 Para Char2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384">
    <w:name w:val="Default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385">
    <w:name w:val="正文格式61"/>
    <w:basedOn w:val="1"/>
    <w:qFormat/>
    <w:uiPriority w:val="0"/>
    <w:pPr>
      <w:spacing w:line="360" w:lineRule="auto"/>
      <w:ind w:firstLine="482"/>
    </w:pPr>
    <w:rPr>
      <w:rFonts w:ascii="宋体" w:hAnsi="宋体"/>
      <w:sz w:val="24"/>
    </w:rPr>
  </w:style>
  <w:style w:type="paragraph" w:customStyle="1" w:styleId="3386">
    <w:name w:val="正文格式＝51"/>
    <w:basedOn w:val="1192"/>
    <w:next w:val="1192"/>
    <w:semiHidden/>
    <w:qFormat/>
    <w:uiPriority w:val="0"/>
    <w:pPr>
      <w:adjustRightInd/>
      <w:snapToGrid/>
      <w:ind w:firstLine="482" w:firstLineChars="0"/>
    </w:pPr>
    <w:rPr>
      <w:rFonts w:hint="eastAsia" w:ascii="宋体" w:hAnsi="宋体"/>
      <w:szCs w:val="24"/>
    </w:rPr>
  </w:style>
  <w:style w:type="paragraph" w:customStyle="1" w:styleId="3387">
    <w:name w:val="附件31"/>
    <w:basedOn w:val="4"/>
    <w:next w:val="1192"/>
    <w:qFormat/>
    <w:uiPriority w:val="0"/>
    <w:pPr>
      <w:numPr>
        <w:numId w:val="0"/>
      </w:numPr>
      <w:tabs>
        <w:tab w:val="left" w:pos="1566"/>
      </w:tabs>
      <w:spacing w:line="360" w:lineRule="auto"/>
    </w:pPr>
    <w:rPr>
      <w:rFonts w:ascii="黑体" w:hAnsi="宋体"/>
      <w:sz w:val="32"/>
      <w:szCs w:val="32"/>
    </w:rPr>
  </w:style>
  <w:style w:type="paragraph" w:customStyle="1" w:styleId="3388">
    <w:name w:val="图题61"/>
    <w:basedOn w:val="1192"/>
    <w:next w:val="1192"/>
    <w:qFormat/>
    <w:uiPriority w:val="0"/>
    <w:pPr>
      <w:adjustRightInd/>
      <w:snapToGrid/>
      <w:ind w:firstLine="0" w:firstLineChars="0"/>
      <w:jc w:val="center"/>
    </w:pPr>
    <w:rPr>
      <w:rFonts w:hint="eastAsia" w:ascii="黑体" w:hAnsi="宋体" w:eastAsia="黑体" w:cs="宋体"/>
      <w:b/>
      <w:bCs/>
      <w:kern w:val="0"/>
      <w:szCs w:val="24"/>
    </w:rPr>
  </w:style>
  <w:style w:type="paragraph" w:customStyle="1" w:styleId="3389">
    <w:name w:val="表格内字体6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390">
    <w:name w:val="黑体三号4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391">
    <w:name w:val="默认段落字体 Para Char Char Char Char41"/>
    <w:basedOn w:val="1"/>
    <w:qFormat/>
    <w:uiPriority w:val="0"/>
  </w:style>
  <w:style w:type="paragraph" w:customStyle="1" w:styleId="3392">
    <w:name w:val="图表题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393">
    <w:name w:val="样式 表格内字体 +1"/>
    <w:basedOn w:val="1491"/>
    <w:qFormat/>
    <w:uiPriority w:val="0"/>
    <w:pPr>
      <w:spacing w:line="280" w:lineRule="exact"/>
      <w:ind w:firstLine="36"/>
      <w:jc w:val="both"/>
    </w:pPr>
    <w:rPr>
      <w:rFonts w:hint="eastAsia" w:hAnsi="宋体" w:cs="Times New Roman"/>
      <w:kern w:val="0"/>
      <w:szCs w:val="24"/>
    </w:rPr>
  </w:style>
  <w:style w:type="paragraph" w:customStyle="1" w:styleId="3394">
    <w:name w:val="A正文1"/>
    <w:basedOn w:val="1"/>
    <w:qFormat/>
    <w:uiPriority w:val="0"/>
    <w:pPr>
      <w:widowControl/>
      <w:overflowPunct w:val="0"/>
      <w:autoSpaceDE w:val="0"/>
      <w:autoSpaceDN w:val="0"/>
      <w:adjustRightInd w:val="0"/>
      <w:spacing w:line="360" w:lineRule="auto"/>
      <w:ind w:firstLine="200" w:firstLineChars="200"/>
      <w:jc w:val="left"/>
    </w:pPr>
    <w:rPr>
      <w:rFonts w:eastAsia="仿宋_GB2312"/>
      <w:kern w:val="0"/>
      <w:sz w:val="24"/>
    </w:rPr>
  </w:style>
  <w:style w:type="paragraph" w:customStyle="1" w:styleId="3395">
    <w:name w:val="图题注1"/>
    <w:basedOn w:val="23"/>
    <w:qFormat/>
    <w:uiPriority w:val="0"/>
    <w:pPr>
      <w:tabs>
        <w:tab w:val="left" w:pos="1280"/>
      </w:tabs>
      <w:spacing w:beforeLines="50" w:line="240" w:lineRule="auto"/>
      <w:ind w:firstLine="0" w:firstLineChars="0"/>
      <w:jc w:val="center"/>
    </w:pPr>
    <w:rPr>
      <w:rFonts w:ascii="黑体" w:cs="宋体"/>
      <w:b/>
      <w:bCs/>
      <w:snapToGrid/>
      <w:kern w:val="2"/>
      <w:sz w:val="24"/>
      <w:szCs w:val="24"/>
    </w:rPr>
  </w:style>
  <w:style w:type="paragraph" w:customStyle="1" w:styleId="3396">
    <w:name w:val="Char71"/>
    <w:basedOn w:val="1"/>
    <w:qFormat/>
    <w:uiPriority w:val="0"/>
    <w:pPr>
      <w:ind w:left="-48"/>
    </w:pPr>
  </w:style>
  <w:style w:type="paragraph" w:customStyle="1" w:styleId="3397">
    <w:name w:val="表格内字体111"/>
    <w:basedOn w:val="1192"/>
    <w:qFormat/>
    <w:uiPriority w:val="0"/>
    <w:pPr>
      <w:adjustRightInd/>
      <w:snapToGrid/>
      <w:spacing w:line="240" w:lineRule="auto"/>
      <w:ind w:firstLine="0" w:firstLineChars="0"/>
      <w:jc w:val="center"/>
    </w:pPr>
    <w:rPr>
      <w:rFonts w:hint="eastAsia" w:ascii="宋体" w:hAnsi="宋体" w:cs="宋体"/>
      <w:sz w:val="21"/>
      <w:szCs w:val="20"/>
    </w:rPr>
  </w:style>
  <w:style w:type="paragraph" w:customStyle="1" w:styleId="3398">
    <w:name w:val="Char Char2 Char Char Char Char31"/>
    <w:basedOn w:val="1"/>
    <w:semiHidden/>
    <w:qFormat/>
    <w:uiPriority w:val="0"/>
  </w:style>
  <w:style w:type="paragraph" w:customStyle="1" w:styleId="3399">
    <w:name w:val="样式 正文缩进 + 宋体 黑色 首行缩进:  2 字符1"/>
    <w:basedOn w:val="22"/>
    <w:qFormat/>
    <w:uiPriority w:val="0"/>
    <w:pPr>
      <w:spacing w:line="360" w:lineRule="auto"/>
      <w:ind w:firstLine="480"/>
      <w:jc w:val="left"/>
    </w:pPr>
    <w:rPr>
      <w:rFonts w:ascii="宋体" w:hAnsi="宋体" w:cs="宋体"/>
      <w:color w:val="FF00FF"/>
      <w:sz w:val="24"/>
      <w:szCs w:val="20"/>
    </w:rPr>
  </w:style>
  <w:style w:type="paragraph" w:customStyle="1" w:styleId="3400">
    <w:name w:val="注释1"/>
    <w:basedOn w:val="1192"/>
    <w:next w:val="2"/>
    <w:qFormat/>
    <w:uiPriority w:val="0"/>
    <w:pPr>
      <w:adjustRightInd/>
      <w:snapToGrid/>
      <w:spacing w:before="120" w:after="120" w:line="240" w:lineRule="auto"/>
    </w:pPr>
    <w:rPr>
      <w:rFonts w:hint="eastAsia" w:ascii="宋体" w:hAnsi="宋体" w:cs="宋体"/>
      <w:sz w:val="21"/>
      <w:szCs w:val="20"/>
    </w:rPr>
  </w:style>
  <w:style w:type="paragraph" w:customStyle="1" w:styleId="3401">
    <w:name w:val="样式41"/>
    <w:basedOn w:val="2"/>
    <w:qFormat/>
    <w:uiPriority w:val="0"/>
    <w:pPr>
      <w:tabs>
        <w:tab w:val="left" w:pos="1820"/>
      </w:tabs>
      <w:snapToGrid w:val="0"/>
      <w:spacing w:after="0" w:line="240" w:lineRule="atLeast"/>
      <w:ind w:firstLine="0" w:firstLineChars="0"/>
      <w:jc w:val="center"/>
    </w:pPr>
    <w:rPr>
      <w:rFonts w:eastAsia="幼圆"/>
      <w:snapToGrid/>
      <w:sz w:val="21"/>
      <w:szCs w:val="20"/>
    </w:rPr>
  </w:style>
  <w:style w:type="paragraph" w:customStyle="1" w:styleId="3402">
    <w:name w:val="标题412"/>
    <w:basedOn w:val="7"/>
    <w:next w:val="1"/>
    <w:qFormat/>
    <w:uiPriority w:val="0"/>
    <w:pPr>
      <w:numPr>
        <w:ilvl w:val="0"/>
        <w:numId w:val="0"/>
      </w:numPr>
      <w:adjustRightInd/>
      <w:snapToGrid/>
      <w:spacing w:before="160" w:after="170"/>
    </w:pPr>
    <w:rPr>
      <w:rFonts w:ascii="黑体" w:hAnsi="Arial"/>
      <w:b/>
      <w:kern w:val="0"/>
      <w:sz w:val="24"/>
    </w:rPr>
  </w:style>
  <w:style w:type="paragraph" w:customStyle="1" w:styleId="3403">
    <w:name w:val="表中文字41"/>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3404">
    <w:name w:val="样式 正文缩进 + 宋体 黑色1"/>
    <w:basedOn w:val="22"/>
    <w:qFormat/>
    <w:uiPriority w:val="0"/>
    <w:pPr>
      <w:spacing w:line="360" w:lineRule="auto"/>
      <w:ind w:firstLine="200"/>
      <w:jc w:val="left"/>
    </w:pPr>
    <w:rPr>
      <w:rFonts w:ascii="宋体" w:hAnsi="宋体"/>
      <w:color w:val="000000"/>
      <w:sz w:val="24"/>
    </w:rPr>
  </w:style>
  <w:style w:type="paragraph" w:customStyle="1" w:styleId="3405">
    <w:name w:val="表内511"/>
    <w:basedOn w:val="1"/>
    <w:qFormat/>
    <w:uiPriority w:val="0"/>
    <w:pPr>
      <w:adjustRightInd w:val="0"/>
      <w:snapToGrid w:val="0"/>
      <w:jc w:val="center"/>
    </w:pPr>
    <w:rPr>
      <w:rFonts w:ascii="宋体" w:hAnsi="宋体"/>
      <w:kern w:val="0"/>
      <w:sz w:val="20"/>
      <w:szCs w:val="20"/>
    </w:rPr>
  </w:style>
  <w:style w:type="paragraph" w:customStyle="1" w:styleId="3406">
    <w:name w:val="样式 样式 宋体 + 首行缩进:  2 字符11"/>
    <w:basedOn w:val="1"/>
    <w:qFormat/>
    <w:uiPriority w:val="0"/>
    <w:pPr>
      <w:spacing w:line="360" w:lineRule="auto"/>
      <w:ind w:firstLine="480" w:firstLineChars="200"/>
      <w:jc w:val="left"/>
    </w:pPr>
    <w:rPr>
      <w:rFonts w:ascii="宋体" w:cs="宋体"/>
      <w:sz w:val="24"/>
    </w:rPr>
  </w:style>
  <w:style w:type="paragraph" w:customStyle="1" w:styleId="3407">
    <w:name w:val="表内宋5中21"/>
    <w:basedOn w:val="1"/>
    <w:qFormat/>
    <w:uiPriority w:val="0"/>
    <w:pPr>
      <w:adjustRightInd w:val="0"/>
      <w:snapToGrid w:val="0"/>
      <w:jc w:val="center"/>
    </w:pPr>
    <w:rPr>
      <w:rFonts w:ascii="宋体" w:hAnsi="宋体"/>
      <w:kern w:val="0"/>
      <w:szCs w:val="20"/>
    </w:rPr>
  </w:style>
  <w:style w:type="paragraph" w:customStyle="1" w:styleId="3408">
    <w:name w:val="xl631"/>
    <w:basedOn w:val="1"/>
    <w:qFormat/>
    <w:uiPriority w:val="0"/>
    <w:pPr>
      <w:widowControl/>
      <w:spacing w:before="100" w:beforeAutospacing="1" w:after="100" w:afterAutospacing="1"/>
      <w:jc w:val="center"/>
    </w:pPr>
    <w:rPr>
      <w:rFonts w:ascii="黑体" w:hAnsi="宋体" w:eastAsia="黑体"/>
      <w:kern w:val="0"/>
      <w:sz w:val="24"/>
    </w:rPr>
  </w:style>
  <w:style w:type="paragraph" w:customStyle="1" w:styleId="3409">
    <w:name w:val="标准1"/>
    <w:basedOn w:val="1"/>
    <w:qFormat/>
    <w:uiPriority w:val="0"/>
    <w:pPr>
      <w:adjustRightInd w:val="0"/>
      <w:spacing w:before="120" w:line="336" w:lineRule="auto"/>
      <w:jc w:val="center"/>
    </w:pPr>
    <w:rPr>
      <w:rFonts w:ascii="黑体" w:eastAsia="黑体"/>
      <w:szCs w:val="20"/>
    </w:rPr>
  </w:style>
  <w:style w:type="paragraph" w:customStyle="1" w:styleId="3410">
    <w:name w:val="Fax Header1"/>
    <w:basedOn w:val="1"/>
    <w:qFormat/>
    <w:uiPriority w:val="0"/>
    <w:pPr>
      <w:widowControl/>
      <w:spacing w:before="240" w:after="60"/>
      <w:jc w:val="left"/>
    </w:pPr>
    <w:rPr>
      <w:kern w:val="0"/>
      <w:sz w:val="20"/>
      <w:szCs w:val="20"/>
    </w:rPr>
  </w:style>
  <w:style w:type="paragraph" w:customStyle="1" w:styleId="3411">
    <w:name w:val="样式 表格内字体1 +1"/>
    <w:basedOn w:val="1476"/>
    <w:next w:val="1491"/>
    <w:qFormat/>
    <w:uiPriority w:val="0"/>
    <w:rPr>
      <w:rFonts w:hint="eastAsia"/>
    </w:rPr>
  </w:style>
  <w:style w:type="paragraph" w:customStyle="1" w:styleId="3412">
    <w:name w:val="默认段落字体 Para Char31"/>
    <w:basedOn w:val="1"/>
    <w:qFormat/>
    <w:uiPriority w:val="0"/>
    <w:pPr>
      <w:spacing w:line="360" w:lineRule="auto"/>
      <w:ind w:firstLine="200" w:firstLineChars="200"/>
    </w:pPr>
    <w:rPr>
      <w:rFonts w:ascii="宋体" w:hAnsi="宋体" w:cs="宋体"/>
      <w:sz w:val="24"/>
    </w:rPr>
  </w:style>
  <w:style w:type="paragraph" w:customStyle="1" w:styleId="3413">
    <w:name w:val="正文斜体1"/>
    <w:basedOn w:val="1192"/>
    <w:next w:val="1192"/>
    <w:qFormat/>
    <w:uiPriority w:val="0"/>
    <w:pPr>
      <w:adjustRightInd/>
      <w:snapToGrid/>
      <w:ind w:firstLine="482" w:firstLineChars="0"/>
    </w:pPr>
    <w:rPr>
      <w:rFonts w:hint="eastAsia" w:ascii="宋体" w:hAnsi="宋体"/>
      <w:i/>
      <w:iCs/>
      <w:szCs w:val="24"/>
    </w:rPr>
  </w:style>
  <w:style w:type="paragraph" w:customStyle="1" w:styleId="3414">
    <w:name w:val="Char Char2 Char Char Char Char111"/>
    <w:basedOn w:val="1"/>
    <w:semiHidden/>
    <w:qFormat/>
    <w:uiPriority w:val="0"/>
  </w:style>
  <w:style w:type="paragraph" w:customStyle="1" w:styleId="3415">
    <w:name w:val="Char81"/>
    <w:basedOn w:val="1"/>
    <w:qFormat/>
    <w:uiPriority w:val="0"/>
    <w:pPr>
      <w:ind w:left="-48"/>
    </w:pPr>
  </w:style>
  <w:style w:type="paragraph" w:customStyle="1" w:styleId="3416">
    <w:name w:val="正文格式71"/>
    <w:basedOn w:val="1"/>
    <w:qFormat/>
    <w:uiPriority w:val="0"/>
    <w:pPr>
      <w:spacing w:line="360" w:lineRule="auto"/>
      <w:ind w:firstLine="482"/>
    </w:pPr>
    <w:rPr>
      <w:rFonts w:ascii="宋体" w:hAnsi="宋体"/>
      <w:sz w:val="24"/>
    </w:rPr>
  </w:style>
  <w:style w:type="paragraph" w:customStyle="1" w:styleId="3417">
    <w:name w:val="图题7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418">
    <w:name w:val="表格内字体7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419">
    <w:name w:val="Char91"/>
    <w:basedOn w:val="1"/>
    <w:qFormat/>
    <w:uiPriority w:val="0"/>
    <w:pPr>
      <w:ind w:left="-48"/>
    </w:pPr>
  </w:style>
  <w:style w:type="paragraph" w:customStyle="1" w:styleId="3420">
    <w:name w:val="正文格式＝61"/>
    <w:basedOn w:val="1192"/>
    <w:next w:val="1192"/>
    <w:semiHidden/>
    <w:qFormat/>
    <w:uiPriority w:val="0"/>
    <w:pPr>
      <w:adjustRightInd/>
      <w:snapToGrid/>
      <w:ind w:firstLine="482" w:firstLineChars="0"/>
    </w:pPr>
    <w:rPr>
      <w:rFonts w:hint="eastAsia" w:ascii="宋体" w:hAnsi="宋体"/>
      <w:szCs w:val="24"/>
    </w:rPr>
  </w:style>
  <w:style w:type="paragraph" w:customStyle="1" w:styleId="3421">
    <w:name w:val="燕山正文41"/>
    <w:basedOn w:val="1"/>
    <w:qFormat/>
    <w:uiPriority w:val="0"/>
    <w:pPr>
      <w:tabs>
        <w:tab w:val="left" w:pos="4680"/>
      </w:tabs>
      <w:adjustRightInd w:val="0"/>
      <w:snapToGrid w:val="0"/>
      <w:spacing w:line="480" w:lineRule="exact"/>
    </w:pPr>
    <w:rPr>
      <w:rFonts w:ascii="宋体" w:cs="宋体"/>
      <w:sz w:val="24"/>
    </w:rPr>
  </w:style>
  <w:style w:type="paragraph" w:customStyle="1" w:styleId="3422">
    <w:name w:val="正文修改41"/>
    <w:basedOn w:val="280"/>
    <w:qFormat/>
    <w:uiPriority w:val="0"/>
    <w:pPr>
      <w:spacing w:line="480" w:lineRule="exact"/>
      <w:ind w:firstLine="0" w:firstLineChars="0"/>
      <w:jc w:val="both"/>
    </w:pPr>
    <w:rPr>
      <w:rFonts w:hint="eastAsia" w:cs="宋体"/>
      <w:szCs w:val="24"/>
    </w:rPr>
  </w:style>
  <w:style w:type="paragraph" w:customStyle="1" w:styleId="3423">
    <w:name w:val="表中文字51"/>
    <w:basedOn w:val="1"/>
    <w:qFormat/>
    <w:uiPriority w:val="0"/>
    <w:pPr>
      <w:widowControl/>
      <w:spacing w:line="240" w:lineRule="atLeast"/>
      <w:ind w:left="-24" w:leftChars="-10" w:right="-48" w:rightChars="-20"/>
      <w:jc w:val="center"/>
    </w:pPr>
    <w:rPr>
      <w:rFonts w:ascii="宋体"/>
      <w:kern w:val="0"/>
      <w:szCs w:val="21"/>
    </w:rPr>
  </w:style>
  <w:style w:type="paragraph" w:customStyle="1" w:styleId="3424">
    <w:name w:val="默认段落字体 Para Char Char Char Char51"/>
    <w:basedOn w:val="1"/>
    <w:qFormat/>
    <w:uiPriority w:val="0"/>
  </w:style>
  <w:style w:type="paragraph" w:customStyle="1" w:styleId="3425">
    <w:name w:val="Char101"/>
    <w:basedOn w:val="1"/>
    <w:qFormat/>
    <w:uiPriority w:val="0"/>
    <w:pPr>
      <w:adjustRightInd w:val="0"/>
      <w:snapToGrid w:val="0"/>
      <w:spacing w:line="360" w:lineRule="auto"/>
    </w:pPr>
  </w:style>
  <w:style w:type="paragraph" w:customStyle="1" w:styleId="3426">
    <w:name w:val="表内5中11"/>
    <w:basedOn w:val="1"/>
    <w:qFormat/>
    <w:uiPriority w:val="0"/>
    <w:pPr>
      <w:adjustRightInd w:val="0"/>
      <w:snapToGrid w:val="0"/>
      <w:jc w:val="center"/>
    </w:pPr>
    <w:rPr>
      <w:rFonts w:ascii="宋体" w:hAnsi="宋体" w:cs="Arial"/>
      <w:color w:val="000000"/>
      <w:szCs w:val="21"/>
    </w:rPr>
  </w:style>
  <w:style w:type="paragraph" w:customStyle="1" w:styleId="3427">
    <w:name w:val="表内54141"/>
    <w:basedOn w:val="1"/>
    <w:qFormat/>
    <w:uiPriority w:val="0"/>
    <w:pPr>
      <w:adjustRightInd w:val="0"/>
      <w:snapToGrid w:val="0"/>
      <w:spacing w:line="300" w:lineRule="auto"/>
      <w:jc w:val="center"/>
    </w:pPr>
    <w:rPr>
      <w:rFonts w:ascii="宋体" w:hAnsi="宋体" w:cs="宋体"/>
      <w:szCs w:val="20"/>
    </w:rPr>
  </w:style>
  <w:style w:type="paragraph" w:customStyle="1" w:styleId="3428">
    <w:name w:val="表内文字小12"/>
    <w:basedOn w:val="1"/>
    <w:qFormat/>
    <w:uiPriority w:val="0"/>
    <w:pPr>
      <w:adjustRightInd w:val="0"/>
      <w:snapToGrid w:val="0"/>
      <w:jc w:val="center"/>
    </w:pPr>
    <w:rPr>
      <w:rFonts w:ascii="宋体" w:hAnsi="Times"/>
      <w:szCs w:val="20"/>
    </w:rPr>
  </w:style>
  <w:style w:type="paragraph" w:customStyle="1" w:styleId="3429">
    <w:name w:val="默认段落字体 Para Char4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430">
    <w:name w:val="正文格式81"/>
    <w:basedOn w:val="1"/>
    <w:qFormat/>
    <w:uiPriority w:val="0"/>
    <w:pPr>
      <w:spacing w:line="360" w:lineRule="auto"/>
      <w:ind w:firstLine="482"/>
    </w:pPr>
    <w:rPr>
      <w:rFonts w:ascii="宋体" w:hAnsi="宋体"/>
      <w:sz w:val="24"/>
    </w:rPr>
  </w:style>
  <w:style w:type="paragraph" w:customStyle="1" w:styleId="3431">
    <w:name w:val="正文格式91"/>
    <w:basedOn w:val="1"/>
    <w:qFormat/>
    <w:uiPriority w:val="0"/>
    <w:pPr>
      <w:spacing w:line="360" w:lineRule="auto"/>
      <w:ind w:firstLine="482"/>
    </w:pPr>
    <w:rPr>
      <w:rFonts w:ascii="宋体" w:hAnsi="宋体"/>
      <w:sz w:val="24"/>
    </w:rPr>
  </w:style>
  <w:style w:type="paragraph" w:customStyle="1" w:styleId="3432">
    <w:name w:val="Char421"/>
    <w:basedOn w:val="1"/>
    <w:qFormat/>
    <w:uiPriority w:val="0"/>
    <w:pPr>
      <w:ind w:left="-48"/>
    </w:pPr>
  </w:style>
  <w:style w:type="paragraph" w:customStyle="1" w:styleId="3433">
    <w:name w:val="Char Char Char Char Char Char Char5"/>
    <w:basedOn w:val="1"/>
    <w:qFormat/>
    <w:uiPriority w:val="0"/>
  </w:style>
  <w:style w:type="paragraph" w:customStyle="1" w:styleId="3434">
    <w:name w:val="Char Char2 Char Char Char Char4"/>
    <w:basedOn w:val="1"/>
    <w:semiHidden/>
    <w:qFormat/>
    <w:uiPriority w:val="0"/>
  </w:style>
  <w:style w:type="paragraph" w:customStyle="1" w:styleId="3435">
    <w:name w:val="Char161"/>
    <w:basedOn w:val="1"/>
    <w:qFormat/>
    <w:uiPriority w:val="0"/>
    <w:pPr>
      <w:ind w:left="-48"/>
    </w:pPr>
  </w:style>
  <w:style w:type="paragraph" w:customStyle="1" w:styleId="3436">
    <w:name w:val="Char Char Char Char1 Char Char Char21"/>
    <w:basedOn w:val="1"/>
    <w:qFormat/>
    <w:uiPriority w:val="0"/>
    <w:pPr>
      <w:widowControl/>
      <w:spacing w:after="160" w:line="240" w:lineRule="exact"/>
      <w:jc w:val="left"/>
    </w:pPr>
    <w:rPr>
      <w:rFonts w:ascii="Verdana" w:hAnsi="Verdana"/>
      <w:kern w:val="0"/>
      <w:sz w:val="20"/>
      <w:szCs w:val="20"/>
      <w:lang w:eastAsia="en-US"/>
    </w:rPr>
  </w:style>
  <w:style w:type="paragraph" w:customStyle="1" w:styleId="3437">
    <w:name w:val="Char17"/>
    <w:basedOn w:val="1"/>
    <w:qFormat/>
    <w:uiPriority w:val="0"/>
    <w:pPr>
      <w:ind w:left="-48"/>
    </w:pPr>
  </w:style>
  <w:style w:type="paragraph" w:customStyle="1" w:styleId="3438">
    <w:name w:val="Char Char Char Char Char Char Char131"/>
    <w:basedOn w:val="1"/>
    <w:qFormat/>
    <w:uiPriority w:val="0"/>
  </w:style>
  <w:style w:type="paragraph" w:customStyle="1" w:styleId="3439">
    <w:name w:val="Char231"/>
    <w:basedOn w:val="1"/>
    <w:qFormat/>
    <w:uiPriority w:val="0"/>
    <w:pPr>
      <w:ind w:left="-48"/>
    </w:pPr>
  </w:style>
  <w:style w:type="paragraph" w:customStyle="1" w:styleId="3440">
    <w:name w:val="Char331"/>
    <w:basedOn w:val="1"/>
    <w:qFormat/>
    <w:uiPriority w:val="0"/>
    <w:pPr>
      <w:ind w:left="-48"/>
    </w:pPr>
  </w:style>
  <w:style w:type="paragraph" w:customStyle="1" w:styleId="3441">
    <w:name w:val="Char Char Char Char Char Char Char221"/>
    <w:basedOn w:val="1"/>
    <w:qFormat/>
    <w:uiPriority w:val="0"/>
  </w:style>
  <w:style w:type="paragraph" w:customStyle="1" w:styleId="3442">
    <w:name w:val="Char431"/>
    <w:basedOn w:val="1"/>
    <w:qFormat/>
    <w:uiPriority w:val="0"/>
    <w:pPr>
      <w:ind w:left="-48"/>
    </w:pPr>
  </w:style>
  <w:style w:type="paragraph" w:customStyle="1" w:styleId="3443">
    <w:name w:val="正文格式82"/>
    <w:basedOn w:val="1"/>
    <w:qFormat/>
    <w:uiPriority w:val="0"/>
    <w:pPr>
      <w:spacing w:line="360" w:lineRule="auto"/>
      <w:ind w:firstLine="482"/>
    </w:pPr>
    <w:rPr>
      <w:rFonts w:ascii="宋体" w:hAnsi="宋体"/>
      <w:sz w:val="24"/>
    </w:rPr>
  </w:style>
  <w:style w:type="paragraph" w:customStyle="1" w:styleId="3444">
    <w:name w:val="正文格式12"/>
    <w:basedOn w:val="1"/>
    <w:qFormat/>
    <w:uiPriority w:val="0"/>
    <w:pPr>
      <w:spacing w:line="360" w:lineRule="auto"/>
      <w:ind w:firstLine="482"/>
    </w:pPr>
    <w:rPr>
      <w:rFonts w:ascii="宋体" w:hAnsi="宋体"/>
      <w:sz w:val="24"/>
    </w:rPr>
  </w:style>
  <w:style w:type="paragraph" w:customStyle="1" w:styleId="3445">
    <w:name w:val="图题9"/>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446">
    <w:name w:val="Char18"/>
    <w:basedOn w:val="1"/>
    <w:qFormat/>
    <w:uiPriority w:val="0"/>
    <w:pPr>
      <w:ind w:left="-48"/>
    </w:pPr>
  </w:style>
  <w:style w:type="paragraph" w:customStyle="1" w:styleId="3447">
    <w:name w:val="正文格式＝8"/>
    <w:basedOn w:val="1192"/>
    <w:next w:val="1192"/>
    <w:semiHidden/>
    <w:qFormat/>
    <w:uiPriority w:val="0"/>
    <w:pPr>
      <w:adjustRightInd/>
      <w:snapToGrid/>
      <w:ind w:firstLine="482" w:firstLineChars="0"/>
    </w:pPr>
    <w:rPr>
      <w:rFonts w:hint="eastAsia" w:ascii="宋体" w:hAnsi="宋体"/>
      <w:szCs w:val="24"/>
    </w:rPr>
  </w:style>
  <w:style w:type="paragraph" w:customStyle="1" w:styleId="3448">
    <w:name w:val="表题17"/>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449">
    <w:name w:val="默认段落字体 Para Char6"/>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450">
    <w:name w:val="23-47表名2"/>
    <w:basedOn w:val="1"/>
    <w:qFormat/>
    <w:uiPriority w:val="0"/>
    <w:pPr>
      <w:spacing w:line="440" w:lineRule="exact"/>
      <w:jc w:val="center"/>
    </w:pPr>
    <w:rPr>
      <w:rFonts w:ascii="宋体" w:hAnsi="宋体"/>
      <w:b/>
      <w:sz w:val="24"/>
    </w:rPr>
  </w:style>
  <w:style w:type="paragraph" w:customStyle="1" w:styleId="3451">
    <w:name w:val="xl242"/>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452">
    <w:name w:val="Char Char Char Char Char Char Char6"/>
    <w:basedOn w:val="1"/>
    <w:qFormat/>
    <w:uiPriority w:val="0"/>
    <w:rPr>
      <w:szCs w:val="20"/>
    </w:rPr>
  </w:style>
  <w:style w:type="paragraph" w:customStyle="1" w:styleId="3453">
    <w:name w:val="Char19"/>
    <w:basedOn w:val="1"/>
    <w:qFormat/>
    <w:uiPriority w:val="0"/>
    <w:pPr>
      <w:adjustRightInd w:val="0"/>
      <w:snapToGrid w:val="0"/>
      <w:ind w:left="-45"/>
    </w:pPr>
  </w:style>
  <w:style w:type="paragraph" w:customStyle="1" w:styleId="3454">
    <w:name w:val="燕山正文115"/>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455">
    <w:name w:val="附件5"/>
    <w:basedOn w:val="4"/>
    <w:next w:val="1192"/>
    <w:qFormat/>
    <w:uiPriority w:val="0"/>
    <w:pPr>
      <w:numPr>
        <w:numId w:val="0"/>
      </w:numPr>
      <w:tabs>
        <w:tab w:val="left" w:pos="1566"/>
      </w:tabs>
      <w:adjustRightInd/>
      <w:snapToGrid/>
      <w:spacing w:line="360" w:lineRule="auto"/>
    </w:pPr>
    <w:rPr>
      <w:rFonts w:ascii="黑体" w:hAnsi="宋体"/>
      <w:b/>
      <w:sz w:val="32"/>
      <w:szCs w:val="32"/>
    </w:rPr>
  </w:style>
  <w:style w:type="paragraph" w:customStyle="1" w:styleId="3456">
    <w:name w:val="标题4314"/>
    <w:basedOn w:val="1"/>
    <w:qFormat/>
    <w:uiPriority w:val="0"/>
    <w:pPr>
      <w:adjustRightInd w:val="0"/>
      <w:snapToGrid w:val="0"/>
      <w:spacing w:line="480" w:lineRule="exact"/>
      <w:jc w:val="center"/>
    </w:pPr>
    <w:rPr>
      <w:rFonts w:ascii="宋体" w:hAnsi="宋体" w:cs="宋体"/>
      <w:sz w:val="24"/>
    </w:rPr>
  </w:style>
  <w:style w:type="paragraph" w:customStyle="1" w:styleId="3457">
    <w:name w:val="表题412"/>
    <w:basedOn w:val="35"/>
    <w:qFormat/>
    <w:uiPriority w:val="0"/>
    <w:pPr>
      <w:tabs>
        <w:tab w:val="left" w:pos="4305"/>
      </w:tabs>
      <w:adjustRightInd w:val="0"/>
      <w:snapToGrid w:val="0"/>
      <w:spacing w:line="360" w:lineRule="auto"/>
      <w:ind w:firstLine="561"/>
    </w:pPr>
    <w:rPr>
      <w:rFonts w:ascii="宋体" w:hAnsi="宋体" w:cs="宋体"/>
      <w:color w:val="000000"/>
      <w:sz w:val="24"/>
      <w:szCs w:val="24"/>
    </w:rPr>
  </w:style>
  <w:style w:type="paragraph" w:customStyle="1" w:styleId="3458">
    <w:name w:val="表内5416"/>
    <w:basedOn w:val="1"/>
    <w:qFormat/>
    <w:uiPriority w:val="0"/>
    <w:pPr>
      <w:adjustRightInd w:val="0"/>
      <w:snapToGrid w:val="0"/>
      <w:spacing w:line="300" w:lineRule="auto"/>
      <w:jc w:val="center"/>
    </w:pPr>
    <w:rPr>
      <w:rFonts w:ascii="宋体" w:hAnsi="宋体" w:cs="宋体"/>
      <w:szCs w:val="20"/>
    </w:rPr>
  </w:style>
  <w:style w:type="paragraph" w:customStyle="1" w:styleId="3459">
    <w:name w:val="表内文字小215"/>
    <w:basedOn w:val="1"/>
    <w:qFormat/>
    <w:uiPriority w:val="0"/>
    <w:pPr>
      <w:adjustRightInd w:val="0"/>
      <w:snapToGrid w:val="0"/>
      <w:jc w:val="center"/>
    </w:pPr>
    <w:rPr>
      <w:rFonts w:ascii="宋体" w:hAnsi="Times"/>
      <w:bCs/>
      <w:color w:val="000000"/>
      <w:szCs w:val="20"/>
    </w:rPr>
  </w:style>
  <w:style w:type="paragraph" w:customStyle="1" w:styleId="3460">
    <w:name w:val="表题315"/>
    <w:basedOn w:val="35"/>
    <w:qFormat/>
    <w:uiPriority w:val="0"/>
    <w:pPr>
      <w:tabs>
        <w:tab w:val="left" w:pos="4305"/>
      </w:tabs>
      <w:adjustRightInd w:val="0"/>
      <w:snapToGrid w:val="0"/>
      <w:spacing w:line="360" w:lineRule="auto"/>
      <w:ind w:firstLine="561"/>
    </w:pPr>
    <w:rPr>
      <w:rFonts w:ascii="宋体" w:hAnsi="宋体" w:cs="宋体"/>
      <w:color w:val="000000"/>
      <w:sz w:val="24"/>
      <w:szCs w:val="24"/>
    </w:rPr>
  </w:style>
  <w:style w:type="paragraph" w:customStyle="1" w:styleId="3461">
    <w:name w:val="Char Char Char Char Char Char Char7"/>
    <w:basedOn w:val="1"/>
    <w:qFormat/>
    <w:uiPriority w:val="0"/>
  </w:style>
  <w:style w:type="paragraph" w:customStyle="1" w:styleId="3462">
    <w:name w:val="正文23"/>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3463">
    <w:name w:val="表文字55"/>
    <w:basedOn w:val="1"/>
    <w:qFormat/>
    <w:uiPriority w:val="0"/>
    <w:pPr>
      <w:adjustRightInd w:val="0"/>
      <w:jc w:val="left"/>
    </w:pPr>
    <w:rPr>
      <w:rFonts w:ascii="宋体"/>
      <w:kern w:val="0"/>
      <w:szCs w:val="20"/>
    </w:rPr>
  </w:style>
  <w:style w:type="paragraph" w:customStyle="1" w:styleId="3464">
    <w:name w:val="表内文字小315"/>
    <w:basedOn w:val="1"/>
    <w:qFormat/>
    <w:uiPriority w:val="0"/>
    <w:pPr>
      <w:adjustRightInd w:val="0"/>
      <w:snapToGrid w:val="0"/>
      <w:jc w:val="center"/>
    </w:pPr>
    <w:rPr>
      <w:rFonts w:ascii="宋体" w:hAnsi="Times" w:cs="宋体"/>
      <w:bCs/>
      <w:color w:val="003366"/>
      <w:szCs w:val="20"/>
    </w:rPr>
  </w:style>
  <w:style w:type="paragraph" w:customStyle="1" w:styleId="3465">
    <w:name w:val="表内宋5113"/>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466">
    <w:name w:val="文本框3"/>
    <w:basedOn w:val="1"/>
    <w:qFormat/>
    <w:uiPriority w:val="0"/>
    <w:pPr>
      <w:adjustRightInd w:val="0"/>
      <w:snapToGrid w:val="0"/>
      <w:spacing w:after="6"/>
      <w:jc w:val="center"/>
    </w:pPr>
    <w:rPr>
      <w:rFonts w:eastAsia="仿宋_GB2312"/>
    </w:rPr>
  </w:style>
  <w:style w:type="paragraph" w:customStyle="1" w:styleId="3467">
    <w:name w:val="正文.3"/>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468">
    <w:name w:val="表5"/>
    <w:basedOn w:val="1"/>
    <w:qFormat/>
    <w:uiPriority w:val="0"/>
    <w:pPr>
      <w:adjustRightInd w:val="0"/>
      <w:snapToGrid w:val="0"/>
      <w:jc w:val="center"/>
    </w:pPr>
    <w:rPr>
      <w:rFonts w:eastAsia="仿宋_GB2312"/>
      <w:sz w:val="24"/>
    </w:rPr>
  </w:style>
  <w:style w:type="paragraph" w:customStyle="1" w:styleId="3469">
    <w:name w:val="默认段落字体 Para Char Char Char Char7"/>
    <w:basedOn w:val="1"/>
    <w:qFormat/>
    <w:uiPriority w:val="0"/>
  </w:style>
  <w:style w:type="paragraph" w:customStyle="1" w:styleId="3470">
    <w:name w:val="黑体三号6"/>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471">
    <w:name w:val="Char Char2 Char Char Char Char5"/>
    <w:basedOn w:val="1"/>
    <w:semiHidden/>
    <w:qFormat/>
    <w:uiPriority w:val="0"/>
  </w:style>
  <w:style w:type="paragraph" w:customStyle="1" w:styleId="3472">
    <w:name w:val="Char20"/>
    <w:basedOn w:val="1"/>
    <w:qFormat/>
    <w:uiPriority w:val="0"/>
    <w:pPr>
      <w:ind w:left="-48"/>
    </w:pPr>
  </w:style>
  <w:style w:type="paragraph" w:customStyle="1" w:styleId="3473">
    <w:name w:val="样式14"/>
    <w:basedOn w:val="3083"/>
    <w:qFormat/>
    <w:uiPriority w:val="0"/>
    <w:pPr>
      <w:spacing w:line="240" w:lineRule="auto"/>
      <w:ind w:firstLine="0"/>
      <w:jc w:val="center"/>
    </w:pPr>
    <w:rPr>
      <w:rFonts w:cs="Times New Roman"/>
      <w:b/>
      <w:color w:val="auto"/>
      <w:szCs w:val="20"/>
    </w:rPr>
  </w:style>
  <w:style w:type="paragraph" w:customStyle="1" w:styleId="3474">
    <w:name w:val="燕山正文6"/>
    <w:basedOn w:val="1"/>
    <w:qFormat/>
    <w:uiPriority w:val="0"/>
    <w:pPr>
      <w:tabs>
        <w:tab w:val="left" w:pos="4680"/>
      </w:tabs>
      <w:adjustRightInd w:val="0"/>
      <w:snapToGrid w:val="0"/>
      <w:spacing w:line="480" w:lineRule="exact"/>
    </w:pPr>
    <w:rPr>
      <w:rFonts w:ascii="宋体" w:cs="宋体"/>
      <w:sz w:val="24"/>
    </w:rPr>
  </w:style>
  <w:style w:type="paragraph" w:customStyle="1" w:styleId="3475">
    <w:name w:val="正文修改6"/>
    <w:basedOn w:val="280"/>
    <w:qFormat/>
    <w:uiPriority w:val="0"/>
    <w:pPr>
      <w:spacing w:line="480" w:lineRule="exact"/>
      <w:ind w:firstLine="0" w:firstLineChars="0"/>
      <w:jc w:val="both"/>
    </w:pPr>
    <w:rPr>
      <w:rFonts w:hint="eastAsia" w:cs="宋体"/>
      <w:szCs w:val="24"/>
    </w:rPr>
  </w:style>
  <w:style w:type="paragraph" w:customStyle="1" w:styleId="3476">
    <w:name w:val="首行缩进:  0.99 厘米 + 首行缩进:  2 字符2"/>
    <w:basedOn w:val="1"/>
    <w:qFormat/>
    <w:uiPriority w:val="0"/>
    <w:pPr>
      <w:widowControl/>
      <w:topLinePunct/>
      <w:snapToGrid w:val="0"/>
      <w:spacing w:line="480" w:lineRule="exact"/>
      <w:ind w:firstLine="420" w:firstLineChars="200"/>
      <w:jc w:val="center"/>
    </w:pPr>
    <w:rPr>
      <w:rFonts w:ascii="宋体" w:cs="宋体"/>
      <w:color w:val="FF0000"/>
      <w:kern w:val="0"/>
      <w:szCs w:val="21"/>
    </w:rPr>
  </w:style>
  <w:style w:type="paragraph" w:customStyle="1" w:styleId="3477">
    <w:name w:val="图表名称2"/>
    <w:basedOn w:val="86"/>
    <w:qFormat/>
    <w:uiPriority w:val="0"/>
    <w:pPr>
      <w:widowControl/>
      <w:autoSpaceDE w:val="0"/>
      <w:autoSpaceDN w:val="0"/>
      <w:adjustRightInd w:val="0"/>
      <w:snapToGrid w:val="0"/>
      <w:spacing w:after="0" w:line="480" w:lineRule="exact"/>
      <w:ind w:firstLine="0" w:firstLineChars="0"/>
      <w:jc w:val="center"/>
    </w:pPr>
    <w:rPr>
      <w:rFonts w:ascii="宋体" w:hAnsi="宋体"/>
      <w:bCs/>
      <w:snapToGrid/>
    </w:rPr>
  </w:style>
  <w:style w:type="paragraph" w:customStyle="1" w:styleId="3478">
    <w:name w:val="表内文字边2"/>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479">
    <w:name w:val="正文缩2"/>
    <w:basedOn w:val="1"/>
    <w:qFormat/>
    <w:uiPriority w:val="0"/>
    <w:pPr>
      <w:adjustRightInd w:val="0"/>
      <w:snapToGrid w:val="0"/>
      <w:spacing w:line="480" w:lineRule="atLeast"/>
      <w:ind w:firstLine="567"/>
    </w:pPr>
    <w:rPr>
      <w:rFonts w:ascii="宋体"/>
      <w:color w:val="000080"/>
      <w:spacing w:val="6"/>
      <w:kern w:val="0"/>
      <w:sz w:val="28"/>
      <w:szCs w:val="20"/>
    </w:rPr>
  </w:style>
  <w:style w:type="paragraph" w:customStyle="1" w:styleId="3480">
    <w:name w:val="样式22"/>
    <w:basedOn w:val="1"/>
    <w:qFormat/>
    <w:uiPriority w:val="0"/>
    <w:pPr>
      <w:adjustRightInd w:val="0"/>
      <w:spacing w:line="360" w:lineRule="auto"/>
      <w:jc w:val="center"/>
      <w:outlineLvl w:val="0"/>
    </w:pPr>
    <w:rPr>
      <w:kern w:val="0"/>
      <w:szCs w:val="20"/>
    </w:rPr>
  </w:style>
  <w:style w:type="paragraph" w:customStyle="1" w:styleId="3481">
    <w:name w:val="默认段落字体 Para Char Char Char Char Char2"/>
    <w:basedOn w:val="1"/>
    <w:qFormat/>
    <w:uiPriority w:val="0"/>
  </w:style>
  <w:style w:type="paragraph" w:customStyle="1" w:styleId="3482">
    <w:name w:val="表中文字7"/>
    <w:basedOn w:val="1"/>
    <w:qFormat/>
    <w:uiPriority w:val="0"/>
    <w:pPr>
      <w:widowControl/>
      <w:spacing w:line="240" w:lineRule="atLeast"/>
      <w:ind w:left="-24" w:leftChars="-10" w:right="-48" w:rightChars="-20"/>
      <w:jc w:val="center"/>
    </w:pPr>
    <w:rPr>
      <w:rFonts w:ascii="宋体"/>
      <w:kern w:val="0"/>
      <w:szCs w:val="21"/>
    </w:rPr>
  </w:style>
  <w:style w:type="paragraph" w:customStyle="1" w:styleId="3483">
    <w:name w:val="表内宋5中4"/>
    <w:basedOn w:val="1"/>
    <w:qFormat/>
    <w:uiPriority w:val="0"/>
    <w:pPr>
      <w:adjustRightInd w:val="0"/>
      <w:snapToGrid w:val="0"/>
    </w:pPr>
    <w:rPr>
      <w:color w:val="000000"/>
      <w:kern w:val="0"/>
      <w:szCs w:val="20"/>
    </w:rPr>
  </w:style>
  <w:style w:type="paragraph" w:customStyle="1" w:styleId="3484">
    <w:name w:val="样式 标题 3 + 段前: 12 磅2"/>
    <w:basedOn w:val="6"/>
    <w:qFormat/>
    <w:uiPriority w:val="0"/>
    <w:pPr>
      <w:widowControl/>
      <w:numPr>
        <w:ilvl w:val="0"/>
        <w:numId w:val="0"/>
      </w:numPr>
      <w:autoSpaceDE w:val="0"/>
      <w:autoSpaceDN w:val="0"/>
    </w:pPr>
    <w:rPr>
      <w:rFonts w:ascii="黑体" w:hAnsi="宋体" w:cs="宋体"/>
      <w:bCs w:val="0"/>
      <w:color w:val="000000"/>
      <w:kern w:val="21"/>
      <w:sz w:val="24"/>
      <w:szCs w:val="20"/>
    </w:rPr>
  </w:style>
  <w:style w:type="paragraph" w:customStyle="1" w:styleId="3485">
    <w:name w:val="表内文字小4"/>
    <w:basedOn w:val="1"/>
    <w:qFormat/>
    <w:uiPriority w:val="0"/>
    <w:pPr>
      <w:adjustRightInd w:val="0"/>
      <w:snapToGrid w:val="0"/>
      <w:jc w:val="center"/>
    </w:pPr>
    <w:rPr>
      <w:rFonts w:ascii="宋体" w:hAnsi="Times"/>
      <w:szCs w:val="20"/>
    </w:rPr>
  </w:style>
  <w:style w:type="paragraph" w:customStyle="1" w:styleId="3486">
    <w:name w:val="表内54"/>
    <w:basedOn w:val="1"/>
    <w:qFormat/>
    <w:uiPriority w:val="0"/>
    <w:pPr>
      <w:adjustRightInd w:val="0"/>
      <w:snapToGrid w:val="0"/>
      <w:spacing w:line="300" w:lineRule="auto"/>
      <w:jc w:val="left"/>
    </w:pPr>
    <w:rPr>
      <w:rFonts w:ascii="宋体"/>
      <w:sz w:val="18"/>
      <w:szCs w:val="20"/>
    </w:rPr>
  </w:style>
  <w:style w:type="paragraph" w:customStyle="1" w:styleId="3487">
    <w:name w:val="表内宋52"/>
    <w:basedOn w:val="3104"/>
    <w:semiHidden/>
    <w:qFormat/>
    <w:uiPriority w:val="0"/>
    <w:pPr>
      <w:widowControl/>
      <w:autoSpaceDE w:val="0"/>
      <w:autoSpaceDN w:val="0"/>
      <w:jc w:val="left"/>
    </w:pPr>
    <w:rPr>
      <w:color w:val="auto"/>
      <w:w w:val="90"/>
    </w:rPr>
  </w:style>
  <w:style w:type="paragraph" w:customStyle="1" w:styleId="3488">
    <w:name w:val="正文格式13"/>
    <w:basedOn w:val="1"/>
    <w:qFormat/>
    <w:uiPriority w:val="0"/>
    <w:pPr>
      <w:spacing w:line="360" w:lineRule="auto"/>
      <w:ind w:firstLine="482"/>
    </w:pPr>
    <w:rPr>
      <w:rFonts w:ascii="宋体" w:hAnsi="宋体"/>
      <w:sz w:val="24"/>
    </w:rPr>
  </w:style>
  <w:style w:type="paragraph" w:customStyle="1" w:styleId="3489">
    <w:name w:val="图题1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490">
    <w:name w:val="表格内字体13"/>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491">
    <w:name w:val="Char110"/>
    <w:basedOn w:val="1"/>
    <w:qFormat/>
    <w:uiPriority w:val="0"/>
    <w:pPr>
      <w:ind w:left="-48"/>
    </w:pPr>
  </w:style>
  <w:style w:type="paragraph" w:customStyle="1" w:styleId="3492">
    <w:name w:val="正文格式＝12"/>
    <w:basedOn w:val="1192"/>
    <w:next w:val="1192"/>
    <w:semiHidden/>
    <w:qFormat/>
    <w:uiPriority w:val="0"/>
    <w:pPr>
      <w:adjustRightInd/>
      <w:snapToGrid/>
      <w:ind w:firstLine="482" w:firstLineChars="0"/>
    </w:pPr>
    <w:rPr>
      <w:rFonts w:hint="eastAsia" w:ascii="宋体" w:hAnsi="宋体"/>
      <w:szCs w:val="24"/>
    </w:rPr>
  </w:style>
  <w:style w:type="paragraph" w:customStyle="1" w:styleId="3493">
    <w:name w:val="正文格式23"/>
    <w:basedOn w:val="1"/>
    <w:qFormat/>
    <w:uiPriority w:val="0"/>
    <w:pPr>
      <w:spacing w:line="360" w:lineRule="auto"/>
      <w:ind w:firstLine="482"/>
    </w:pPr>
    <w:rPr>
      <w:rFonts w:ascii="宋体" w:hAnsi="宋体"/>
      <w:sz w:val="24"/>
    </w:rPr>
  </w:style>
  <w:style w:type="paragraph" w:customStyle="1" w:styleId="3494">
    <w:name w:val="Char1111"/>
    <w:basedOn w:val="1"/>
    <w:qFormat/>
    <w:uiPriority w:val="0"/>
    <w:pPr>
      <w:adjustRightInd w:val="0"/>
      <w:snapToGrid w:val="0"/>
      <w:spacing w:beforeLines="50" w:line="360" w:lineRule="auto"/>
    </w:pPr>
    <w:rPr>
      <w:rFonts w:ascii="黑体" w:eastAsia="黑体"/>
      <w:sz w:val="32"/>
      <w:szCs w:val="32"/>
    </w:rPr>
  </w:style>
  <w:style w:type="paragraph" w:customStyle="1" w:styleId="3495">
    <w:name w:val="图题23"/>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496">
    <w:name w:val="表格内字体23"/>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497">
    <w:name w:val="表内54112"/>
    <w:basedOn w:val="1"/>
    <w:qFormat/>
    <w:uiPriority w:val="0"/>
    <w:pPr>
      <w:adjustRightInd w:val="0"/>
      <w:snapToGrid w:val="0"/>
      <w:spacing w:line="300" w:lineRule="auto"/>
      <w:jc w:val="center"/>
    </w:pPr>
    <w:rPr>
      <w:rFonts w:ascii="宋体" w:hAnsi="宋体" w:cs="宋体"/>
      <w:szCs w:val="20"/>
    </w:rPr>
  </w:style>
  <w:style w:type="paragraph" w:customStyle="1" w:styleId="3498">
    <w:name w:val="表内文字小2112"/>
    <w:basedOn w:val="1"/>
    <w:qFormat/>
    <w:uiPriority w:val="0"/>
    <w:pPr>
      <w:adjustRightInd w:val="0"/>
      <w:snapToGrid w:val="0"/>
      <w:jc w:val="center"/>
    </w:pPr>
    <w:rPr>
      <w:rFonts w:ascii="宋体" w:hAnsi="Times"/>
      <w:bCs/>
      <w:color w:val="000000"/>
      <w:szCs w:val="20"/>
    </w:rPr>
  </w:style>
  <w:style w:type="paragraph" w:customStyle="1" w:styleId="3499">
    <w:name w:val="表题3112"/>
    <w:basedOn w:val="35"/>
    <w:qFormat/>
    <w:uiPriority w:val="0"/>
    <w:pPr>
      <w:tabs>
        <w:tab w:val="left" w:pos="4305"/>
      </w:tabs>
      <w:adjustRightInd w:val="0"/>
      <w:snapToGrid w:val="0"/>
      <w:ind w:firstLine="0"/>
      <w:jc w:val="center"/>
    </w:pPr>
    <w:rPr>
      <w:rFonts w:ascii="宋体" w:hAnsi="宋体"/>
      <w:sz w:val="24"/>
    </w:rPr>
  </w:style>
  <w:style w:type="paragraph" w:customStyle="1" w:styleId="3500">
    <w:name w:val="Char Char Char Char Char Char Char141"/>
    <w:basedOn w:val="1"/>
    <w:qFormat/>
    <w:uiPriority w:val="0"/>
  </w:style>
  <w:style w:type="paragraph" w:customStyle="1" w:styleId="3501">
    <w:name w:val="标题43112"/>
    <w:basedOn w:val="1"/>
    <w:qFormat/>
    <w:uiPriority w:val="0"/>
    <w:pPr>
      <w:adjustRightInd w:val="0"/>
      <w:snapToGrid w:val="0"/>
      <w:spacing w:line="480" w:lineRule="exact"/>
      <w:jc w:val="center"/>
    </w:pPr>
    <w:rPr>
      <w:rFonts w:ascii="宋体" w:hAnsi="宋体" w:cs="宋体"/>
      <w:sz w:val="24"/>
    </w:rPr>
  </w:style>
  <w:style w:type="paragraph" w:customStyle="1" w:styleId="3502">
    <w:name w:val="燕山正文111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03">
    <w:name w:val="默认段落字体 Para Char Char Char Char12"/>
    <w:basedOn w:val="1"/>
    <w:qFormat/>
    <w:uiPriority w:val="0"/>
  </w:style>
  <w:style w:type="paragraph" w:customStyle="1" w:styleId="3504">
    <w:name w:val="附件12"/>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505">
    <w:name w:val="黑体三号12"/>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506">
    <w:name w:val="表12"/>
    <w:basedOn w:val="1"/>
    <w:qFormat/>
    <w:uiPriority w:val="0"/>
    <w:pPr>
      <w:adjustRightInd w:val="0"/>
      <w:snapToGrid w:val="0"/>
      <w:jc w:val="center"/>
    </w:pPr>
    <w:rPr>
      <w:rFonts w:eastAsia="仿宋_GB2312"/>
      <w:sz w:val="24"/>
    </w:rPr>
  </w:style>
  <w:style w:type="paragraph" w:customStyle="1" w:styleId="3507">
    <w:name w:val="表题113"/>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508">
    <w:name w:val="燕山正文14"/>
    <w:basedOn w:val="1"/>
    <w:qFormat/>
    <w:uiPriority w:val="0"/>
    <w:pPr>
      <w:tabs>
        <w:tab w:val="left" w:pos="4680"/>
      </w:tabs>
      <w:adjustRightInd w:val="0"/>
      <w:snapToGrid w:val="0"/>
      <w:spacing w:line="480" w:lineRule="exact"/>
    </w:pPr>
    <w:rPr>
      <w:rFonts w:ascii="宋体" w:cs="宋体"/>
      <w:sz w:val="24"/>
    </w:rPr>
  </w:style>
  <w:style w:type="paragraph" w:customStyle="1" w:styleId="3509">
    <w:name w:val="正文修改12"/>
    <w:basedOn w:val="280"/>
    <w:qFormat/>
    <w:uiPriority w:val="0"/>
    <w:pPr>
      <w:spacing w:line="480" w:lineRule="exact"/>
      <w:ind w:firstLine="0" w:firstLineChars="0"/>
      <w:jc w:val="both"/>
    </w:pPr>
    <w:rPr>
      <w:rFonts w:hint="eastAsia" w:cs="宋体"/>
      <w:szCs w:val="24"/>
    </w:rPr>
  </w:style>
  <w:style w:type="paragraph" w:customStyle="1" w:styleId="3510">
    <w:name w:val="表中文字13"/>
    <w:basedOn w:val="1"/>
    <w:qFormat/>
    <w:uiPriority w:val="0"/>
    <w:pPr>
      <w:widowControl/>
      <w:spacing w:line="240" w:lineRule="atLeast"/>
      <w:ind w:left="-24" w:leftChars="-10" w:right="-48" w:rightChars="-20"/>
      <w:jc w:val="center"/>
    </w:pPr>
    <w:rPr>
      <w:rFonts w:ascii="宋体"/>
      <w:kern w:val="0"/>
      <w:szCs w:val="21"/>
    </w:rPr>
  </w:style>
  <w:style w:type="paragraph" w:customStyle="1" w:styleId="3511">
    <w:name w:val="表文字513"/>
    <w:basedOn w:val="1"/>
    <w:qFormat/>
    <w:uiPriority w:val="0"/>
    <w:pPr>
      <w:adjustRightInd w:val="0"/>
      <w:jc w:val="left"/>
    </w:pPr>
    <w:rPr>
      <w:rFonts w:ascii="宋体"/>
      <w:kern w:val="0"/>
      <w:szCs w:val="20"/>
    </w:rPr>
  </w:style>
  <w:style w:type="paragraph" w:customStyle="1" w:styleId="3512">
    <w:name w:val="表内文字小3112"/>
    <w:basedOn w:val="1"/>
    <w:qFormat/>
    <w:uiPriority w:val="0"/>
    <w:pPr>
      <w:adjustRightInd w:val="0"/>
      <w:snapToGrid w:val="0"/>
      <w:jc w:val="center"/>
    </w:pPr>
    <w:rPr>
      <w:rFonts w:ascii="宋体" w:hAnsi="Times" w:cs="宋体"/>
      <w:bCs/>
      <w:color w:val="003366"/>
      <w:szCs w:val="20"/>
    </w:rPr>
  </w:style>
  <w:style w:type="paragraph" w:customStyle="1" w:styleId="3513">
    <w:name w:val="样式112"/>
    <w:basedOn w:val="3083"/>
    <w:qFormat/>
    <w:uiPriority w:val="0"/>
    <w:pPr>
      <w:spacing w:line="240" w:lineRule="auto"/>
      <w:ind w:firstLine="0"/>
      <w:jc w:val="center"/>
    </w:pPr>
    <w:rPr>
      <w:rFonts w:cs="Times New Roman"/>
      <w:b/>
      <w:color w:val="auto"/>
      <w:szCs w:val="20"/>
    </w:rPr>
  </w:style>
  <w:style w:type="paragraph" w:customStyle="1" w:styleId="3514">
    <w:name w:val="正文格式＝22"/>
    <w:basedOn w:val="1192"/>
    <w:next w:val="1192"/>
    <w:semiHidden/>
    <w:qFormat/>
    <w:uiPriority w:val="0"/>
    <w:pPr>
      <w:adjustRightInd/>
      <w:snapToGrid/>
      <w:ind w:firstLine="482" w:firstLineChars="0"/>
    </w:pPr>
    <w:rPr>
      <w:rFonts w:hint="eastAsia" w:ascii="宋体" w:hAnsi="宋体"/>
      <w:szCs w:val="24"/>
    </w:rPr>
  </w:style>
  <w:style w:type="paragraph" w:customStyle="1" w:styleId="3515">
    <w:name w:val="Char241"/>
    <w:basedOn w:val="1"/>
    <w:qFormat/>
    <w:uiPriority w:val="0"/>
    <w:pPr>
      <w:ind w:left="-48"/>
    </w:pPr>
  </w:style>
  <w:style w:type="paragraph" w:customStyle="1" w:styleId="3516">
    <w:name w:val="表内文字小24"/>
    <w:basedOn w:val="1"/>
    <w:qFormat/>
    <w:uiPriority w:val="0"/>
    <w:pPr>
      <w:adjustRightInd w:val="0"/>
      <w:snapToGrid w:val="0"/>
      <w:jc w:val="center"/>
    </w:pPr>
    <w:rPr>
      <w:rFonts w:ascii="宋体" w:hAnsi="Times"/>
      <w:bCs/>
      <w:color w:val="000000"/>
      <w:szCs w:val="20"/>
    </w:rPr>
  </w:style>
  <w:style w:type="paragraph" w:customStyle="1" w:styleId="3517">
    <w:name w:val="表内533"/>
    <w:basedOn w:val="1"/>
    <w:qFormat/>
    <w:uiPriority w:val="0"/>
    <w:pPr>
      <w:adjustRightInd w:val="0"/>
      <w:snapToGrid w:val="0"/>
      <w:spacing w:line="300" w:lineRule="auto"/>
      <w:jc w:val="left"/>
    </w:pPr>
    <w:rPr>
      <w:rFonts w:ascii="宋体"/>
      <w:szCs w:val="20"/>
    </w:rPr>
  </w:style>
  <w:style w:type="paragraph" w:customStyle="1" w:styleId="3518">
    <w:name w:val="正文格式32"/>
    <w:basedOn w:val="1"/>
    <w:qFormat/>
    <w:uiPriority w:val="0"/>
    <w:pPr>
      <w:spacing w:line="360" w:lineRule="auto"/>
      <w:ind w:firstLine="482"/>
    </w:pPr>
    <w:rPr>
      <w:rFonts w:ascii="宋体" w:hAnsi="宋体"/>
      <w:sz w:val="24"/>
    </w:rPr>
  </w:style>
  <w:style w:type="paragraph" w:customStyle="1" w:styleId="3519">
    <w:name w:val="Char25"/>
    <w:basedOn w:val="1"/>
    <w:qFormat/>
    <w:uiPriority w:val="0"/>
    <w:pPr>
      <w:adjustRightInd w:val="0"/>
      <w:snapToGrid w:val="0"/>
      <w:spacing w:beforeLines="50" w:line="360" w:lineRule="auto"/>
    </w:pPr>
    <w:rPr>
      <w:rFonts w:ascii="黑体" w:eastAsia="黑体"/>
      <w:sz w:val="32"/>
      <w:szCs w:val="32"/>
    </w:rPr>
  </w:style>
  <w:style w:type="paragraph" w:customStyle="1" w:styleId="3520">
    <w:name w:val="图题3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521">
    <w:name w:val="表格内字体3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522">
    <w:name w:val="表内54122"/>
    <w:basedOn w:val="1"/>
    <w:qFormat/>
    <w:uiPriority w:val="0"/>
    <w:pPr>
      <w:adjustRightInd w:val="0"/>
      <w:snapToGrid w:val="0"/>
      <w:spacing w:line="300" w:lineRule="auto"/>
      <w:jc w:val="center"/>
    </w:pPr>
    <w:rPr>
      <w:rFonts w:ascii="宋体" w:hAnsi="宋体" w:cs="宋体"/>
      <w:szCs w:val="20"/>
    </w:rPr>
  </w:style>
  <w:style w:type="paragraph" w:customStyle="1" w:styleId="3523">
    <w:name w:val="表内文字小2122"/>
    <w:basedOn w:val="1"/>
    <w:qFormat/>
    <w:uiPriority w:val="0"/>
    <w:pPr>
      <w:adjustRightInd w:val="0"/>
      <w:snapToGrid w:val="0"/>
      <w:jc w:val="center"/>
    </w:pPr>
    <w:rPr>
      <w:rFonts w:ascii="宋体" w:hAnsi="Times"/>
      <w:bCs/>
      <w:color w:val="000000"/>
      <w:szCs w:val="20"/>
    </w:rPr>
  </w:style>
  <w:style w:type="paragraph" w:customStyle="1" w:styleId="3524">
    <w:name w:val="表题3122"/>
    <w:basedOn w:val="35"/>
    <w:qFormat/>
    <w:uiPriority w:val="0"/>
    <w:pPr>
      <w:tabs>
        <w:tab w:val="left" w:pos="4305"/>
      </w:tabs>
      <w:adjustRightInd w:val="0"/>
      <w:snapToGrid w:val="0"/>
      <w:ind w:firstLine="0"/>
      <w:jc w:val="center"/>
    </w:pPr>
    <w:rPr>
      <w:rFonts w:ascii="宋体" w:hAnsi="宋体"/>
      <w:sz w:val="24"/>
    </w:rPr>
  </w:style>
  <w:style w:type="paragraph" w:customStyle="1" w:styleId="3525">
    <w:name w:val="标题43122"/>
    <w:basedOn w:val="1"/>
    <w:qFormat/>
    <w:uiPriority w:val="0"/>
    <w:pPr>
      <w:adjustRightInd w:val="0"/>
      <w:snapToGrid w:val="0"/>
      <w:spacing w:line="480" w:lineRule="exact"/>
      <w:jc w:val="center"/>
    </w:pPr>
    <w:rPr>
      <w:rFonts w:ascii="宋体" w:hAnsi="宋体" w:cs="宋体"/>
      <w:sz w:val="24"/>
    </w:rPr>
  </w:style>
  <w:style w:type="paragraph" w:customStyle="1" w:styleId="3526">
    <w:name w:val="燕山正文1122"/>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527">
    <w:name w:val="默认段落字体 Para Char Char Char Char22"/>
    <w:basedOn w:val="1"/>
    <w:qFormat/>
    <w:uiPriority w:val="0"/>
  </w:style>
  <w:style w:type="paragraph" w:customStyle="1" w:styleId="3528">
    <w:name w:val="附件22"/>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529">
    <w:name w:val="黑体三号22"/>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530">
    <w:name w:val="表22"/>
    <w:basedOn w:val="1"/>
    <w:qFormat/>
    <w:uiPriority w:val="0"/>
    <w:pPr>
      <w:adjustRightInd w:val="0"/>
      <w:snapToGrid w:val="0"/>
      <w:jc w:val="center"/>
    </w:pPr>
    <w:rPr>
      <w:rFonts w:eastAsia="仿宋_GB2312"/>
      <w:sz w:val="24"/>
    </w:rPr>
  </w:style>
  <w:style w:type="paragraph" w:customStyle="1" w:styleId="3531">
    <w:name w:val="表题122"/>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532">
    <w:name w:val="燕山正文22"/>
    <w:basedOn w:val="1"/>
    <w:qFormat/>
    <w:uiPriority w:val="0"/>
    <w:pPr>
      <w:tabs>
        <w:tab w:val="left" w:pos="4680"/>
      </w:tabs>
      <w:adjustRightInd w:val="0"/>
      <w:snapToGrid w:val="0"/>
      <w:spacing w:line="480" w:lineRule="exact"/>
    </w:pPr>
    <w:rPr>
      <w:rFonts w:ascii="宋体" w:cs="宋体"/>
      <w:sz w:val="24"/>
    </w:rPr>
  </w:style>
  <w:style w:type="paragraph" w:customStyle="1" w:styleId="3533">
    <w:name w:val="正文修改22"/>
    <w:basedOn w:val="280"/>
    <w:qFormat/>
    <w:uiPriority w:val="0"/>
    <w:pPr>
      <w:spacing w:line="480" w:lineRule="exact"/>
      <w:ind w:firstLine="0" w:firstLineChars="0"/>
      <w:jc w:val="both"/>
    </w:pPr>
    <w:rPr>
      <w:rFonts w:hint="eastAsia" w:cs="宋体"/>
      <w:szCs w:val="24"/>
    </w:rPr>
  </w:style>
  <w:style w:type="paragraph" w:customStyle="1" w:styleId="3534">
    <w:name w:val="表中文字22"/>
    <w:basedOn w:val="1"/>
    <w:qFormat/>
    <w:uiPriority w:val="0"/>
    <w:pPr>
      <w:widowControl/>
      <w:adjustRightInd w:val="0"/>
      <w:spacing w:line="240" w:lineRule="atLeast"/>
      <w:ind w:right="-42" w:rightChars="-20"/>
      <w:jc w:val="center"/>
    </w:pPr>
    <w:rPr>
      <w:rFonts w:ascii="宋体"/>
      <w:kern w:val="0"/>
      <w:szCs w:val="21"/>
    </w:rPr>
  </w:style>
  <w:style w:type="paragraph" w:customStyle="1" w:styleId="3535">
    <w:name w:val="表文字522"/>
    <w:basedOn w:val="1"/>
    <w:qFormat/>
    <w:uiPriority w:val="0"/>
    <w:pPr>
      <w:adjustRightInd w:val="0"/>
      <w:jc w:val="left"/>
    </w:pPr>
    <w:rPr>
      <w:rFonts w:ascii="宋体"/>
      <w:kern w:val="0"/>
      <w:szCs w:val="20"/>
    </w:rPr>
  </w:style>
  <w:style w:type="paragraph" w:customStyle="1" w:styleId="3536">
    <w:name w:val="表内文字小3122"/>
    <w:basedOn w:val="1"/>
    <w:qFormat/>
    <w:uiPriority w:val="0"/>
    <w:pPr>
      <w:adjustRightInd w:val="0"/>
      <w:snapToGrid w:val="0"/>
      <w:jc w:val="center"/>
    </w:pPr>
    <w:rPr>
      <w:rFonts w:ascii="宋体" w:hAnsi="Times" w:cs="宋体"/>
      <w:bCs/>
      <w:color w:val="003366"/>
      <w:szCs w:val="20"/>
    </w:rPr>
  </w:style>
  <w:style w:type="paragraph" w:customStyle="1" w:styleId="3537">
    <w:name w:val="样式122"/>
    <w:basedOn w:val="3083"/>
    <w:qFormat/>
    <w:uiPriority w:val="0"/>
    <w:pPr>
      <w:spacing w:line="240" w:lineRule="auto"/>
      <w:ind w:firstLine="0"/>
      <w:jc w:val="center"/>
    </w:pPr>
    <w:rPr>
      <w:rFonts w:cs="Times New Roman"/>
      <w:b/>
      <w:color w:val="auto"/>
      <w:szCs w:val="20"/>
    </w:rPr>
  </w:style>
  <w:style w:type="paragraph" w:customStyle="1" w:styleId="3538">
    <w:name w:val="正文格式＝32"/>
    <w:basedOn w:val="1192"/>
    <w:next w:val="1192"/>
    <w:semiHidden/>
    <w:qFormat/>
    <w:uiPriority w:val="0"/>
    <w:pPr>
      <w:adjustRightInd/>
      <w:snapToGrid/>
      <w:ind w:firstLine="482" w:firstLineChars="0"/>
    </w:pPr>
    <w:rPr>
      <w:rFonts w:hint="eastAsia" w:ascii="宋体" w:hAnsi="宋体"/>
      <w:szCs w:val="24"/>
    </w:rPr>
  </w:style>
  <w:style w:type="paragraph" w:customStyle="1" w:styleId="3539">
    <w:name w:val="Char34"/>
    <w:basedOn w:val="1"/>
    <w:qFormat/>
    <w:uiPriority w:val="0"/>
    <w:pPr>
      <w:ind w:left="-48"/>
    </w:pPr>
  </w:style>
  <w:style w:type="paragraph" w:customStyle="1" w:styleId="3540">
    <w:name w:val="表内文字小222"/>
    <w:basedOn w:val="1"/>
    <w:qFormat/>
    <w:uiPriority w:val="0"/>
    <w:pPr>
      <w:adjustRightInd w:val="0"/>
      <w:snapToGrid w:val="0"/>
      <w:jc w:val="center"/>
    </w:pPr>
    <w:rPr>
      <w:rFonts w:ascii="宋体" w:hAnsi="Times"/>
      <w:bCs/>
      <w:color w:val="000000"/>
      <w:szCs w:val="20"/>
    </w:rPr>
  </w:style>
  <w:style w:type="paragraph" w:customStyle="1" w:styleId="3541">
    <w:name w:val="表内5312"/>
    <w:basedOn w:val="1"/>
    <w:qFormat/>
    <w:uiPriority w:val="0"/>
    <w:pPr>
      <w:adjustRightInd w:val="0"/>
      <w:snapToGrid w:val="0"/>
      <w:spacing w:line="300" w:lineRule="auto"/>
      <w:jc w:val="left"/>
    </w:pPr>
    <w:rPr>
      <w:rFonts w:ascii="宋体"/>
      <w:szCs w:val="20"/>
    </w:rPr>
  </w:style>
  <w:style w:type="paragraph" w:customStyle="1" w:styleId="3542">
    <w:name w:val="正文格式212"/>
    <w:basedOn w:val="1"/>
    <w:qFormat/>
    <w:uiPriority w:val="0"/>
    <w:pPr>
      <w:spacing w:line="360" w:lineRule="auto"/>
      <w:ind w:firstLine="482"/>
    </w:pPr>
    <w:rPr>
      <w:rFonts w:ascii="宋体" w:hAnsi="宋体"/>
      <w:sz w:val="24"/>
    </w:rPr>
  </w:style>
  <w:style w:type="paragraph" w:customStyle="1" w:styleId="3543">
    <w:name w:val="图题21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544">
    <w:name w:val="表格内字体21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545">
    <w:name w:val="表题1112"/>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546">
    <w:name w:val="表中文字112"/>
    <w:basedOn w:val="1"/>
    <w:qFormat/>
    <w:uiPriority w:val="0"/>
    <w:pPr>
      <w:widowControl/>
      <w:spacing w:line="240" w:lineRule="atLeast"/>
      <w:ind w:left="-24" w:leftChars="-10" w:right="-48" w:rightChars="-20"/>
      <w:jc w:val="center"/>
    </w:pPr>
    <w:rPr>
      <w:rFonts w:ascii="宋体"/>
      <w:kern w:val="0"/>
      <w:szCs w:val="21"/>
    </w:rPr>
  </w:style>
  <w:style w:type="paragraph" w:customStyle="1" w:styleId="3547">
    <w:name w:val="表文字5112"/>
    <w:basedOn w:val="1"/>
    <w:qFormat/>
    <w:uiPriority w:val="0"/>
    <w:pPr>
      <w:adjustRightInd w:val="0"/>
      <w:jc w:val="left"/>
    </w:pPr>
    <w:rPr>
      <w:rFonts w:ascii="宋体"/>
      <w:kern w:val="0"/>
      <w:szCs w:val="20"/>
    </w:rPr>
  </w:style>
  <w:style w:type="paragraph" w:customStyle="1" w:styleId="3548">
    <w:name w:val="图题4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549">
    <w:name w:val="表格内字体4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550">
    <w:name w:val="Char44"/>
    <w:basedOn w:val="1"/>
    <w:qFormat/>
    <w:uiPriority w:val="0"/>
    <w:pPr>
      <w:ind w:left="-48"/>
    </w:pPr>
  </w:style>
  <w:style w:type="paragraph" w:customStyle="1" w:styleId="3551">
    <w:name w:val="正文格式＝42"/>
    <w:basedOn w:val="1192"/>
    <w:next w:val="1192"/>
    <w:semiHidden/>
    <w:qFormat/>
    <w:uiPriority w:val="0"/>
    <w:pPr>
      <w:adjustRightInd/>
      <w:snapToGrid/>
      <w:ind w:firstLine="482" w:firstLineChars="0"/>
    </w:pPr>
    <w:rPr>
      <w:rFonts w:hint="eastAsia" w:ascii="宋体" w:hAnsi="宋体"/>
      <w:szCs w:val="24"/>
    </w:rPr>
  </w:style>
  <w:style w:type="paragraph" w:customStyle="1" w:styleId="3552">
    <w:name w:val="表题132"/>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553">
    <w:name w:val="默认段落字体 Para Char1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554">
    <w:name w:val="Char Char Char Char Char Char Char15"/>
    <w:basedOn w:val="1"/>
    <w:qFormat/>
    <w:uiPriority w:val="0"/>
    <w:rPr>
      <w:szCs w:val="20"/>
    </w:rPr>
  </w:style>
  <w:style w:type="paragraph" w:customStyle="1" w:styleId="3555">
    <w:name w:val="Char52"/>
    <w:basedOn w:val="1"/>
    <w:qFormat/>
    <w:uiPriority w:val="0"/>
    <w:pPr>
      <w:adjustRightInd w:val="0"/>
      <w:snapToGrid w:val="0"/>
      <w:ind w:left="-45"/>
    </w:pPr>
  </w:style>
  <w:style w:type="paragraph" w:customStyle="1" w:styleId="3556">
    <w:name w:val="燕山正文1132"/>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557">
    <w:name w:val="正文格式52"/>
    <w:basedOn w:val="1"/>
    <w:qFormat/>
    <w:uiPriority w:val="0"/>
    <w:pPr>
      <w:spacing w:line="360" w:lineRule="auto"/>
      <w:ind w:firstLine="482"/>
    </w:pPr>
    <w:rPr>
      <w:rFonts w:ascii="宋体" w:hAnsi="宋体"/>
      <w:sz w:val="24"/>
    </w:rPr>
  </w:style>
  <w:style w:type="paragraph" w:customStyle="1" w:styleId="3558">
    <w:name w:val="Char35"/>
    <w:basedOn w:val="1"/>
    <w:qFormat/>
    <w:uiPriority w:val="0"/>
    <w:pPr>
      <w:ind w:left="-48"/>
    </w:pPr>
  </w:style>
  <w:style w:type="paragraph" w:customStyle="1" w:styleId="3559">
    <w:name w:val="图题5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560">
    <w:name w:val="表格内字体52"/>
    <w:basedOn w:val="1192"/>
    <w:next w:val="1192"/>
    <w:qFormat/>
    <w:uiPriority w:val="0"/>
    <w:pPr>
      <w:spacing w:line="240" w:lineRule="auto"/>
      <w:ind w:firstLine="0" w:firstLineChars="0"/>
    </w:pPr>
    <w:rPr>
      <w:rFonts w:hint="eastAsia" w:ascii="宋体" w:hAnsi="宋体"/>
      <w:sz w:val="21"/>
      <w:szCs w:val="24"/>
    </w:rPr>
  </w:style>
  <w:style w:type="paragraph" w:customStyle="1" w:styleId="3561">
    <w:name w:val="表32"/>
    <w:basedOn w:val="1"/>
    <w:qFormat/>
    <w:uiPriority w:val="0"/>
    <w:pPr>
      <w:adjustRightInd w:val="0"/>
      <w:snapToGrid w:val="0"/>
      <w:jc w:val="center"/>
    </w:pPr>
    <w:rPr>
      <w:rFonts w:eastAsia="仿宋_GB2312"/>
      <w:sz w:val="24"/>
    </w:rPr>
  </w:style>
  <w:style w:type="paragraph" w:customStyle="1" w:styleId="3562">
    <w:name w:val="正文.12"/>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563">
    <w:name w:val="文本框12"/>
    <w:basedOn w:val="1"/>
    <w:qFormat/>
    <w:uiPriority w:val="0"/>
    <w:pPr>
      <w:adjustRightInd w:val="0"/>
      <w:snapToGrid w:val="0"/>
      <w:spacing w:after="6"/>
      <w:jc w:val="center"/>
    </w:pPr>
    <w:rPr>
      <w:rFonts w:eastAsia="仿宋_GB2312"/>
    </w:rPr>
  </w:style>
  <w:style w:type="paragraph" w:customStyle="1" w:styleId="3564">
    <w:name w:val="表内宋51112"/>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565">
    <w:name w:val="表内文字小3132"/>
    <w:basedOn w:val="1"/>
    <w:qFormat/>
    <w:uiPriority w:val="0"/>
    <w:pPr>
      <w:adjustRightInd w:val="0"/>
      <w:snapToGrid w:val="0"/>
      <w:jc w:val="center"/>
    </w:pPr>
    <w:rPr>
      <w:rFonts w:ascii="宋体" w:hAnsi="Times" w:cs="宋体"/>
      <w:bCs/>
      <w:color w:val="003366"/>
      <w:szCs w:val="20"/>
    </w:rPr>
  </w:style>
  <w:style w:type="paragraph" w:customStyle="1" w:styleId="3566">
    <w:name w:val="表文字532"/>
    <w:basedOn w:val="1"/>
    <w:qFormat/>
    <w:uiPriority w:val="0"/>
    <w:pPr>
      <w:adjustRightInd w:val="0"/>
      <w:jc w:val="left"/>
    </w:pPr>
    <w:rPr>
      <w:rFonts w:ascii="宋体"/>
      <w:kern w:val="0"/>
      <w:szCs w:val="20"/>
    </w:rPr>
  </w:style>
  <w:style w:type="paragraph" w:customStyle="1" w:styleId="3567">
    <w:name w:val="正文212"/>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3568">
    <w:name w:val="Char Char Char Char Char Char Char23"/>
    <w:basedOn w:val="1"/>
    <w:qFormat/>
    <w:uiPriority w:val="0"/>
  </w:style>
  <w:style w:type="paragraph" w:customStyle="1" w:styleId="3569">
    <w:name w:val="表题3132"/>
    <w:basedOn w:val="35"/>
    <w:qFormat/>
    <w:uiPriority w:val="0"/>
    <w:pPr>
      <w:tabs>
        <w:tab w:val="left" w:pos="4305"/>
      </w:tabs>
      <w:adjustRightInd w:val="0"/>
      <w:snapToGrid w:val="0"/>
      <w:ind w:firstLine="0"/>
      <w:jc w:val="center"/>
    </w:pPr>
    <w:rPr>
      <w:rFonts w:ascii="宋体" w:hAnsi="宋体"/>
      <w:sz w:val="24"/>
    </w:rPr>
  </w:style>
  <w:style w:type="paragraph" w:customStyle="1" w:styleId="3570">
    <w:name w:val="表内文字小2132"/>
    <w:basedOn w:val="1"/>
    <w:qFormat/>
    <w:uiPriority w:val="0"/>
    <w:pPr>
      <w:adjustRightInd w:val="0"/>
      <w:snapToGrid w:val="0"/>
      <w:jc w:val="center"/>
    </w:pPr>
    <w:rPr>
      <w:rFonts w:ascii="宋体" w:hAnsi="Times"/>
      <w:bCs/>
      <w:color w:val="000000"/>
      <w:szCs w:val="20"/>
    </w:rPr>
  </w:style>
  <w:style w:type="paragraph" w:customStyle="1" w:styleId="3571">
    <w:name w:val="燕山正文32"/>
    <w:basedOn w:val="1"/>
    <w:qFormat/>
    <w:uiPriority w:val="0"/>
    <w:pPr>
      <w:tabs>
        <w:tab w:val="left" w:pos="4680"/>
      </w:tabs>
      <w:adjustRightInd w:val="0"/>
      <w:snapToGrid w:val="0"/>
      <w:spacing w:line="480" w:lineRule="exact"/>
    </w:pPr>
    <w:rPr>
      <w:rFonts w:ascii="宋体" w:cs="宋体"/>
      <w:sz w:val="24"/>
    </w:rPr>
  </w:style>
  <w:style w:type="paragraph" w:customStyle="1" w:styleId="3572">
    <w:name w:val="正文修改32"/>
    <w:basedOn w:val="280"/>
    <w:qFormat/>
    <w:uiPriority w:val="0"/>
    <w:pPr>
      <w:spacing w:line="480" w:lineRule="exact"/>
      <w:ind w:firstLine="0" w:firstLineChars="0"/>
      <w:jc w:val="both"/>
    </w:pPr>
    <w:rPr>
      <w:rFonts w:hint="eastAsia" w:cs="宋体"/>
      <w:szCs w:val="24"/>
    </w:rPr>
  </w:style>
  <w:style w:type="paragraph" w:customStyle="1" w:styleId="3573">
    <w:name w:val="表题143"/>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574">
    <w:name w:val="表中文字32"/>
    <w:basedOn w:val="1"/>
    <w:qFormat/>
    <w:uiPriority w:val="0"/>
    <w:pPr>
      <w:widowControl/>
      <w:spacing w:line="240" w:lineRule="atLeast"/>
      <w:ind w:left="-24" w:leftChars="-10" w:right="-48" w:rightChars="-20"/>
      <w:jc w:val="center"/>
    </w:pPr>
    <w:rPr>
      <w:rFonts w:ascii="宋体"/>
      <w:kern w:val="0"/>
      <w:szCs w:val="21"/>
    </w:rPr>
  </w:style>
  <w:style w:type="paragraph" w:customStyle="1" w:styleId="3575">
    <w:name w:val="黑体三号32"/>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576">
    <w:name w:val="默认段落字体 Para Char Char Char Char32"/>
    <w:basedOn w:val="1"/>
    <w:qFormat/>
    <w:uiPriority w:val="0"/>
  </w:style>
  <w:style w:type="paragraph" w:customStyle="1" w:styleId="3577">
    <w:name w:val="表内54132"/>
    <w:basedOn w:val="1"/>
    <w:qFormat/>
    <w:uiPriority w:val="0"/>
    <w:pPr>
      <w:adjustRightInd w:val="0"/>
      <w:snapToGrid w:val="0"/>
      <w:spacing w:line="300" w:lineRule="auto"/>
      <w:jc w:val="center"/>
    </w:pPr>
    <w:rPr>
      <w:rFonts w:ascii="宋体" w:hAnsi="宋体" w:cs="宋体"/>
      <w:szCs w:val="20"/>
    </w:rPr>
  </w:style>
  <w:style w:type="paragraph" w:customStyle="1" w:styleId="3578">
    <w:name w:val="标题43"/>
    <w:basedOn w:val="1"/>
    <w:qFormat/>
    <w:uiPriority w:val="0"/>
    <w:pPr>
      <w:adjustRightInd w:val="0"/>
      <w:snapToGrid w:val="0"/>
      <w:spacing w:line="300" w:lineRule="auto"/>
      <w:jc w:val="left"/>
    </w:pPr>
    <w:rPr>
      <w:rFonts w:ascii="黑体" w:eastAsia="黑体"/>
      <w:bCs/>
      <w:sz w:val="24"/>
    </w:rPr>
  </w:style>
  <w:style w:type="paragraph" w:customStyle="1" w:styleId="3579">
    <w:name w:val="Char62"/>
    <w:basedOn w:val="1"/>
    <w:qFormat/>
    <w:uiPriority w:val="0"/>
    <w:pPr>
      <w:adjustRightInd w:val="0"/>
      <w:snapToGrid w:val="0"/>
      <w:spacing w:beforeLines="50" w:line="360" w:lineRule="auto"/>
    </w:pPr>
    <w:rPr>
      <w:rFonts w:ascii="黑体" w:eastAsia="黑体"/>
      <w:sz w:val="32"/>
      <w:szCs w:val="32"/>
    </w:rPr>
  </w:style>
  <w:style w:type="paragraph" w:customStyle="1" w:styleId="3580">
    <w:name w:val="表题2112"/>
    <w:basedOn w:val="1"/>
    <w:qFormat/>
    <w:uiPriority w:val="0"/>
    <w:pPr>
      <w:widowControl/>
      <w:adjustRightInd w:val="0"/>
      <w:snapToGrid w:val="0"/>
      <w:jc w:val="center"/>
    </w:pPr>
    <w:rPr>
      <w:rFonts w:ascii="黑体" w:hAnsi="宋体" w:eastAsia="黑体" w:cs="宋体"/>
      <w:kern w:val="0"/>
      <w:sz w:val="24"/>
    </w:rPr>
  </w:style>
  <w:style w:type="paragraph" w:customStyle="1" w:styleId="3581">
    <w:name w:val="表内宋5中112"/>
    <w:basedOn w:val="1"/>
    <w:qFormat/>
    <w:uiPriority w:val="0"/>
    <w:pPr>
      <w:adjustRightInd w:val="0"/>
      <w:snapToGrid w:val="0"/>
      <w:jc w:val="center"/>
    </w:pPr>
    <w:rPr>
      <w:rFonts w:ascii="宋体" w:hAnsi="宋体" w:cs="宋体"/>
      <w:kern w:val="0"/>
      <w:szCs w:val="20"/>
    </w:rPr>
  </w:style>
  <w:style w:type="paragraph" w:customStyle="1" w:styleId="3582">
    <w:name w:val="表内宋5中13"/>
    <w:basedOn w:val="1"/>
    <w:qFormat/>
    <w:uiPriority w:val="0"/>
    <w:pPr>
      <w:adjustRightInd w:val="0"/>
      <w:snapToGrid w:val="0"/>
      <w:jc w:val="center"/>
    </w:pPr>
    <w:rPr>
      <w:rFonts w:ascii="宋体" w:hAnsi="宋体" w:cs="宋体"/>
      <w:kern w:val="0"/>
      <w:szCs w:val="20"/>
    </w:rPr>
  </w:style>
  <w:style w:type="paragraph" w:customStyle="1" w:styleId="3583">
    <w:name w:val="表内文字小112"/>
    <w:basedOn w:val="1"/>
    <w:qFormat/>
    <w:uiPriority w:val="0"/>
    <w:pPr>
      <w:adjustRightInd w:val="0"/>
      <w:snapToGrid w:val="0"/>
    </w:pPr>
    <w:rPr>
      <w:rFonts w:ascii="宋体" w:hAnsi="Times" w:cs="宋体"/>
      <w:szCs w:val="20"/>
    </w:rPr>
  </w:style>
  <w:style w:type="paragraph" w:customStyle="1" w:styleId="3584">
    <w:name w:val="标题4112"/>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585">
    <w:name w:val="表题1412"/>
    <w:basedOn w:val="1"/>
    <w:qFormat/>
    <w:uiPriority w:val="0"/>
    <w:pPr>
      <w:widowControl/>
      <w:adjustRightInd w:val="0"/>
      <w:snapToGrid w:val="0"/>
      <w:jc w:val="center"/>
    </w:pPr>
    <w:rPr>
      <w:rFonts w:ascii="黑体" w:hAnsi="宋体" w:eastAsia="黑体" w:cs="宋体"/>
      <w:kern w:val="0"/>
      <w:sz w:val="24"/>
    </w:rPr>
  </w:style>
  <w:style w:type="paragraph" w:customStyle="1" w:styleId="3586">
    <w:name w:val="表内文字小82"/>
    <w:basedOn w:val="1"/>
    <w:qFormat/>
    <w:uiPriority w:val="0"/>
    <w:pPr>
      <w:adjustRightInd w:val="0"/>
      <w:snapToGrid w:val="0"/>
      <w:jc w:val="center"/>
    </w:pPr>
    <w:rPr>
      <w:rFonts w:ascii="宋体" w:hAnsi="Times" w:cs="宋体"/>
      <w:szCs w:val="20"/>
    </w:rPr>
  </w:style>
  <w:style w:type="paragraph" w:customStyle="1" w:styleId="3587">
    <w:name w:val="默认段落字体 Para Char2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588">
    <w:name w:val="表内5中3"/>
    <w:basedOn w:val="1"/>
    <w:qFormat/>
    <w:uiPriority w:val="0"/>
    <w:pPr>
      <w:adjustRightInd w:val="0"/>
      <w:snapToGrid w:val="0"/>
      <w:jc w:val="center"/>
    </w:pPr>
    <w:rPr>
      <w:rFonts w:ascii="宋体" w:hAnsi="宋体" w:cs="Arial"/>
      <w:color w:val="000000"/>
      <w:szCs w:val="21"/>
    </w:rPr>
  </w:style>
  <w:style w:type="paragraph" w:customStyle="1" w:styleId="3589">
    <w:name w:val="Default2"/>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590">
    <w:name w:val="正文格式62"/>
    <w:basedOn w:val="1"/>
    <w:qFormat/>
    <w:uiPriority w:val="0"/>
    <w:pPr>
      <w:spacing w:line="360" w:lineRule="auto"/>
      <w:ind w:firstLine="482"/>
    </w:pPr>
    <w:rPr>
      <w:rFonts w:ascii="宋体" w:hAnsi="宋体"/>
      <w:sz w:val="24"/>
    </w:rPr>
  </w:style>
  <w:style w:type="paragraph" w:customStyle="1" w:styleId="3591">
    <w:name w:val="正文格式＝52"/>
    <w:basedOn w:val="1192"/>
    <w:next w:val="1192"/>
    <w:semiHidden/>
    <w:qFormat/>
    <w:uiPriority w:val="0"/>
    <w:pPr>
      <w:adjustRightInd/>
      <w:snapToGrid/>
      <w:ind w:firstLine="482" w:firstLineChars="0"/>
    </w:pPr>
    <w:rPr>
      <w:rFonts w:hint="eastAsia" w:ascii="宋体" w:hAnsi="宋体"/>
      <w:szCs w:val="24"/>
    </w:rPr>
  </w:style>
  <w:style w:type="paragraph" w:customStyle="1" w:styleId="3592">
    <w:name w:val="附件32"/>
    <w:basedOn w:val="4"/>
    <w:next w:val="1192"/>
    <w:qFormat/>
    <w:uiPriority w:val="0"/>
    <w:pPr>
      <w:numPr>
        <w:numId w:val="0"/>
      </w:numPr>
      <w:tabs>
        <w:tab w:val="left" w:pos="1566"/>
      </w:tabs>
      <w:spacing w:line="360" w:lineRule="auto"/>
    </w:pPr>
    <w:rPr>
      <w:rFonts w:ascii="黑体" w:hAnsi="宋体"/>
      <w:sz w:val="32"/>
      <w:szCs w:val="32"/>
    </w:rPr>
  </w:style>
  <w:style w:type="paragraph" w:customStyle="1" w:styleId="3593">
    <w:name w:val="图题62"/>
    <w:basedOn w:val="1192"/>
    <w:next w:val="1192"/>
    <w:qFormat/>
    <w:uiPriority w:val="0"/>
    <w:pPr>
      <w:adjustRightInd/>
      <w:snapToGrid/>
      <w:ind w:firstLine="0" w:firstLineChars="0"/>
      <w:jc w:val="center"/>
    </w:pPr>
    <w:rPr>
      <w:rFonts w:hint="eastAsia" w:ascii="黑体" w:hAnsi="宋体" w:eastAsia="黑体" w:cs="宋体"/>
      <w:b/>
      <w:bCs/>
      <w:kern w:val="0"/>
      <w:szCs w:val="24"/>
    </w:rPr>
  </w:style>
  <w:style w:type="paragraph" w:customStyle="1" w:styleId="3594">
    <w:name w:val="表格内字体6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595">
    <w:name w:val="黑体三号42"/>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596">
    <w:name w:val="默认段落字体 Para Char Char Char Char42"/>
    <w:basedOn w:val="1"/>
    <w:qFormat/>
    <w:uiPriority w:val="0"/>
  </w:style>
  <w:style w:type="paragraph" w:customStyle="1" w:styleId="3597">
    <w:name w:val="图表题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598">
    <w:name w:val="样式 表格内字体 +2"/>
    <w:basedOn w:val="1491"/>
    <w:qFormat/>
    <w:uiPriority w:val="0"/>
    <w:pPr>
      <w:spacing w:line="280" w:lineRule="exact"/>
      <w:ind w:firstLine="36"/>
      <w:jc w:val="both"/>
    </w:pPr>
    <w:rPr>
      <w:rFonts w:hint="eastAsia" w:hAnsi="宋体" w:cs="Times New Roman"/>
      <w:kern w:val="0"/>
      <w:szCs w:val="24"/>
    </w:rPr>
  </w:style>
  <w:style w:type="paragraph" w:customStyle="1" w:styleId="3599">
    <w:name w:val="A正文2"/>
    <w:basedOn w:val="1"/>
    <w:qFormat/>
    <w:uiPriority w:val="0"/>
    <w:pPr>
      <w:widowControl/>
      <w:overflowPunct w:val="0"/>
      <w:autoSpaceDE w:val="0"/>
      <w:autoSpaceDN w:val="0"/>
      <w:adjustRightInd w:val="0"/>
      <w:spacing w:line="360" w:lineRule="auto"/>
      <w:ind w:firstLine="200" w:firstLineChars="200"/>
      <w:jc w:val="left"/>
    </w:pPr>
    <w:rPr>
      <w:rFonts w:eastAsia="仿宋_GB2312"/>
      <w:kern w:val="0"/>
      <w:sz w:val="24"/>
    </w:rPr>
  </w:style>
  <w:style w:type="paragraph" w:customStyle="1" w:styleId="3600">
    <w:name w:val="图题注2"/>
    <w:basedOn w:val="23"/>
    <w:qFormat/>
    <w:uiPriority w:val="0"/>
    <w:pPr>
      <w:tabs>
        <w:tab w:val="left" w:pos="1280"/>
      </w:tabs>
      <w:spacing w:beforeLines="50" w:line="240" w:lineRule="auto"/>
      <w:ind w:firstLine="0" w:firstLineChars="0"/>
      <w:jc w:val="center"/>
    </w:pPr>
    <w:rPr>
      <w:rFonts w:ascii="黑体" w:cs="宋体"/>
      <w:b/>
      <w:bCs/>
      <w:snapToGrid/>
      <w:kern w:val="2"/>
      <w:sz w:val="24"/>
      <w:szCs w:val="24"/>
    </w:rPr>
  </w:style>
  <w:style w:type="paragraph" w:customStyle="1" w:styleId="3601">
    <w:name w:val="Char72"/>
    <w:basedOn w:val="1"/>
    <w:qFormat/>
    <w:uiPriority w:val="0"/>
    <w:pPr>
      <w:ind w:left="-48"/>
    </w:pPr>
  </w:style>
  <w:style w:type="paragraph" w:customStyle="1" w:styleId="3602">
    <w:name w:val="表格内字体112"/>
    <w:basedOn w:val="1192"/>
    <w:qFormat/>
    <w:uiPriority w:val="0"/>
    <w:pPr>
      <w:adjustRightInd/>
      <w:snapToGrid/>
      <w:spacing w:line="240" w:lineRule="auto"/>
      <w:ind w:firstLine="0" w:firstLineChars="0"/>
      <w:jc w:val="center"/>
    </w:pPr>
    <w:rPr>
      <w:rFonts w:hint="eastAsia" w:ascii="宋体" w:hAnsi="宋体" w:cs="宋体"/>
      <w:sz w:val="21"/>
      <w:szCs w:val="20"/>
    </w:rPr>
  </w:style>
  <w:style w:type="paragraph" w:customStyle="1" w:styleId="3603">
    <w:name w:val="Char Char2 Char Char Char Char6"/>
    <w:basedOn w:val="1"/>
    <w:semiHidden/>
    <w:qFormat/>
    <w:uiPriority w:val="0"/>
  </w:style>
  <w:style w:type="paragraph" w:customStyle="1" w:styleId="3604">
    <w:name w:val="样式 正文缩进 + 宋体 黑色 首行缩进:  2 字符2"/>
    <w:basedOn w:val="22"/>
    <w:qFormat/>
    <w:uiPriority w:val="0"/>
    <w:pPr>
      <w:spacing w:line="360" w:lineRule="auto"/>
      <w:ind w:firstLine="480"/>
      <w:jc w:val="left"/>
    </w:pPr>
    <w:rPr>
      <w:rFonts w:ascii="宋体" w:hAnsi="宋体" w:cs="宋体"/>
      <w:color w:val="FF00FF"/>
      <w:sz w:val="24"/>
      <w:szCs w:val="20"/>
    </w:rPr>
  </w:style>
  <w:style w:type="paragraph" w:customStyle="1" w:styleId="3605">
    <w:name w:val="环评正文2"/>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606">
    <w:name w:val="注释2"/>
    <w:basedOn w:val="1192"/>
    <w:next w:val="2"/>
    <w:qFormat/>
    <w:uiPriority w:val="0"/>
    <w:pPr>
      <w:adjustRightInd/>
      <w:snapToGrid/>
      <w:spacing w:before="120" w:after="120" w:line="240" w:lineRule="auto"/>
    </w:pPr>
    <w:rPr>
      <w:rFonts w:hint="eastAsia" w:ascii="宋体" w:hAnsi="宋体" w:cs="宋体"/>
      <w:sz w:val="21"/>
      <w:szCs w:val="20"/>
    </w:rPr>
  </w:style>
  <w:style w:type="paragraph" w:customStyle="1" w:styleId="3607">
    <w:name w:val="样式42"/>
    <w:basedOn w:val="2"/>
    <w:qFormat/>
    <w:uiPriority w:val="0"/>
    <w:pPr>
      <w:tabs>
        <w:tab w:val="left" w:pos="1820"/>
      </w:tabs>
      <w:snapToGrid w:val="0"/>
      <w:spacing w:after="0" w:line="240" w:lineRule="atLeast"/>
      <w:ind w:firstLine="0" w:firstLineChars="0"/>
      <w:jc w:val="center"/>
    </w:pPr>
    <w:rPr>
      <w:rFonts w:eastAsia="幼圆"/>
      <w:snapToGrid/>
      <w:sz w:val="21"/>
      <w:szCs w:val="20"/>
    </w:rPr>
  </w:style>
  <w:style w:type="paragraph" w:customStyle="1" w:styleId="3608">
    <w:name w:val="标题413"/>
    <w:basedOn w:val="7"/>
    <w:next w:val="1"/>
    <w:qFormat/>
    <w:uiPriority w:val="0"/>
    <w:pPr>
      <w:numPr>
        <w:ilvl w:val="0"/>
        <w:numId w:val="0"/>
      </w:numPr>
      <w:adjustRightInd/>
      <w:snapToGrid/>
      <w:spacing w:before="160" w:after="170"/>
    </w:pPr>
    <w:rPr>
      <w:rFonts w:ascii="黑体" w:hAnsi="Arial"/>
      <w:b/>
      <w:kern w:val="0"/>
      <w:sz w:val="24"/>
    </w:rPr>
  </w:style>
  <w:style w:type="paragraph" w:customStyle="1" w:styleId="3609">
    <w:name w:val="表中文字42"/>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3610">
    <w:name w:val="样式 正文缩进 + 宋体 黑色2"/>
    <w:basedOn w:val="22"/>
    <w:qFormat/>
    <w:uiPriority w:val="0"/>
    <w:pPr>
      <w:spacing w:line="360" w:lineRule="auto"/>
      <w:ind w:firstLine="200"/>
      <w:jc w:val="left"/>
    </w:pPr>
    <w:rPr>
      <w:rFonts w:ascii="宋体" w:hAnsi="宋体"/>
      <w:color w:val="000000"/>
      <w:sz w:val="24"/>
    </w:rPr>
  </w:style>
  <w:style w:type="paragraph" w:customStyle="1" w:styleId="3611">
    <w:name w:val="表内512"/>
    <w:basedOn w:val="1"/>
    <w:qFormat/>
    <w:uiPriority w:val="0"/>
    <w:pPr>
      <w:adjustRightInd w:val="0"/>
      <w:snapToGrid w:val="0"/>
      <w:jc w:val="center"/>
    </w:pPr>
    <w:rPr>
      <w:rFonts w:ascii="宋体" w:hAnsi="宋体"/>
      <w:kern w:val="0"/>
      <w:sz w:val="20"/>
      <w:szCs w:val="20"/>
    </w:rPr>
  </w:style>
  <w:style w:type="paragraph" w:customStyle="1" w:styleId="3612">
    <w:name w:val="样式 样式 宋体 + 首行缩进:  2 字符12"/>
    <w:basedOn w:val="1"/>
    <w:qFormat/>
    <w:uiPriority w:val="0"/>
    <w:pPr>
      <w:spacing w:line="360" w:lineRule="auto"/>
      <w:ind w:firstLine="480" w:firstLineChars="200"/>
      <w:jc w:val="left"/>
    </w:pPr>
    <w:rPr>
      <w:rFonts w:ascii="宋体" w:cs="宋体"/>
      <w:sz w:val="24"/>
    </w:rPr>
  </w:style>
  <w:style w:type="paragraph" w:customStyle="1" w:styleId="3613">
    <w:name w:val="表内宋5中22"/>
    <w:basedOn w:val="1"/>
    <w:qFormat/>
    <w:uiPriority w:val="0"/>
    <w:pPr>
      <w:adjustRightInd w:val="0"/>
      <w:snapToGrid w:val="0"/>
      <w:jc w:val="center"/>
    </w:pPr>
    <w:rPr>
      <w:rFonts w:ascii="宋体" w:hAnsi="宋体"/>
      <w:kern w:val="0"/>
      <w:szCs w:val="20"/>
    </w:rPr>
  </w:style>
  <w:style w:type="paragraph" w:customStyle="1" w:styleId="3614">
    <w:name w:val="xl632"/>
    <w:basedOn w:val="1"/>
    <w:qFormat/>
    <w:uiPriority w:val="0"/>
    <w:pPr>
      <w:widowControl/>
      <w:spacing w:before="100" w:beforeAutospacing="1" w:after="100" w:afterAutospacing="1"/>
      <w:jc w:val="center"/>
    </w:pPr>
    <w:rPr>
      <w:rFonts w:ascii="黑体" w:hAnsi="宋体" w:eastAsia="黑体"/>
      <w:kern w:val="0"/>
      <w:sz w:val="24"/>
    </w:rPr>
  </w:style>
  <w:style w:type="paragraph" w:customStyle="1" w:styleId="3615">
    <w:name w:val="标准2"/>
    <w:basedOn w:val="1"/>
    <w:qFormat/>
    <w:uiPriority w:val="0"/>
    <w:pPr>
      <w:adjustRightInd w:val="0"/>
      <w:spacing w:before="120" w:line="336" w:lineRule="auto"/>
      <w:jc w:val="center"/>
    </w:pPr>
    <w:rPr>
      <w:rFonts w:ascii="黑体" w:eastAsia="黑体"/>
      <w:szCs w:val="20"/>
    </w:rPr>
  </w:style>
  <w:style w:type="paragraph" w:customStyle="1" w:styleId="3616">
    <w:name w:val="Fax Header2"/>
    <w:basedOn w:val="1"/>
    <w:qFormat/>
    <w:uiPriority w:val="0"/>
    <w:pPr>
      <w:widowControl/>
      <w:spacing w:before="240" w:after="60"/>
      <w:jc w:val="left"/>
    </w:pPr>
    <w:rPr>
      <w:kern w:val="0"/>
      <w:sz w:val="20"/>
      <w:szCs w:val="20"/>
    </w:rPr>
  </w:style>
  <w:style w:type="paragraph" w:customStyle="1" w:styleId="3617">
    <w:name w:val="样式 表格内字体1 +2"/>
    <w:basedOn w:val="1476"/>
    <w:next w:val="1491"/>
    <w:qFormat/>
    <w:uiPriority w:val="0"/>
    <w:rPr>
      <w:rFonts w:hint="eastAsia"/>
    </w:rPr>
  </w:style>
  <w:style w:type="paragraph" w:customStyle="1" w:styleId="3618">
    <w:name w:val="默认段落字体 Para Char32"/>
    <w:basedOn w:val="1"/>
    <w:qFormat/>
    <w:uiPriority w:val="0"/>
    <w:pPr>
      <w:spacing w:line="360" w:lineRule="auto"/>
      <w:ind w:firstLine="200" w:firstLineChars="200"/>
    </w:pPr>
    <w:rPr>
      <w:rFonts w:ascii="宋体" w:hAnsi="宋体" w:cs="宋体"/>
      <w:sz w:val="24"/>
    </w:rPr>
  </w:style>
  <w:style w:type="paragraph" w:customStyle="1" w:styleId="3619">
    <w:name w:val="正文斜体2"/>
    <w:basedOn w:val="1192"/>
    <w:next w:val="1192"/>
    <w:qFormat/>
    <w:uiPriority w:val="0"/>
    <w:pPr>
      <w:adjustRightInd/>
      <w:snapToGrid/>
      <w:ind w:firstLine="482" w:firstLineChars="0"/>
    </w:pPr>
    <w:rPr>
      <w:rFonts w:hint="eastAsia" w:ascii="宋体" w:hAnsi="宋体"/>
      <w:i/>
      <w:iCs/>
      <w:szCs w:val="24"/>
    </w:rPr>
  </w:style>
  <w:style w:type="paragraph" w:customStyle="1" w:styleId="3620">
    <w:name w:val="Char Char2 Char Char Char Char12"/>
    <w:basedOn w:val="1"/>
    <w:semiHidden/>
    <w:qFormat/>
    <w:uiPriority w:val="0"/>
  </w:style>
  <w:style w:type="paragraph" w:customStyle="1" w:styleId="3621">
    <w:name w:val="Char82"/>
    <w:basedOn w:val="1"/>
    <w:qFormat/>
    <w:uiPriority w:val="0"/>
    <w:pPr>
      <w:ind w:left="-48"/>
    </w:pPr>
  </w:style>
  <w:style w:type="paragraph" w:customStyle="1" w:styleId="3622">
    <w:name w:val="正文格式72"/>
    <w:basedOn w:val="1"/>
    <w:qFormat/>
    <w:uiPriority w:val="0"/>
    <w:pPr>
      <w:spacing w:line="360" w:lineRule="auto"/>
      <w:ind w:firstLine="482"/>
    </w:pPr>
    <w:rPr>
      <w:rFonts w:ascii="宋体" w:hAnsi="宋体"/>
      <w:sz w:val="24"/>
    </w:rPr>
  </w:style>
  <w:style w:type="paragraph" w:customStyle="1" w:styleId="3623">
    <w:name w:val="图题72"/>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624">
    <w:name w:val="表格内字体72"/>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625">
    <w:name w:val="Char92"/>
    <w:basedOn w:val="1"/>
    <w:qFormat/>
    <w:uiPriority w:val="0"/>
    <w:pPr>
      <w:ind w:left="-48"/>
    </w:pPr>
  </w:style>
  <w:style w:type="paragraph" w:customStyle="1" w:styleId="3626">
    <w:name w:val="正文格式＝62"/>
    <w:basedOn w:val="1192"/>
    <w:next w:val="1192"/>
    <w:semiHidden/>
    <w:qFormat/>
    <w:uiPriority w:val="0"/>
    <w:pPr>
      <w:adjustRightInd/>
      <w:snapToGrid/>
      <w:ind w:firstLine="482" w:firstLineChars="0"/>
    </w:pPr>
    <w:rPr>
      <w:rFonts w:hint="eastAsia" w:ascii="宋体" w:hAnsi="宋体"/>
      <w:szCs w:val="24"/>
    </w:rPr>
  </w:style>
  <w:style w:type="paragraph" w:customStyle="1" w:styleId="3627">
    <w:name w:val="表题152"/>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628">
    <w:name w:val="燕山正文42"/>
    <w:basedOn w:val="1"/>
    <w:qFormat/>
    <w:uiPriority w:val="0"/>
    <w:pPr>
      <w:tabs>
        <w:tab w:val="left" w:pos="4680"/>
      </w:tabs>
      <w:adjustRightInd w:val="0"/>
      <w:snapToGrid w:val="0"/>
      <w:spacing w:line="480" w:lineRule="exact"/>
    </w:pPr>
    <w:rPr>
      <w:rFonts w:ascii="宋体" w:cs="宋体"/>
      <w:sz w:val="24"/>
    </w:rPr>
  </w:style>
  <w:style w:type="paragraph" w:customStyle="1" w:styleId="3629">
    <w:name w:val="正文修改42"/>
    <w:basedOn w:val="280"/>
    <w:qFormat/>
    <w:uiPriority w:val="0"/>
    <w:pPr>
      <w:spacing w:line="480" w:lineRule="exact"/>
      <w:ind w:firstLine="0" w:firstLineChars="0"/>
      <w:jc w:val="both"/>
    </w:pPr>
    <w:rPr>
      <w:rFonts w:hint="eastAsia" w:cs="宋体"/>
      <w:szCs w:val="24"/>
    </w:rPr>
  </w:style>
  <w:style w:type="paragraph" w:customStyle="1" w:styleId="3630">
    <w:name w:val="表中文字52"/>
    <w:basedOn w:val="1"/>
    <w:qFormat/>
    <w:uiPriority w:val="0"/>
    <w:pPr>
      <w:widowControl/>
      <w:spacing w:line="240" w:lineRule="atLeast"/>
      <w:ind w:left="-24" w:leftChars="-10" w:right="-48" w:rightChars="-20"/>
      <w:jc w:val="center"/>
    </w:pPr>
    <w:rPr>
      <w:rFonts w:ascii="宋体"/>
      <w:kern w:val="0"/>
      <w:szCs w:val="21"/>
    </w:rPr>
  </w:style>
  <w:style w:type="paragraph" w:customStyle="1" w:styleId="3631">
    <w:name w:val="默认段落字体 Para Char Char Char Char52"/>
    <w:basedOn w:val="1"/>
    <w:qFormat/>
    <w:uiPriority w:val="0"/>
  </w:style>
  <w:style w:type="paragraph" w:customStyle="1" w:styleId="3632">
    <w:name w:val="Char102"/>
    <w:basedOn w:val="1"/>
    <w:qFormat/>
    <w:uiPriority w:val="0"/>
    <w:pPr>
      <w:adjustRightInd w:val="0"/>
      <w:snapToGrid w:val="0"/>
      <w:spacing w:line="360" w:lineRule="auto"/>
    </w:pPr>
  </w:style>
  <w:style w:type="paragraph" w:customStyle="1" w:styleId="3633">
    <w:name w:val="封面标准文稿编辑信息2"/>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34">
    <w:name w:val="样式 表内小5 + 黑体 加粗 倾斜 下划线2"/>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635">
    <w:name w:val="表内5中12"/>
    <w:basedOn w:val="1"/>
    <w:qFormat/>
    <w:uiPriority w:val="0"/>
    <w:pPr>
      <w:adjustRightInd w:val="0"/>
      <w:snapToGrid w:val="0"/>
      <w:jc w:val="center"/>
    </w:pPr>
    <w:rPr>
      <w:rFonts w:ascii="宋体" w:hAnsi="宋体" w:cs="Arial"/>
      <w:color w:val="000000"/>
      <w:szCs w:val="21"/>
    </w:rPr>
  </w:style>
  <w:style w:type="paragraph" w:customStyle="1" w:styleId="3636">
    <w:name w:val="表内54142"/>
    <w:basedOn w:val="1"/>
    <w:qFormat/>
    <w:uiPriority w:val="0"/>
    <w:pPr>
      <w:adjustRightInd w:val="0"/>
      <w:snapToGrid w:val="0"/>
      <w:spacing w:line="300" w:lineRule="auto"/>
      <w:jc w:val="center"/>
    </w:pPr>
    <w:rPr>
      <w:rFonts w:ascii="宋体" w:hAnsi="宋体" w:cs="宋体"/>
      <w:szCs w:val="20"/>
    </w:rPr>
  </w:style>
  <w:style w:type="paragraph" w:customStyle="1" w:styleId="3637">
    <w:name w:val="表格12"/>
    <w:basedOn w:val="1"/>
    <w:qFormat/>
    <w:uiPriority w:val="0"/>
    <w:pPr>
      <w:adjustRightInd w:val="0"/>
      <w:jc w:val="center"/>
    </w:pPr>
    <w:rPr>
      <w:rFonts w:ascii="宋体"/>
      <w:kern w:val="0"/>
      <w:sz w:val="24"/>
      <w:szCs w:val="20"/>
    </w:rPr>
  </w:style>
  <w:style w:type="paragraph" w:customStyle="1" w:styleId="3638">
    <w:name w:val="c2"/>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639">
    <w:name w:val="表题92"/>
    <w:basedOn w:val="45"/>
    <w:qFormat/>
    <w:uiPriority w:val="0"/>
    <w:pPr>
      <w:adjustRightInd w:val="0"/>
      <w:snapToGrid w:val="0"/>
      <w:spacing w:line="300" w:lineRule="auto"/>
      <w:jc w:val="center"/>
    </w:pPr>
    <w:rPr>
      <w:rFonts w:ascii="黑体" w:eastAsia="黑体"/>
      <w:sz w:val="24"/>
      <w:szCs w:val="20"/>
    </w:rPr>
  </w:style>
  <w:style w:type="paragraph" w:customStyle="1" w:styleId="3640">
    <w:name w:val="福建正文缩进2"/>
    <w:basedOn w:val="22"/>
    <w:qFormat/>
    <w:uiPriority w:val="0"/>
    <w:pPr>
      <w:widowControl/>
      <w:tabs>
        <w:tab w:val="left" w:pos="5837"/>
      </w:tabs>
      <w:adjustRightInd w:val="0"/>
      <w:snapToGrid w:val="0"/>
      <w:spacing w:line="480" w:lineRule="exact"/>
      <w:ind w:firstLine="0" w:firstLineChars="0"/>
    </w:pPr>
    <w:rPr>
      <w:rFonts w:ascii="宋体" w:hAnsi="宋体" w:cs="宋体"/>
      <w:color w:val="000000"/>
      <w:kern w:val="0"/>
      <w:sz w:val="24"/>
    </w:rPr>
  </w:style>
  <w:style w:type="paragraph" w:customStyle="1" w:styleId="3641">
    <w:name w:val="表内592"/>
    <w:basedOn w:val="1"/>
    <w:qFormat/>
    <w:uiPriority w:val="0"/>
    <w:pPr>
      <w:adjustRightInd w:val="0"/>
      <w:snapToGrid w:val="0"/>
      <w:spacing w:line="300" w:lineRule="auto"/>
      <w:jc w:val="center"/>
    </w:pPr>
    <w:rPr>
      <w:rFonts w:ascii="宋体"/>
      <w:szCs w:val="21"/>
    </w:rPr>
  </w:style>
  <w:style w:type="paragraph" w:customStyle="1" w:styleId="3642">
    <w:name w:val="表内小5中2"/>
    <w:basedOn w:val="1"/>
    <w:qFormat/>
    <w:uiPriority w:val="0"/>
    <w:pPr>
      <w:adjustRightInd w:val="0"/>
      <w:snapToGrid w:val="0"/>
      <w:jc w:val="center"/>
    </w:pPr>
    <w:rPr>
      <w:rFonts w:ascii="宋体" w:hAnsi="宋体"/>
      <w:sz w:val="18"/>
      <w:szCs w:val="20"/>
    </w:rPr>
  </w:style>
  <w:style w:type="paragraph" w:customStyle="1" w:styleId="3643">
    <w:name w:val="表内5中42"/>
    <w:basedOn w:val="1"/>
    <w:qFormat/>
    <w:uiPriority w:val="0"/>
    <w:pPr>
      <w:adjustRightInd w:val="0"/>
      <w:snapToGrid w:val="0"/>
      <w:jc w:val="center"/>
    </w:pPr>
    <w:rPr>
      <w:rFonts w:ascii="宋体"/>
      <w:bCs/>
      <w:szCs w:val="20"/>
    </w:rPr>
  </w:style>
  <w:style w:type="paragraph" w:customStyle="1" w:styleId="3644">
    <w:name w:val="默认段落字体 Para Char42"/>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645">
    <w:name w:val="燕山正文132"/>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646">
    <w:name w:val="样式 标题 4无效格式无效格式1河石管道4H4H41小小节河石管道41H42H411小小节1河石管道42...3"/>
    <w:basedOn w:val="7"/>
    <w:qFormat/>
    <w:uiPriority w:val="0"/>
    <w:pPr>
      <w:numPr>
        <w:ilvl w:val="0"/>
        <w:numId w:val="0"/>
      </w:numPr>
      <w:ind w:left="664" w:hanging="864"/>
    </w:pPr>
    <w:rPr>
      <w:rFonts w:ascii="黑体" w:hAnsi="Arial"/>
      <w:bCs w:val="0"/>
      <w:sz w:val="24"/>
      <w:szCs w:val="24"/>
    </w:rPr>
  </w:style>
  <w:style w:type="paragraph" w:customStyle="1" w:styleId="3647">
    <w:name w:val="样式 标题 4无效格式无效格式1河石管道4H4H41小小节河石管道41H42H411小小节1河石管道42...12"/>
    <w:basedOn w:val="7"/>
    <w:qFormat/>
    <w:uiPriority w:val="0"/>
    <w:pPr>
      <w:numPr>
        <w:ilvl w:val="0"/>
        <w:numId w:val="0"/>
      </w:numPr>
      <w:ind w:left="664" w:hanging="864"/>
      <w:jc w:val="left"/>
    </w:pPr>
    <w:rPr>
      <w:rFonts w:ascii="黑体" w:hAnsi="Arial" w:cs="宋体"/>
      <w:bCs w:val="0"/>
      <w:sz w:val="24"/>
      <w:szCs w:val="20"/>
    </w:rPr>
  </w:style>
  <w:style w:type="paragraph" w:customStyle="1" w:styleId="3648">
    <w:name w:val="正文格式83"/>
    <w:basedOn w:val="1"/>
    <w:qFormat/>
    <w:uiPriority w:val="0"/>
    <w:pPr>
      <w:spacing w:line="360" w:lineRule="auto"/>
      <w:ind w:firstLine="482"/>
    </w:pPr>
    <w:rPr>
      <w:rFonts w:ascii="宋体" w:hAnsi="宋体"/>
      <w:sz w:val="24"/>
    </w:rPr>
  </w:style>
  <w:style w:type="paragraph" w:customStyle="1" w:styleId="3649">
    <w:name w:val="正文格式92"/>
    <w:basedOn w:val="1"/>
    <w:qFormat/>
    <w:uiPriority w:val="0"/>
    <w:pPr>
      <w:spacing w:line="360" w:lineRule="auto"/>
      <w:ind w:firstLine="482"/>
    </w:pPr>
    <w:rPr>
      <w:rFonts w:ascii="宋体" w:hAnsi="宋体"/>
      <w:sz w:val="24"/>
    </w:rPr>
  </w:style>
  <w:style w:type="paragraph" w:customStyle="1" w:styleId="3650">
    <w:name w:val="Char45"/>
    <w:basedOn w:val="1"/>
    <w:qFormat/>
    <w:uiPriority w:val="0"/>
    <w:pPr>
      <w:ind w:left="-48"/>
    </w:pPr>
  </w:style>
  <w:style w:type="paragraph" w:customStyle="1" w:styleId="3651">
    <w:name w:val="Char Char Char Char Char Char Char8"/>
    <w:basedOn w:val="1"/>
    <w:qFormat/>
    <w:uiPriority w:val="0"/>
  </w:style>
  <w:style w:type="paragraph" w:customStyle="1" w:styleId="3652">
    <w:name w:val="Char Char2 Char Char Char Char7"/>
    <w:basedOn w:val="1"/>
    <w:semiHidden/>
    <w:qFormat/>
    <w:uiPriority w:val="0"/>
  </w:style>
  <w:style w:type="paragraph" w:customStyle="1" w:styleId="3653">
    <w:name w:val="Char26"/>
    <w:basedOn w:val="1"/>
    <w:qFormat/>
    <w:uiPriority w:val="0"/>
    <w:pPr>
      <w:ind w:left="-48"/>
    </w:pPr>
  </w:style>
  <w:style w:type="paragraph" w:customStyle="1" w:styleId="3654">
    <w:name w:val="Char Char Char Char1 Char Char Char4"/>
    <w:basedOn w:val="1"/>
    <w:qFormat/>
    <w:uiPriority w:val="0"/>
    <w:pPr>
      <w:widowControl/>
      <w:spacing w:after="160" w:line="240" w:lineRule="exact"/>
      <w:jc w:val="left"/>
    </w:pPr>
    <w:rPr>
      <w:rFonts w:ascii="Verdana" w:hAnsi="Verdana"/>
      <w:kern w:val="0"/>
      <w:sz w:val="20"/>
      <w:szCs w:val="20"/>
      <w:lang w:eastAsia="en-US"/>
    </w:rPr>
  </w:style>
  <w:style w:type="paragraph" w:customStyle="1" w:styleId="3655">
    <w:name w:val="Char112"/>
    <w:basedOn w:val="1"/>
    <w:qFormat/>
    <w:uiPriority w:val="0"/>
    <w:pPr>
      <w:ind w:left="-48"/>
    </w:pPr>
  </w:style>
  <w:style w:type="paragraph" w:customStyle="1" w:styleId="3656">
    <w:name w:val="Char Char Char Char Char Char Char16"/>
    <w:basedOn w:val="1"/>
    <w:qFormat/>
    <w:uiPriority w:val="0"/>
  </w:style>
  <w:style w:type="paragraph" w:customStyle="1" w:styleId="3657">
    <w:name w:val="Char27"/>
    <w:basedOn w:val="1"/>
    <w:qFormat/>
    <w:uiPriority w:val="0"/>
    <w:pPr>
      <w:ind w:left="-48"/>
    </w:pPr>
  </w:style>
  <w:style w:type="paragraph" w:customStyle="1" w:styleId="3658">
    <w:name w:val="Char36"/>
    <w:basedOn w:val="1"/>
    <w:qFormat/>
    <w:uiPriority w:val="0"/>
    <w:pPr>
      <w:ind w:left="-48"/>
    </w:pPr>
  </w:style>
  <w:style w:type="paragraph" w:customStyle="1" w:styleId="3659">
    <w:name w:val="Char Char Char Char Char Char Char24"/>
    <w:basedOn w:val="1"/>
    <w:qFormat/>
    <w:uiPriority w:val="0"/>
  </w:style>
  <w:style w:type="paragraph" w:customStyle="1" w:styleId="3660">
    <w:name w:val="Char46"/>
    <w:basedOn w:val="1"/>
    <w:qFormat/>
    <w:uiPriority w:val="0"/>
    <w:pPr>
      <w:ind w:left="-48"/>
    </w:pPr>
  </w:style>
  <w:style w:type="paragraph" w:customStyle="1" w:styleId="3661">
    <w:name w:val="Char Char Char Char Char Char Char9"/>
    <w:basedOn w:val="1"/>
    <w:qFormat/>
    <w:uiPriority w:val="0"/>
  </w:style>
  <w:style w:type="paragraph" w:customStyle="1" w:styleId="3662">
    <w:name w:val="Char Char2 Char Char Char Char8"/>
    <w:basedOn w:val="1"/>
    <w:semiHidden/>
    <w:qFormat/>
    <w:uiPriority w:val="0"/>
  </w:style>
  <w:style w:type="paragraph" w:customStyle="1" w:styleId="3663">
    <w:name w:val="Char28"/>
    <w:basedOn w:val="1"/>
    <w:qFormat/>
    <w:uiPriority w:val="0"/>
    <w:pPr>
      <w:ind w:left="-48"/>
    </w:pPr>
  </w:style>
  <w:style w:type="paragraph" w:customStyle="1" w:styleId="3664">
    <w:name w:val="Char Char Char Char1 Char Char Char5"/>
    <w:basedOn w:val="1"/>
    <w:qFormat/>
    <w:uiPriority w:val="0"/>
    <w:pPr>
      <w:widowControl/>
      <w:spacing w:after="160" w:line="240" w:lineRule="exact"/>
      <w:jc w:val="left"/>
    </w:pPr>
    <w:rPr>
      <w:rFonts w:ascii="Verdana" w:hAnsi="Verdana"/>
      <w:kern w:val="0"/>
      <w:sz w:val="20"/>
      <w:szCs w:val="20"/>
      <w:lang w:eastAsia="en-US"/>
    </w:rPr>
  </w:style>
  <w:style w:type="paragraph" w:customStyle="1" w:styleId="3665">
    <w:name w:val="Char113"/>
    <w:basedOn w:val="1"/>
    <w:qFormat/>
    <w:uiPriority w:val="0"/>
    <w:pPr>
      <w:ind w:left="-48"/>
    </w:pPr>
  </w:style>
  <w:style w:type="paragraph" w:customStyle="1" w:styleId="3666">
    <w:name w:val="Char Char Char Char Char Char Char17"/>
    <w:basedOn w:val="1"/>
    <w:qFormat/>
    <w:uiPriority w:val="0"/>
  </w:style>
  <w:style w:type="paragraph" w:customStyle="1" w:styleId="3667">
    <w:name w:val="Char29"/>
    <w:basedOn w:val="1"/>
    <w:qFormat/>
    <w:uiPriority w:val="0"/>
    <w:pPr>
      <w:ind w:left="-48"/>
    </w:pPr>
  </w:style>
  <w:style w:type="paragraph" w:customStyle="1" w:styleId="3668">
    <w:name w:val="Char37"/>
    <w:basedOn w:val="1"/>
    <w:qFormat/>
    <w:uiPriority w:val="0"/>
    <w:pPr>
      <w:ind w:left="-48"/>
    </w:pPr>
  </w:style>
  <w:style w:type="paragraph" w:customStyle="1" w:styleId="3669">
    <w:name w:val="Char Char Char Char Char Char Char25"/>
    <w:basedOn w:val="1"/>
    <w:qFormat/>
    <w:uiPriority w:val="0"/>
  </w:style>
  <w:style w:type="paragraph" w:customStyle="1" w:styleId="3670">
    <w:name w:val="Char47"/>
    <w:basedOn w:val="1"/>
    <w:qFormat/>
    <w:uiPriority w:val="0"/>
    <w:pPr>
      <w:ind w:left="-48"/>
    </w:pPr>
  </w:style>
  <w:style w:type="paragraph" w:customStyle="1" w:styleId="3671">
    <w:name w:val="表格内容2"/>
    <w:qFormat/>
    <w:uiPriority w:val="0"/>
    <w:pPr>
      <w:jc w:val="center"/>
    </w:pPr>
    <w:rPr>
      <w:rFonts w:ascii="Times New Roman" w:hAnsi="Times New Roman" w:eastAsia="宋体" w:cs="Times New Roman"/>
      <w:kern w:val="2"/>
      <w:sz w:val="21"/>
      <w:szCs w:val="21"/>
      <w:lang w:val="en-US" w:eastAsia="zh-CN" w:bidi="ar-SA"/>
    </w:rPr>
  </w:style>
  <w:style w:type="paragraph" w:customStyle="1" w:styleId="3672">
    <w:name w:val="正文格式101"/>
    <w:basedOn w:val="1"/>
    <w:qFormat/>
    <w:uiPriority w:val="0"/>
    <w:pPr>
      <w:spacing w:line="360" w:lineRule="auto"/>
      <w:ind w:firstLine="482"/>
    </w:pPr>
    <w:rPr>
      <w:rFonts w:ascii="宋体" w:hAnsi="宋体"/>
      <w:sz w:val="24"/>
    </w:rPr>
  </w:style>
  <w:style w:type="paragraph" w:customStyle="1" w:styleId="3673">
    <w:name w:val="图题8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674">
    <w:name w:val="表格内字体8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675">
    <w:name w:val="Char114"/>
    <w:basedOn w:val="1"/>
    <w:qFormat/>
    <w:uiPriority w:val="0"/>
    <w:pPr>
      <w:ind w:left="-48"/>
    </w:pPr>
  </w:style>
  <w:style w:type="paragraph" w:customStyle="1" w:styleId="3676">
    <w:name w:val="正文格式＝71"/>
    <w:basedOn w:val="1192"/>
    <w:next w:val="1192"/>
    <w:semiHidden/>
    <w:qFormat/>
    <w:uiPriority w:val="0"/>
    <w:pPr>
      <w:adjustRightInd/>
      <w:snapToGrid/>
      <w:ind w:firstLine="482" w:firstLineChars="0"/>
    </w:pPr>
    <w:rPr>
      <w:rFonts w:hint="eastAsia" w:ascii="宋体" w:hAnsi="宋体"/>
      <w:szCs w:val="24"/>
    </w:rPr>
  </w:style>
  <w:style w:type="paragraph" w:customStyle="1" w:styleId="3677">
    <w:name w:val="表题16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678">
    <w:name w:val="燕山正文51"/>
    <w:basedOn w:val="1"/>
    <w:qFormat/>
    <w:uiPriority w:val="0"/>
    <w:pPr>
      <w:tabs>
        <w:tab w:val="left" w:pos="4680"/>
      </w:tabs>
      <w:adjustRightInd w:val="0"/>
      <w:snapToGrid w:val="0"/>
      <w:spacing w:line="480" w:lineRule="exact"/>
    </w:pPr>
    <w:rPr>
      <w:rFonts w:ascii="宋体" w:cs="宋体"/>
      <w:sz w:val="24"/>
    </w:rPr>
  </w:style>
  <w:style w:type="paragraph" w:customStyle="1" w:styleId="3679">
    <w:name w:val="正文修改51"/>
    <w:basedOn w:val="280"/>
    <w:qFormat/>
    <w:uiPriority w:val="0"/>
    <w:pPr>
      <w:spacing w:line="480" w:lineRule="exact"/>
      <w:ind w:firstLine="0" w:firstLineChars="0"/>
      <w:jc w:val="both"/>
    </w:pPr>
    <w:rPr>
      <w:rFonts w:hint="eastAsia" w:cs="宋体"/>
      <w:szCs w:val="24"/>
    </w:rPr>
  </w:style>
  <w:style w:type="paragraph" w:customStyle="1" w:styleId="3680">
    <w:name w:val="表中文字61"/>
    <w:basedOn w:val="1"/>
    <w:qFormat/>
    <w:uiPriority w:val="0"/>
    <w:pPr>
      <w:widowControl/>
      <w:spacing w:line="240" w:lineRule="atLeast"/>
      <w:ind w:left="-24" w:leftChars="-10" w:right="-48" w:rightChars="-20"/>
      <w:jc w:val="center"/>
    </w:pPr>
    <w:rPr>
      <w:rFonts w:ascii="宋体"/>
      <w:kern w:val="0"/>
      <w:szCs w:val="21"/>
    </w:rPr>
  </w:style>
  <w:style w:type="paragraph" w:customStyle="1" w:styleId="3681">
    <w:name w:val="默认段落字体 Para Char Char Char Char61"/>
    <w:basedOn w:val="1"/>
    <w:qFormat/>
    <w:uiPriority w:val="0"/>
  </w:style>
  <w:style w:type="paragraph" w:customStyle="1" w:styleId="3682">
    <w:name w:val="Char1211"/>
    <w:basedOn w:val="1"/>
    <w:qFormat/>
    <w:uiPriority w:val="0"/>
    <w:pPr>
      <w:adjustRightInd w:val="0"/>
      <w:snapToGrid w:val="0"/>
      <w:spacing w:line="360" w:lineRule="auto"/>
    </w:pPr>
  </w:style>
  <w:style w:type="paragraph" w:customStyle="1" w:styleId="3683">
    <w:name w:val="封面标准文稿编辑信息11"/>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3684">
    <w:name w:val="样式 表内小5 + 黑体 加粗 倾斜 下划线11"/>
    <w:basedOn w:val="1"/>
    <w:qFormat/>
    <w:uiPriority w:val="0"/>
    <w:pPr>
      <w:adjustRightInd w:val="0"/>
      <w:snapToGrid w:val="0"/>
      <w:spacing w:line="300" w:lineRule="auto"/>
      <w:jc w:val="left"/>
    </w:pPr>
    <w:rPr>
      <w:rFonts w:ascii="黑体" w:hAnsi="黑体" w:eastAsia="黑体"/>
      <w:b/>
      <w:bCs/>
      <w:i/>
      <w:iCs/>
      <w:sz w:val="18"/>
      <w:u w:val="single"/>
    </w:rPr>
  </w:style>
  <w:style w:type="paragraph" w:customStyle="1" w:styleId="3685">
    <w:name w:val="表内5中21"/>
    <w:basedOn w:val="1"/>
    <w:qFormat/>
    <w:uiPriority w:val="0"/>
    <w:pPr>
      <w:adjustRightInd w:val="0"/>
      <w:snapToGrid w:val="0"/>
      <w:jc w:val="center"/>
    </w:pPr>
    <w:rPr>
      <w:rFonts w:ascii="宋体" w:hAnsi="宋体" w:cs="Arial"/>
      <w:color w:val="000000"/>
      <w:szCs w:val="21"/>
    </w:rPr>
  </w:style>
  <w:style w:type="paragraph" w:customStyle="1" w:styleId="3686">
    <w:name w:val="表内54151"/>
    <w:basedOn w:val="1"/>
    <w:qFormat/>
    <w:uiPriority w:val="0"/>
    <w:pPr>
      <w:adjustRightInd w:val="0"/>
      <w:snapToGrid w:val="0"/>
      <w:spacing w:line="300" w:lineRule="auto"/>
      <w:jc w:val="center"/>
    </w:pPr>
    <w:rPr>
      <w:rFonts w:ascii="宋体" w:hAnsi="宋体" w:cs="宋体"/>
      <w:szCs w:val="20"/>
    </w:rPr>
  </w:style>
  <w:style w:type="paragraph" w:customStyle="1" w:styleId="3687">
    <w:name w:val="表格111"/>
    <w:basedOn w:val="1"/>
    <w:qFormat/>
    <w:uiPriority w:val="0"/>
    <w:pPr>
      <w:adjustRightInd w:val="0"/>
      <w:jc w:val="center"/>
    </w:pPr>
    <w:rPr>
      <w:rFonts w:ascii="宋体"/>
      <w:kern w:val="0"/>
      <w:sz w:val="24"/>
      <w:szCs w:val="20"/>
    </w:rPr>
  </w:style>
  <w:style w:type="paragraph" w:customStyle="1" w:styleId="3688">
    <w:name w:val="c11"/>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3689">
    <w:name w:val="表题911"/>
    <w:basedOn w:val="45"/>
    <w:qFormat/>
    <w:uiPriority w:val="0"/>
    <w:pPr>
      <w:adjustRightInd w:val="0"/>
      <w:snapToGrid w:val="0"/>
      <w:spacing w:line="300" w:lineRule="auto"/>
      <w:jc w:val="center"/>
    </w:pPr>
    <w:rPr>
      <w:rFonts w:ascii="黑体" w:eastAsia="黑体"/>
      <w:sz w:val="24"/>
      <w:szCs w:val="20"/>
    </w:rPr>
  </w:style>
  <w:style w:type="paragraph" w:customStyle="1" w:styleId="3690">
    <w:name w:val="福建正文缩进11"/>
    <w:basedOn w:val="22"/>
    <w:qFormat/>
    <w:uiPriority w:val="0"/>
    <w:pPr>
      <w:adjustRightInd w:val="0"/>
      <w:snapToGrid w:val="0"/>
      <w:spacing w:line="360" w:lineRule="auto"/>
      <w:ind w:firstLine="567" w:firstLineChars="0"/>
    </w:pPr>
    <w:rPr>
      <w:rFonts w:ascii="宋体"/>
      <w:kern w:val="0"/>
      <w:sz w:val="24"/>
    </w:rPr>
  </w:style>
  <w:style w:type="paragraph" w:customStyle="1" w:styleId="3691">
    <w:name w:val="表内文字小32"/>
    <w:basedOn w:val="1"/>
    <w:qFormat/>
    <w:uiPriority w:val="0"/>
    <w:pPr>
      <w:adjustRightInd w:val="0"/>
      <w:snapToGrid w:val="0"/>
      <w:jc w:val="center"/>
    </w:pPr>
    <w:rPr>
      <w:rFonts w:ascii="宋体" w:hAnsi="Times"/>
      <w:szCs w:val="20"/>
    </w:rPr>
  </w:style>
  <w:style w:type="paragraph" w:customStyle="1" w:styleId="3692">
    <w:name w:val="表内5911"/>
    <w:basedOn w:val="1"/>
    <w:qFormat/>
    <w:uiPriority w:val="0"/>
    <w:pPr>
      <w:adjustRightInd w:val="0"/>
      <w:snapToGrid w:val="0"/>
      <w:spacing w:line="300" w:lineRule="auto"/>
      <w:jc w:val="center"/>
    </w:pPr>
    <w:rPr>
      <w:rFonts w:ascii="宋体"/>
      <w:szCs w:val="21"/>
    </w:rPr>
  </w:style>
  <w:style w:type="paragraph" w:customStyle="1" w:styleId="3693">
    <w:name w:val="表内小5中11"/>
    <w:basedOn w:val="1"/>
    <w:qFormat/>
    <w:uiPriority w:val="0"/>
    <w:pPr>
      <w:adjustRightInd w:val="0"/>
      <w:snapToGrid w:val="0"/>
      <w:jc w:val="center"/>
    </w:pPr>
    <w:rPr>
      <w:rFonts w:ascii="宋体" w:hAnsi="宋体"/>
      <w:sz w:val="18"/>
      <w:szCs w:val="20"/>
    </w:rPr>
  </w:style>
  <w:style w:type="paragraph" w:customStyle="1" w:styleId="3694">
    <w:name w:val="表内5中411"/>
    <w:basedOn w:val="1"/>
    <w:qFormat/>
    <w:uiPriority w:val="0"/>
    <w:pPr>
      <w:adjustRightInd w:val="0"/>
      <w:snapToGrid w:val="0"/>
      <w:jc w:val="center"/>
    </w:pPr>
    <w:rPr>
      <w:rFonts w:ascii="宋体"/>
      <w:bCs/>
      <w:szCs w:val="20"/>
    </w:rPr>
  </w:style>
  <w:style w:type="paragraph" w:customStyle="1" w:styleId="3695">
    <w:name w:val="默认段落字体 Para Char5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696">
    <w:name w:val="燕山正文1311"/>
    <w:basedOn w:val="1"/>
    <w:qFormat/>
    <w:uiPriority w:val="0"/>
    <w:pPr>
      <w:tabs>
        <w:tab w:val="left" w:pos="4680"/>
      </w:tabs>
      <w:adjustRightInd w:val="0"/>
      <w:snapToGrid w:val="0"/>
      <w:spacing w:line="360" w:lineRule="auto"/>
      <w:ind w:firstLine="480" w:firstLineChars="200"/>
    </w:pPr>
    <w:rPr>
      <w:rFonts w:ascii="宋体" w:hAnsi="宋体" w:cs="宋体"/>
      <w:bCs/>
      <w:color w:val="000000"/>
      <w:sz w:val="24"/>
    </w:rPr>
  </w:style>
  <w:style w:type="paragraph" w:customStyle="1" w:styleId="3697">
    <w:name w:val="样式 标题 4无效格式无效格式1河石管道4H4H41小小节河石管道41H42H411小小节1河石管道42...21"/>
    <w:basedOn w:val="7"/>
    <w:qFormat/>
    <w:uiPriority w:val="0"/>
    <w:pPr>
      <w:numPr>
        <w:ilvl w:val="0"/>
        <w:numId w:val="0"/>
      </w:numPr>
      <w:ind w:left="664" w:hanging="864"/>
    </w:pPr>
    <w:rPr>
      <w:rFonts w:ascii="黑体" w:hAnsi="Arial"/>
      <w:bCs w:val="0"/>
      <w:sz w:val="24"/>
      <w:szCs w:val="24"/>
    </w:rPr>
  </w:style>
  <w:style w:type="paragraph" w:customStyle="1" w:styleId="3698">
    <w:name w:val="样式 标题 4无效格式无效格式1河石管道4H4H41小小节河石管道41H42H411小小节1河石管道42...111"/>
    <w:basedOn w:val="7"/>
    <w:qFormat/>
    <w:uiPriority w:val="0"/>
    <w:pPr>
      <w:numPr>
        <w:ilvl w:val="0"/>
        <w:numId w:val="0"/>
      </w:numPr>
      <w:ind w:left="664" w:hanging="864"/>
      <w:jc w:val="left"/>
    </w:pPr>
    <w:rPr>
      <w:rFonts w:ascii="黑体" w:hAnsi="Arial" w:cs="宋体"/>
      <w:bCs w:val="0"/>
      <w:sz w:val="24"/>
      <w:szCs w:val="20"/>
    </w:rPr>
  </w:style>
  <w:style w:type="paragraph" w:customStyle="1" w:styleId="3699">
    <w:name w:val="附件41"/>
    <w:basedOn w:val="4"/>
    <w:next w:val="1192"/>
    <w:qFormat/>
    <w:uiPriority w:val="0"/>
    <w:pPr>
      <w:numPr>
        <w:numId w:val="0"/>
      </w:numPr>
      <w:tabs>
        <w:tab w:val="left" w:pos="1566"/>
      </w:tabs>
      <w:adjustRightInd/>
      <w:snapToGrid/>
      <w:spacing w:line="360" w:lineRule="auto"/>
    </w:pPr>
    <w:rPr>
      <w:rFonts w:ascii="黑体" w:hAnsi="宋体"/>
      <w:b/>
      <w:sz w:val="32"/>
      <w:szCs w:val="32"/>
    </w:rPr>
  </w:style>
  <w:style w:type="paragraph" w:customStyle="1" w:styleId="3700">
    <w:name w:val="标题43131"/>
    <w:basedOn w:val="1"/>
    <w:qFormat/>
    <w:uiPriority w:val="0"/>
    <w:pPr>
      <w:adjustRightInd w:val="0"/>
      <w:snapToGrid w:val="0"/>
      <w:spacing w:line="480" w:lineRule="exact"/>
      <w:jc w:val="center"/>
    </w:pPr>
    <w:rPr>
      <w:rFonts w:ascii="宋体" w:hAnsi="宋体" w:cs="宋体"/>
      <w:sz w:val="24"/>
    </w:rPr>
  </w:style>
  <w:style w:type="paragraph" w:customStyle="1" w:styleId="3701">
    <w:name w:val="燕山正文114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02">
    <w:name w:val="表题4111"/>
    <w:basedOn w:val="35"/>
    <w:qFormat/>
    <w:uiPriority w:val="0"/>
    <w:pPr>
      <w:tabs>
        <w:tab w:val="left" w:pos="4305"/>
      </w:tabs>
      <w:adjustRightInd w:val="0"/>
      <w:snapToGrid w:val="0"/>
      <w:ind w:firstLine="0"/>
      <w:jc w:val="center"/>
    </w:pPr>
    <w:rPr>
      <w:rFonts w:ascii="宋体" w:hAnsi="宋体" w:cs="宋体"/>
      <w:color w:val="000000"/>
      <w:sz w:val="24"/>
      <w:szCs w:val="24"/>
    </w:rPr>
  </w:style>
  <w:style w:type="paragraph" w:customStyle="1" w:styleId="3703">
    <w:name w:val="表内文字小2141"/>
    <w:basedOn w:val="1"/>
    <w:qFormat/>
    <w:uiPriority w:val="0"/>
    <w:pPr>
      <w:adjustRightInd w:val="0"/>
      <w:snapToGrid w:val="0"/>
      <w:jc w:val="center"/>
    </w:pPr>
    <w:rPr>
      <w:rFonts w:ascii="宋体" w:hAnsi="Times"/>
      <w:bCs/>
      <w:color w:val="000000"/>
      <w:szCs w:val="20"/>
    </w:rPr>
  </w:style>
  <w:style w:type="paragraph" w:customStyle="1" w:styleId="3704">
    <w:name w:val="表题3141"/>
    <w:basedOn w:val="35"/>
    <w:qFormat/>
    <w:uiPriority w:val="0"/>
    <w:pPr>
      <w:tabs>
        <w:tab w:val="left" w:pos="4305"/>
      </w:tabs>
      <w:adjustRightInd w:val="0"/>
      <w:snapToGrid w:val="0"/>
      <w:ind w:firstLine="0"/>
      <w:jc w:val="center"/>
    </w:pPr>
    <w:rPr>
      <w:rFonts w:ascii="宋体" w:hAnsi="宋体"/>
      <w:sz w:val="24"/>
    </w:rPr>
  </w:style>
  <w:style w:type="paragraph" w:customStyle="1" w:styleId="3705">
    <w:name w:val="Char Char Char Char Char Char Char311"/>
    <w:basedOn w:val="1"/>
    <w:qFormat/>
    <w:uiPriority w:val="0"/>
  </w:style>
  <w:style w:type="paragraph" w:customStyle="1" w:styleId="3706">
    <w:name w:val="正文221"/>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3707">
    <w:name w:val="表文字541"/>
    <w:basedOn w:val="1"/>
    <w:qFormat/>
    <w:uiPriority w:val="0"/>
    <w:pPr>
      <w:adjustRightInd w:val="0"/>
      <w:jc w:val="left"/>
    </w:pPr>
    <w:rPr>
      <w:rFonts w:ascii="宋体"/>
      <w:kern w:val="0"/>
      <w:szCs w:val="20"/>
    </w:rPr>
  </w:style>
  <w:style w:type="paragraph" w:customStyle="1" w:styleId="3708">
    <w:name w:val="表内文字小3141"/>
    <w:basedOn w:val="1"/>
    <w:qFormat/>
    <w:uiPriority w:val="0"/>
    <w:pPr>
      <w:adjustRightInd w:val="0"/>
      <w:snapToGrid w:val="0"/>
      <w:jc w:val="center"/>
    </w:pPr>
    <w:rPr>
      <w:rFonts w:ascii="宋体" w:hAnsi="Times" w:cs="宋体"/>
      <w:bCs/>
      <w:color w:val="003366"/>
      <w:szCs w:val="20"/>
    </w:rPr>
  </w:style>
  <w:style w:type="paragraph" w:customStyle="1" w:styleId="3709">
    <w:name w:val="表内宋51121"/>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710">
    <w:name w:val="文本框21"/>
    <w:basedOn w:val="1"/>
    <w:qFormat/>
    <w:uiPriority w:val="0"/>
    <w:pPr>
      <w:adjustRightInd w:val="0"/>
      <w:snapToGrid w:val="0"/>
      <w:spacing w:after="6"/>
      <w:jc w:val="center"/>
    </w:pPr>
    <w:rPr>
      <w:rFonts w:eastAsia="仿宋_GB2312"/>
    </w:rPr>
  </w:style>
  <w:style w:type="paragraph" w:customStyle="1" w:styleId="3711">
    <w:name w:val="正文.2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712">
    <w:name w:val="表41"/>
    <w:basedOn w:val="1"/>
    <w:qFormat/>
    <w:uiPriority w:val="0"/>
    <w:pPr>
      <w:adjustRightInd w:val="0"/>
      <w:snapToGrid w:val="0"/>
      <w:jc w:val="center"/>
    </w:pPr>
    <w:rPr>
      <w:rFonts w:eastAsia="仿宋_GB2312"/>
      <w:sz w:val="24"/>
    </w:rPr>
  </w:style>
  <w:style w:type="paragraph" w:customStyle="1" w:styleId="3713">
    <w:name w:val="黑体三号5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714">
    <w:name w:val="Char Char2 Char Char Char Char211"/>
    <w:basedOn w:val="1"/>
    <w:semiHidden/>
    <w:qFormat/>
    <w:uiPriority w:val="0"/>
  </w:style>
  <w:style w:type="paragraph" w:customStyle="1" w:styleId="3715">
    <w:name w:val="Char1311"/>
    <w:basedOn w:val="1"/>
    <w:qFormat/>
    <w:uiPriority w:val="0"/>
    <w:pPr>
      <w:ind w:left="-48"/>
    </w:pPr>
  </w:style>
  <w:style w:type="paragraph" w:customStyle="1" w:styleId="3716">
    <w:name w:val="样式131"/>
    <w:basedOn w:val="3083"/>
    <w:qFormat/>
    <w:uiPriority w:val="0"/>
    <w:pPr>
      <w:spacing w:line="240" w:lineRule="auto"/>
      <w:ind w:firstLine="0"/>
      <w:jc w:val="center"/>
    </w:pPr>
    <w:rPr>
      <w:rFonts w:cs="Times New Roman"/>
      <w:b/>
      <w:color w:val="auto"/>
      <w:szCs w:val="20"/>
    </w:rPr>
  </w:style>
  <w:style w:type="paragraph" w:customStyle="1" w:styleId="3717">
    <w:name w:val="首行缩进:  0.99 厘米 + 首行缩进:  2 字符11"/>
    <w:basedOn w:val="1"/>
    <w:qFormat/>
    <w:uiPriority w:val="0"/>
    <w:pPr>
      <w:widowControl/>
      <w:topLinePunct/>
      <w:snapToGrid w:val="0"/>
      <w:spacing w:line="480" w:lineRule="exact"/>
      <w:ind w:firstLine="420" w:firstLineChars="200"/>
      <w:jc w:val="center"/>
    </w:pPr>
    <w:rPr>
      <w:rFonts w:ascii="宋体" w:cs="宋体"/>
      <w:color w:val="FF0000"/>
      <w:kern w:val="0"/>
      <w:szCs w:val="21"/>
    </w:rPr>
  </w:style>
  <w:style w:type="paragraph" w:customStyle="1" w:styleId="3718">
    <w:name w:val="图表名称11"/>
    <w:basedOn w:val="86"/>
    <w:qFormat/>
    <w:uiPriority w:val="0"/>
    <w:pPr>
      <w:widowControl/>
      <w:autoSpaceDE w:val="0"/>
      <w:autoSpaceDN w:val="0"/>
      <w:adjustRightInd w:val="0"/>
      <w:snapToGrid w:val="0"/>
      <w:spacing w:after="0" w:line="480" w:lineRule="exact"/>
      <w:ind w:firstLine="0" w:firstLineChars="0"/>
      <w:jc w:val="center"/>
    </w:pPr>
    <w:rPr>
      <w:rFonts w:ascii="宋体" w:hAnsi="宋体"/>
      <w:bCs/>
      <w:snapToGrid/>
    </w:rPr>
  </w:style>
  <w:style w:type="paragraph" w:customStyle="1" w:styleId="3719">
    <w:name w:val="表内文字边11"/>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720">
    <w:name w:val="正文缩11"/>
    <w:basedOn w:val="1"/>
    <w:qFormat/>
    <w:uiPriority w:val="0"/>
    <w:pPr>
      <w:adjustRightInd w:val="0"/>
      <w:snapToGrid w:val="0"/>
      <w:spacing w:line="480" w:lineRule="atLeast"/>
      <w:ind w:firstLine="567"/>
    </w:pPr>
    <w:rPr>
      <w:rFonts w:ascii="宋体"/>
      <w:color w:val="000080"/>
      <w:spacing w:val="6"/>
      <w:kern w:val="0"/>
      <w:sz w:val="28"/>
      <w:szCs w:val="20"/>
    </w:rPr>
  </w:style>
  <w:style w:type="paragraph" w:customStyle="1" w:styleId="3721">
    <w:name w:val="样式211"/>
    <w:basedOn w:val="1"/>
    <w:qFormat/>
    <w:uiPriority w:val="0"/>
    <w:pPr>
      <w:adjustRightInd w:val="0"/>
      <w:spacing w:line="360" w:lineRule="auto"/>
      <w:jc w:val="center"/>
      <w:outlineLvl w:val="0"/>
    </w:pPr>
    <w:rPr>
      <w:kern w:val="0"/>
      <w:szCs w:val="20"/>
    </w:rPr>
  </w:style>
  <w:style w:type="paragraph" w:customStyle="1" w:styleId="3722">
    <w:name w:val="默认段落字体 Para Char Char Char Char Char11"/>
    <w:basedOn w:val="1"/>
    <w:qFormat/>
    <w:uiPriority w:val="0"/>
  </w:style>
  <w:style w:type="paragraph" w:customStyle="1" w:styleId="3723">
    <w:name w:val="表内宋5中31"/>
    <w:basedOn w:val="1"/>
    <w:qFormat/>
    <w:uiPriority w:val="0"/>
    <w:pPr>
      <w:adjustRightInd w:val="0"/>
      <w:snapToGrid w:val="0"/>
    </w:pPr>
    <w:rPr>
      <w:color w:val="000000"/>
      <w:kern w:val="0"/>
      <w:szCs w:val="20"/>
    </w:rPr>
  </w:style>
  <w:style w:type="paragraph" w:customStyle="1" w:styleId="3724">
    <w:name w:val="样式 标题 3 + 段前: 12 磅11"/>
    <w:basedOn w:val="6"/>
    <w:qFormat/>
    <w:uiPriority w:val="0"/>
    <w:pPr>
      <w:widowControl/>
      <w:numPr>
        <w:ilvl w:val="0"/>
        <w:numId w:val="0"/>
      </w:numPr>
      <w:autoSpaceDE w:val="0"/>
      <w:autoSpaceDN w:val="0"/>
    </w:pPr>
    <w:rPr>
      <w:rFonts w:ascii="黑体" w:hAnsi="宋体" w:cs="宋体"/>
      <w:bCs w:val="0"/>
      <w:color w:val="000000"/>
      <w:kern w:val="21"/>
      <w:sz w:val="24"/>
      <w:szCs w:val="20"/>
    </w:rPr>
  </w:style>
  <w:style w:type="paragraph" w:customStyle="1" w:styleId="3725">
    <w:name w:val="表内521"/>
    <w:basedOn w:val="1"/>
    <w:qFormat/>
    <w:uiPriority w:val="0"/>
    <w:pPr>
      <w:adjustRightInd w:val="0"/>
      <w:snapToGrid w:val="0"/>
      <w:spacing w:line="300" w:lineRule="auto"/>
      <w:jc w:val="left"/>
    </w:pPr>
    <w:rPr>
      <w:rFonts w:ascii="宋体"/>
      <w:sz w:val="18"/>
      <w:szCs w:val="20"/>
    </w:rPr>
  </w:style>
  <w:style w:type="paragraph" w:customStyle="1" w:styleId="3726">
    <w:name w:val="表内宋512"/>
    <w:basedOn w:val="3104"/>
    <w:semiHidden/>
    <w:qFormat/>
    <w:uiPriority w:val="0"/>
    <w:pPr>
      <w:widowControl/>
      <w:autoSpaceDE w:val="0"/>
      <w:autoSpaceDN w:val="0"/>
      <w:jc w:val="left"/>
    </w:pPr>
    <w:rPr>
      <w:color w:val="auto"/>
      <w:w w:val="90"/>
    </w:rPr>
  </w:style>
  <w:style w:type="paragraph" w:customStyle="1" w:styleId="3727">
    <w:name w:val="Char Char Char Char1 Char Char Char111"/>
    <w:basedOn w:val="1"/>
    <w:qFormat/>
    <w:uiPriority w:val="0"/>
    <w:pPr>
      <w:widowControl/>
      <w:spacing w:after="160" w:line="240" w:lineRule="exact"/>
      <w:jc w:val="left"/>
    </w:pPr>
    <w:rPr>
      <w:rFonts w:ascii="Verdana" w:hAnsi="Verdana"/>
      <w:kern w:val="0"/>
      <w:sz w:val="20"/>
      <w:szCs w:val="20"/>
      <w:lang w:eastAsia="en-US"/>
    </w:rPr>
  </w:style>
  <w:style w:type="paragraph" w:customStyle="1" w:styleId="3728">
    <w:name w:val="正文格式1111"/>
    <w:basedOn w:val="1"/>
    <w:qFormat/>
    <w:uiPriority w:val="0"/>
    <w:pPr>
      <w:spacing w:line="360" w:lineRule="auto"/>
      <w:ind w:firstLine="482"/>
    </w:pPr>
    <w:rPr>
      <w:rFonts w:ascii="宋体" w:hAnsi="宋体"/>
      <w:sz w:val="24"/>
    </w:rPr>
  </w:style>
  <w:style w:type="paragraph" w:customStyle="1" w:styleId="3729">
    <w:name w:val="图题1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730">
    <w:name w:val="表格内字体12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731">
    <w:name w:val="Char1411"/>
    <w:basedOn w:val="1"/>
    <w:qFormat/>
    <w:uiPriority w:val="0"/>
    <w:pPr>
      <w:ind w:left="-48"/>
    </w:pPr>
  </w:style>
  <w:style w:type="paragraph" w:customStyle="1" w:styleId="3732">
    <w:name w:val="正文格式＝111"/>
    <w:basedOn w:val="1192"/>
    <w:next w:val="1192"/>
    <w:semiHidden/>
    <w:qFormat/>
    <w:uiPriority w:val="0"/>
    <w:pPr>
      <w:adjustRightInd/>
      <w:snapToGrid/>
      <w:ind w:firstLine="482" w:firstLineChars="0"/>
    </w:pPr>
    <w:rPr>
      <w:rFonts w:hint="eastAsia" w:ascii="宋体" w:hAnsi="宋体"/>
      <w:szCs w:val="24"/>
    </w:rPr>
  </w:style>
  <w:style w:type="paragraph" w:customStyle="1" w:styleId="3733">
    <w:name w:val="正文格式221"/>
    <w:basedOn w:val="1"/>
    <w:qFormat/>
    <w:uiPriority w:val="0"/>
    <w:pPr>
      <w:spacing w:line="360" w:lineRule="auto"/>
      <w:ind w:firstLine="482"/>
    </w:pPr>
    <w:rPr>
      <w:rFonts w:ascii="宋体" w:hAnsi="宋体"/>
      <w:sz w:val="24"/>
    </w:rPr>
  </w:style>
  <w:style w:type="paragraph" w:customStyle="1" w:styleId="3734">
    <w:name w:val="Char1511"/>
    <w:basedOn w:val="1"/>
    <w:qFormat/>
    <w:uiPriority w:val="0"/>
    <w:pPr>
      <w:adjustRightInd w:val="0"/>
      <w:snapToGrid w:val="0"/>
      <w:spacing w:beforeLines="50" w:line="360" w:lineRule="auto"/>
    </w:pPr>
    <w:rPr>
      <w:rFonts w:ascii="黑体" w:eastAsia="黑体"/>
      <w:sz w:val="32"/>
      <w:szCs w:val="32"/>
    </w:rPr>
  </w:style>
  <w:style w:type="paragraph" w:customStyle="1" w:styleId="3735">
    <w:name w:val="图题22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736">
    <w:name w:val="表格内字体22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737">
    <w:name w:val="表内541111"/>
    <w:basedOn w:val="1"/>
    <w:qFormat/>
    <w:uiPriority w:val="0"/>
    <w:pPr>
      <w:adjustRightInd w:val="0"/>
      <w:snapToGrid w:val="0"/>
      <w:spacing w:line="300" w:lineRule="auto"/>
      <w:jc w:val="center"/>
    </w:pPr>
    <w:rPr>
      <w:rFonts w:ascii="宋体" w:hAnsi="宋体" w:cs="宋体"/>
      <w:szCs w:val="20"/>
    </w:rPr>
  </w:style>
  <w:style w:type="paragraph" w:customStyle="1" w:styleId="3738">
    <w:name w:val="表内文字小21111"/>
    <w:basedOn w:val="1"/>
    <w:qFormat/>
    <w:uiPriority w:val="0"/>
    <w:pPr>
      <w:adjustRightInd w:val="0"/>
      <w:snapToGrid w:val="0"/>
      <w:jc w:val="center"/>
    </w:pPr>
    <w:rPr>
      <w:rFonts w:ascii="宋体" w:hAnsi="Times"/>
      <w:bCs/>
      <w:color w:val="000000"/>
      <w:szCs w:val="20"/>
    </w:rPr>
  </w:style>
  <w:style w:type="paragraph" w:customStyle="1" w:styleId="3739">
    <w:name w:val="表题31111"/>
    <w:basedOn w:val="35"/>
    <w:qFormat/>
    <w:uiPriority w:val="0"/>
    <w:pPr>
      <w:tabs>
        <w:tab w:val="left" w:pos="4305"/>
      </w:tabs>
      <w:adjustRightInd w:val="0"/>
      <w:snapToGrid w:val="0"/>
      <w:ind w:firstLine="0"/>
      <w:jc w:val="center"/>
    </w:pPr>
    <w:rPr>
      <w:rFonts w:ascii="宋体" w:hAnsi="宋体"/>
      <w:sz w:val="24"/>
    </w:rPr>
  </w:style>
  <w:style w:type="paragraph" w:customStyle="1" w:styleId="3740">
    <w:name w:val="Char Char Char Char Char Char Char1111"/>
    <w:basedOn w:val="1"/>
    <w:qFormat/>
    <w:uiPriority w:val="0"/>
  </w:style>
  <w:style w:type="paragraph" w:customStyle="1" w:styleId="3741">
    <w:name w:val="标题431111"/>
    <w:basedOn w:val="1"/>
    <w:qFormat/>
    <w:uiPriority w:val="0"/>
    <w:pPr>
      <w:adjustRightInd w:val="0"/>
      <w:snapToGrid w:val="0"/>
      <w:spacing w:line="480" w:lineRule="exact"/>
      <w:jc w:val="center"/>
    </w:pPr>
    <w:rPr>
      <w:rFonts w:ascii="宋体" w:hAnsi="宋体" w:cs="宋体"/>
      <w:sz w:val="24"/>
    </w:rPr>
  </w:style>
  <w:style w:type="paragraph" w:customStyle="1" w:styleId="3742">
    <w:name w:val="燕山正文111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43">
    <w:name w:val="默认段落字体 Para Char Char Char Char111"/>
    <w:basedOn w:val="1"/>
    <w:qFormat/>
    <w:uiPriority w:val="0"/>
  </w:style>
  <w:style w:type="paragraph" w:customStyle="1" w:styleId="3744">
    <w:name w:val="附件111"/>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745">
    <w:name w:val="黑体三号11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746">
    <w:name w:val="表111"/>
    <w:basedOn w:val="1"/>
    <w:qFormat/>
    <w:uiPriority w:val="0"/>
    <w:pPr>
      <w:adjustRightInd w:val="0"/>
      <w:snapToGrid w:val="0"/>
      <w:jc w:val="center"/>
    </w:pPr>
    <w:rPr>
      <w:rFonts w:eastAsia="仿宋_GB2312"/>
      <w:sz w:val="24"/>
    </w:rPr>
  </w:style>
  <w:style w:type="paragraph" w:customStyle="1" w:styleId="3747">
    <w:name w:val="表题1121"/>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748">
    <w:name w:val="燕山正文121"/>
    <w:basedOn w:val="1"/>
    <w:qFormat/>
    <w:uiPriority w:val="0"/>
    <w:pPr>
      <w:tabs>
        <w:tab w:val="left" w:pos="4680"/>
      </w:tabs>
      <w:adjustRightInd w:val="0"/>
      <w:snapToGrid w:val="0"/>
      <w:spacing w:line="480" w:lineRule="exact"/>
    </w:pPr>
    <w:rPr>
      <w:rFonts w:ascii="宋体" w:cs="宋体"/>
      <w:sz w:val="24"/>
    </w:rPr>
  </w:style>
  <w:style w:type="paragraph" w:customStyle="1" w:styleId="3749">
    <w:name w:val="正文修改111"/>
    <w:basedOn w:val="280"/>
    <w:qFormat/>
    <w:uiPriority w:val="0"/>
    <w:pPr>
      <w:spacing w:line="480" w:lineRule="exact"/>
      <w:ind w:firstLine="0" w:firstLineChars="0"/>
      <w:jc w:val="both"/>
    </w:pPr>
    <w:rPr>
      <w:rFonts w:hint="eastAsia" w:cs="宋体"/>
      <w:szCs w:val="24"/>
    </w:rPr>
  </w:style>
  <w:style w:type="paragraph" w:customStyle="1" w:styleId="3750">
    <w:name w:val="表中文字121"/>
    <w:basedOn w:val="1"/>
    <w:qFormat/>
    <w:uiPriority w:val="0"/>
    <w:pPr>
      <w:widowControl/>
      <w:spacing w:line="240" w:lineRule="atLeast"/>
      <w:ind w:left="-24" w:leftChars="-10" w:right="-48" w:rightChars="-20"/>
      <w:jc w:val="center"/>
    </w:pPr>
    <w:rPr>
      <w:rFonts w:ascii="宋体"/>
      <w:kern w:val="0"/>
      <w:szCs w:val="21"/>
    </w:rPr>
  </w:style>
  <w:style w:type="paragraph" w:customStyle="1" w:styleId="3751">
    <w:name w:val="表文字5121"/>
    <w:basedOn w:val="1"/>
    <w:qFormat/>
    <w:uiPriority w:val="0"/>
    <w:pPr>
      <w:adjustRightInd w:val="0"/>
      <w:jc w:val="left"/>
    </w:pPr>
    <w:rPr>
      <w:rFonts w:ascii="宋体"/>
      <w:kern w:val="0"/>
      <w:szCs w:val="20"/>
    </w:rPr>
  </w:style>
  <w:style w:type="paragraph" w:customStyle="1" w:styleId="3752">
    <w:name w:val="表内文字小31111"/>
    <w:basedOn w:val="1"/>
    <w:qFormat/>
    <w:uiPriority w:val="0"/>
    <w:pPr>
      <w:adjustRightInd w:val="0"/>
      <w:snapToGrid w:val="0"/>
      <w:jc w:val="center"/>
    </w:pPr>
    <w:rPr>
      <w:rFonts w:ascii="宋体" w:hAnsi="Times" w:cs="宋体"/>
      <w:bCs/>
      <w:color w:val="003366"/>
      <w:szCs w:val="20"/>
    </w:rPr>
  </w:style>
  <w:style w:type="paragraph" w:customStyle="1" w:styleId="3753">
    <w:name w:val="样式1111"/>
    <w:basedOn w:val="3083"/>
    <w:qFormat/>
    <w:uiPriority w:val="0"/>
    <w:pPr>
      <w:spacing w:line="240" w:lineRule="auto"/>
      <w:ind w:firstLine="0"/>
      <w:jc w:val="center"/>
    </w:pPr>
    <w:rPr>
      <w:rFonts w:cs="Times New Roman"/>
      <w:b/>
      <w:color w:val="auto"/>
      <w:szCs w:val="20"/>
    </w:rPr>
  </w:style>
  <w:style w:type="paragraph" w:customStyle="1" w:styleId="3754">
    <w:name w:val="正文格式＝211"/>
    <w:basedOn w:val="1192"/>
    <w:next w:val="1192"/>
    <w:semiHidden/>
    <w:qFormat/>
    <w:uiPriority w:val="0"/>
    <w:pPr>
      <w:adjustRightInd/>
      <w:snapToGrid/>
      <w:ind w:firstLine="482" w:firstLineChars="0"/>
    </w:pPr>
    <w:rPr>
      <w:rFonts w:hint="eastAsia" w:ascii="宋体" w:hAnsi="宋体"/>
      <w:szCs w:val="24"/>
    </w:rPr>
  </w:style>
  <w:style w:type="paragraph" w:customStyle="1" w:styleId="3755">
    <w:name w:val="Char2111"/>
    <w:basedOn w:val="1"/>
    <w:qFormat/>
    <w:uiPriority w:val="0"/>
    <w:pPr>
      <w:ind w:left="-48"/>
    </w:pPr>
  </w:style>
  <w:style w:type="paragraph" w:customStyle="1" w:styleId="3756">
    <w:name w:val="表内文字小231"/>
    <w:basedOn w:val="1"/>
    <w:qFormat/>
    <w:uiPriority w:val="0"/>
    <w:pPr>
      <w:adjustRightInd w:val="0"/>
      <w:snapToGrid w:val="0"/>
      <w:jc w:val="center"/>
    </w:pPr>
    <w:rPr>
      <w:rFonts w:ascii="宋体" w:hAnsi="Times"/>
      <w:bCs/>
      <w:color w:val="000000"/>
      <w:szCs w:val="20"/>
    </w:rPr>
  </w:style>
  <w:style w:type="paragraph" w:customStyle="1" w:styleId="3757">
    <w:name w:val="表内5321"/>
    <w:basedOn w:val="1"/>
    <w:qFormat/>
    <w:uiPriority w:val="0"/>
    <w:pPr>
      <w:adjustRightInd w:val="0"/>
      <w:snapToGrid w:val="0"/>
      <w:spacing w:line="300" w:lineRule="auto"/>
      <w:jc w:val="left"/>
    </w:pPr>
    <w:rPr>
      <w:rFonts w:ascii="宋体"/>
      <w:szCs w:val="20"/>
    </w:rPr>
  </w:style>
  <w:style w:type="paragraph" w:customStyle="1" w:styleId="3758">
    <w:name w:val="正文格式311"/>
    <w:basedOn w:val="1"/>
    <w:qFormat/>
    <w:uiPriority w:val="0"/>
    <w:pPr>
      <w:spacing w:line="360" w:lineRule="auto"/>
      <w:ind w:firstLine="482"/>
    </w:pPr>
    <w:rPr>
      <w:rFonts w:ascii="宋体" w:hAnsi="宋体"/>
      <w:sz w:val="24"/>
    </w:rPr>
  </w:style>
  <w:style w:type="paragraph" w:customStyle="1" w:styleId="3759">
    <w:name w:val="Char2211"/>
    <w:basedOn w:val="1"/>
    <w:qFormat/>
    <w:uiPriority w:val="0"/>
    <w:pPr>
      <w:adjustRightInd w:val="0"/>
      <w:snapToGrid w:val="0"/>
      <w:spacing w:beforeLines="50" w:line="360" w:lineRule="auto"/>
    </w:pPr>
    <w:rPr>
      <w:rFonts w:ascii="黑体" w:eastAsia="黑体"/>
      <w:sz w:val="32"/>
      <w:szCs w:val="32"/>
    </w:rPr>
  </w:style>
  <w:style w:type="paragraph" w:customStyle="1" w:styleId="3760">
    <w:name w:val="图题3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761">
    <w:name w:val="表格内字体31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762">
    <w:name w:val="表内541211"/>
    <w:basedOn w:val="1"/>
    <w:qFormat/>
    <w:uiPriority w:val="0"/>
    <w:pPr>
      <w:adjustRightInd w:val="0"/>
      <w:snapToGrid w:val="0"/>
      <w:spacing w:line="300" w:lineRule="auto"/>
      <w:jc w:val="center"/>
    </w:pPr>
    <w:rPr>
      <w:rFonts w:ascii="宋体" w:hAnsi="宋体" w:cs="宋体"/>
      <w:szCs w:val="20"/>
    </w:rPr>
  </w:style>
  <w:style w:type="paragraph" w:customStyle="1" w:styleId="3763">
    <w:name w:val="表内文字小21211"/>
    <w:basedOn w:val="1"/>
    <w:qFormat/>
    <w:uiPriority w:val="0"/>
    <w:pPr>
      <w:adjustRightInd w:val="0"/>
      <w:snapToGrid w:val="0"/>
      <w:jc w:val="center"/>
    </w:pPr>
    <w:rPr>
      <w:rFonts w:ascii="宋体" w:hAnsi="Times"/>
      <w:bCs/>
      <w:color w:val="000000"/>
      <w:szCs w:val="20"/>
    </w:rPr>
  </w:style>
  <w:style w:type="paragraph" w:customStyle="1" w:styleId="3764">
    <w:name w:val="表题31211"/>
    <w:basedOn w:val="35"/>
    <w:qFormat/>
    <w:uiPriority w:val="0"/>
    <w:pPr>
      <w:tabs>
        <w:tab w:val="left" w:pos="4305"/>
      </w:tabs>
      <w:adjustRightInd w:val="0"/>
      <w:snapToGrid w:val="0"/>
      <w:ind w:firstLine="0"/>
      <w:jc w:val="center"/>
    </w:pPr>
    <w:rPr>
      <w:rFonts w:ascii="宋体" w:hAnsi="宋体"/>
      <w:sz w:val="24"/>
    </w:rPr>
  </w:style>
  <w:style w:type="paragraph" w:customStyle="1" w:styleId="3765">
    <w:name w:val="Char Char Char Char Char Char Char411"/>
    <w:basedOn w:val="1"/>
    <w:qFormat/>
    <w:uiPriority w:val="0"/>
  </w:style>
  <w:style w:type="paragraph" w:customStyle="1" w:styleId="3766">
    <w:name w:val="标题431211"/>
    <w:basedOn w:val="1"/>
    <w:qFormat/>
    <w:uiPriority w:val="0"/>
    <w:pPr>
      <w:adjustRightInd w:val="0"/>
      <w:snapToGrid w:val="0"/>
      <w:spacing w:line="480" w:lineRule="exact"/>
      <w:jc w:val="center"/>
    </w:pPr>
    <w:rPr>
      <w:rFonts w:ascii="宋体" w:hAnsi="宋体" w:cs="宋体"/>
      <w:sz w:val="24"/>
    </w:rPr>
  </w:style>
  <w:style w:type="paragraph" w:customStyle="1" w:styleId="3767">
    <w:name w:val="燕山正文11211"/>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768">
    <w:name w:val="默认段落字体 Para Char Char Char Char211"/>
    <w:basedOn w:val="1"/>
    <w:qFormat/>
    <w:uiPriority w:val="0"/>
  </w:style>
  <w:style w:type="paragraph" w:customStyle="1" w:styleId="3769">
    <w:name w:val="附件211"/>
    <w:basedOn w:val="4"/>
    <w:next w:val="1192"/>
    <w:qFormat/>
    <w:uiPriority w:val="0"/>
    <w:pPr>
      <w:numPr>
        <w:numId w:val="0"/>
      </w:numPr>
      <w:tabs>
        <w:tab w:val="left" w:pos="1566"/>
      </w:tabs>
      <w:adjustRightInd/>
      <w:snapToGrid/>
      <w:spacing w:line="360" w:lineRule="auto"/>
    </w:pPr>
    <w:rPr>
      <w:rFonts w:ascii="黑体" w:hAnsi="宋体"/>
      <w:sz w:val="32"/>
      <w:szCs w:val="32"/>
    </w:rPr>
  </w:style>
  <w:style w:type="paragraph" w:customStyle="1" w:styleId="3770">
    <w:name w:val="黑体三号21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771">
    <w:name w:val="表211"/>
    <w:basedOn w:val="1"/>
    <w:qFormat/>
    <w:uiPriority w:val="0"/>
    <w:pPr>
      <w:adjustRightInd w:val="0"/>
      <w:snapToGrid w:val="0"/>
      <w:jc w:val="center"/>
    </w:pPr>
    <w:rPr>
      <w:rFonts w:eastAsia="仿宋_GB2312"/>
      <w:sz w:val="24"/>
    </w:rPr>
  </w:style>
  <w:style w:type="paragraph" w:customStyle="1" w:styleId="3772">
    <w:name w:val="表题1211"/>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773">
    <w:name w:val="燕山正文211"/>
    <w:basedOn w:val="1"/>
    <w:qFormat/>
    <w:uiPriority w:val="0"/>
    <w:pPr>
      <w:tabs>
        <w:tab w:val="left" w:pos="4680"/>
      </w:tabs>
      <w:adjustRightInd w:val="0"/>
      <w:snapToGrid w:val="0"/>
      <w:spacing w:line="480" w:lineRule="exact"/>
    </w:pPr>
    <w:rPr>
      <w:rFonts w:ascii="宋体" w:cs="宋体"/>
      <w:sz w:val="24"/>
    </w:rPr>
  </w:style>
  <w:style w:type="paragraph" w:customStyle="1" w:styleId="3774">
    <w:name w:val="正文修改211"/>
    <w:basedOn w:val="280"/>
    <w:qFormat/>
    <w:uiPriority w:val="0"/>
    <w:pPr>
      <w:spacing w:line="480" w:lineRule="exact"/>
      <w:ind w:firstLine="0" w:firstLineChars="0"/>
      <w:jc w:val="both"/>
    </w:pPr>
    <w:rPr>
      <w:rFonts w:hint="eastAsia" w:cs="宋体"/>
      <w:szCs w:val="24"/>
    </w:rPr>
  </w:style>
  <w:style w:type="paragraph" w:customStyle="1" w:styleId="3775">
    <w:name w:val="表中文字211"/>
    <w:basedOn w:val="1"/>
    <w:qFormat/>
    <w:uiPriority w:val="0"/>
    <w:pPr>
      <w:widowControl/>
      <w:adjustRightInd w:val="0"/>
      <w:spacing w:line="240" w:lineRule="atLeast"/>
      <w:ind w:right="-42" w:rightChars="-20"/>
      <w:jc w:val="center"/>
    </w:pPr>
    <w:rPr>
      <w:rFonts w:ascii="宋体"/>
      <w:kern w:val="0"/>
      <w:szCs w:val="21"/>
    </w:rPr>
  </w:style>
  <w:style w:type="paragraph" w:customStyle="1" w:styleId="3776">
    <w:name w:val="表文字5211"/>
    <w:basedOn w:val="1"/>
    <w:qFormat/>
    <w:uiPriority w:val="0"/>
    <w:pPr>
      <w:adjustRightInd w:val="0"/>
      <w:jc w:val="left"/>
    </w:pPr>
    <w:rPr>
      <w:rFonts w:ascii="宋体"/>
      <w:kern w:val="0"/>
      <w:szCs w:val="20"/>
    </w:rPr>
  </w:style>
  <w:style w:type="paragraph" w:customStyle="1" w:styleId="3777">
    <w:name w:val="表内文字小31211"/>
    <w:basedOn w:val="1"/>
    <w:qFormat/>
    <w:uiPriority w:val="0"/>
    <w:pPr>
      <w:adjustRightInd w:val="0"/>
      <w:snapToGrid w:val="0"/>
      <w:jc w:val="center"/>
    </w:pPr>
    <w:rPr>
      <w:rFonts w:ascii="宋体" w:hAnsi="Times" w:cs="宋体"/>
      <w:bCs/>
      <w:color w:val="003366"/>
      <w:szCs w:val="20"/>
    </w:rPr>
  </w:style>
  <w:style w:type="paragraph" w:customStyle="1" w:styleId="3778">
    <w:name w:val="样式1211"/>
    <w:basedOn w:val="3083"/>
    <w:qFormat/>
    <w:uiPriority w:val="0"/>
    <w:pPr>
      <w:spacing w:line="240" w:lineRule="auto"/>
      <w:ind w:firstLine="0"/>
      <w:jc w:val="center"/>
    </w:pPr>
    <w:rPr>
      <w:rFonts w:cs="Times New Roman"/>
      <w:b/>
      <w:color w:val="auto"/>
      <w:szCs w:val="20"/>
    </w:rPr>
  </w:style>
  <w:style w:type="paragraph" w:customStyle="1" w:styleId="3779">
    <w:name w:val="正文格式＝311"/>
    <w:basedOn w:val="1192"/>
    <w:next w:val="1192"/>
    <w:semiHidden/>
    <w:qFormat/>
    <w:uiPriority w:val="0"/>
    <w:pPr>
      <w:adjustRightInd/>
      <w:snapToGrid/>
      <w:ind w:firstLine="482" w:firstLineChars="0"/>
    </w:pPr>
    <w:rPr>
      <w:rFonts w:hint="eastAsia" w:ascii="宋体" w:hAnsi="宋体"/>
      <w:szCs w:val="24"/>
    </w:rPr>
  </w:style>
  <w:style w:type="paragraph" w:customStyle="1" w:styleId="3780">
    <w:name w:val="Char3111"/>
    <w:basedOn w:val="1"/>
    <w:qFormat/>
    <w:uiPriority w:val="0"/>
    <w:pPr>
      <w:ind w:left="-48"/>
    </w:pPr>
  </w:style>
  <w:style w:type="paragraph" w:customStyle="1" w:styleId="3781">
    <w:name w:val="表内文字小2211"/>
    <w:basedOn w:val="1"/>
    <w:qFormat/>
    <w:uiPriority w:val="0"/>
    <w:pPr>
      <w:adjustRightInd w:val="0"/>
      <w:snapToGrid w:val="0"/>
      <w:jc w:val="center"/>
    </w:pPr>
    <w:rPr>
      <w:rFonts w:ascii="宋体" w:hAnsi="Times"/>
      <w:bCs/>
      <w:color w:val="000000"/>
      <w:szCs w:val="20"/>
    </w:rPr>
  </w:style>
  <w:style w:type="paragraph" w:customStyle="1" w:styleId="3782">
    <w:name w:val="表内53111"/>
    <w:basedOn w:val="1"/>
    <w:qFormat/>
    <w:uiPriority w:val="0"/>
    <w:pPr>
      <w:adjustRightInd w:val="0"/>
      <w:snapToGrid w:val="0"/>
      <w:spacing w:line="300" w:lineRule="auto"/>
      <w:jc w:val="left"/>
    </w:pPr>
    <w:rPr>
      <w:rFonts w:ascii="宋体"/>
      <w:szCs w:val="20"/>
    </w:rPr>
  </w:style>
  <w:style w:type="paragraph" w:customStyle="1" w:styleId="3783">
    <w:name w:val="正文格式2111"/>
    <w:basedOn w:val="1"/>
    <w:qFormat/>
    <w:uiPriority w:val="0"/>
    <w:pPr>
      <w:spacing w:line="360" w:lineRule="auto"/>
      <w:ind w:firstLine="482"/>
    </w:pPr>
    <w:rPr>
      <w:rFonts w:ascii="宋体" w:hAnsi="宋体"/>
      <w:sz w:val="24"/>
    </w:rPr>
  </w:style>
  <w:style w:type="paragraph" w:customStyle="1" w:styleId="3784">
    <w:name w:val="图题21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785">
    <w:name w:val="表格内字体211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786">
    <w:name w:val="表题11111"/>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787">
    <w:name w:val="表中文字1111"/>
    <w:basedOn w:val="1"/>
    <w:qFormat/>
    <w:uiPriority w:val="0"/>
    <w:pPr>
      <w:widowControl/>
      <w:spacing w:line="240" w:lineRule="atLeast"/>
      <w:ind w:left="-24" w:leftChars="-10" w:right="-48" w:rightChars="-20"/>
      <w:jc w:val="center"/>
    </w:pPr>
    <w:rPr>
      <w:rFonts w:ascii="宋体"/>
      <w:kern w:val="0"/>
      <w:szCs w:val="21"/>
    </w:rPr>
  </w:style>
  <w:style w:type="paragraph" w:customStyle="1" w:styleId="3788">
    <w:name w:val="表文字51111"/>
    <w:basedOn w:val="1"/>
    <w:qFormat/>
    <w:uiPriority w:val="0"/>
    <w:pPr>
      <w:adjustRightInd w:val="0"/>
      <w:jc w:val="left"/>
    </w:pPr>
    <w:rPr>
      <w:rFonts w:ascii="宋体"/>
      <w:kern w:val="0"/>
      <w:szCs w:val="20"/>
    </w:rPr>
  </w:style>
  <w:style w:type="paragraph" w:customStyle="1" w:styleId="3789">
    <w:name w:val="正文格式411"/>
    <w:basedOn w:val="1"/>
    <w:qFormat/>
    <w:uiPriority w:val="0"/>
    <w:pPr>
      <w:spacing w:line="360" w:lineRule="auto"/>
      <w:ind w:firstLine="482"/>
    </w:pPr>
    <w:rPr>
      <w:rFonts w:ascii="宋体" w:hAnsi="宋体"/>
      <w:sz w:val="24"/>
    </w:rPr>
  </w:style>
  <w:style w:type="paragraph" w:customStyle="1" w:styleId="3790">
    <w:name w:val="图题4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791">
    <w:name w:val="表格内字体41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792">
    <w:name w:val="Char4111"/>
    <w:basedOn w:val="1"/>
    <w:qFormat/>
    <w:uiPriority w:val="0"/>
    <w:pPr>
      <w:ind w:left="-48"/>
    </w:pPr>
  </w:style>
  <w:style w:type="paragraph" w:customStyle="1" w:styleId="3793">
    <w:name w:val="正文格式＝411"/>
    <w:basedOn w:val="1192"/>
    <w:next w:val="1192"/>
    <w:semiHidden/>
    <w:qFormat/>
    <w:uiPriority w:val="0"/>
    <w:pPr>
      <w:adjustRightInd/>
      <w:snapToGrid/>
      <w:ind w:firstLine="482" w:firstLineChars="0"/>
    </w:pPr>
    <w:rPr>
      <w:rFonts w:hint="eastAsia" w:ascii="宋体" w:hAnsi="宋体"/>
      <w:szCs w:val="24"/>
    </w:rPr>
  </w:style>
  <w:style w:type="paragraph" w:customStyle="1" w:styleId="3794">
    <w:name w:val="表题131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795">
    <w:name w:val="默认段落字体 Para Char1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796">
    <w:name w:val="23-47表名11"/>
    <w:basedOn w:val="1"/>
    <w:qFormat/>
    <w:uiPriority w:val="0"/>
    <w:pPr>
      <w:spacing w:line="440" w:lineRule="exact"/>
      <w:jc w:val="center"/>
    </w:pPr>
    <w:rPr>
      <w:rFonts w:ascii="宋体" w:hAnsi="宋体"/>
      <w:b/>
      <w:sz w:val="24"/>
    </w:rPr>
  </w:style>
  <w:style w:type="paragraph" w:customStyle="1" w:styleId="3797">
    <w:name w:val="xl2411"/>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798">
    <w:name w:val="Char Char Char Char Char Char Char1211"/>
    <w:basedOn w:val="1"/>
    <w:qFormat/>
    <w:uiPriority w:val="0"/>
    <w:rPr>
      <w:szCs w:val="20"/>
    </w:rPr>
  </w:style>
  <w:style w:type="paragraph" w:customStyle="1" w:styleId="3799">
    <w:name w:val="Char511"/>
    <w:basedOn w:val="1"/>
    <w:qFormat/>
    <w:uiPriority w:val="0"/>
    <w:pPr>
      <w:adjustRightInd w:val="0"/>
      <w:snapToGrid w:val="0"/>
      <w:ind w:left="-45"/>
    </w:pPr>
  </w:style>
  <w:style w:type="paragraph" w:customStyle="1" w:styleId="3800">
    <w:name w:val="燕山正文11311"/>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801">
    <w:name w:val="正文格式511"/>
    <w:basedOn w:val="1"/>
    <w:qFormat/>
    <w:uiPriority w:val="0"/>
    <w:pPr>
      <w:spacing w:line="360" w:lineRule="auto"/>
      <w:ind w:firstLine="482"/>
    </w:pPr>
    <w:rPr>
      <w:rFonts w:ascii="宋体" w:hAnsi="宋体"/>
      <w:sz w:val="24"/>
    </w:rPr>
  </w:style>
  <w:style w:type="paragraph" w:customStyle="1" w:styleId="3802">
    <w:name w:val="Char3211"/>
    <w:basedOn w:val="1"/>
    <w:qFormat/>
    <w:uiPriority w:val="0"/>
    <w:pPr>
      <w:ind w:left="-48"/>
    </w:pPr>
  </w:style>
  <w:style w:type="paragraph" w:customStyle="1" w:styleId="3803">
    <w:name w:val="图题5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804">
    <w:name w:val="表格内字体511"/>
    <w:basedOn w:val="1192"/>
    <w:next w:val="1192"/>
    <w:qFormat/>
    <w:uiPriority w:val="0"/>
    <w:pPr>
      <w:spacing w:line="240" w:lineRule="auto"/>
      <w:ind w:firstLine="0" w:firstLineChars="0"/>
    </w:pPr>
    <w:rPr>
      <w:rFonts w:hint="eastAsia" w:ascii="宋体" w:hAnsi="宋体"/>
      <w:sz w:val="21"/>
      <w:szCs w:val="24"/>
    </w:rPr>
  </w:style>
  <w:style w:type="paragraph" w:customStyle="1" w:styleId="3805">
    <w:name w:val="表311"/>
    <w:basedOn w:val="1"/>
    <w:qFormat/>
    <w:uiPriority w:val="0"/>
    <w:pPr>
      <w:adjustRightInd w:val="0"/>
      <w:snapToGrid w:val="0"/>
      <w:jc w:val="center"/>
    </w:pPr>
    <w:rPr>
      <w:rFonts w:eastAsia="仿宋_GB2312"/>
      <w:sz w:val="24"/>
    </w:rPr>
  </w:style>
  <w:style w:type="paragraph" w:customStyle="1" w:styleId="3806">
    <w:name w:val="正文.111"/>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807">
    <w:name w:val="文本框111"/>
    <w:basedOn w:val="1"/>
    <w:qFormat/>
    <w:uiPriority w:val="0"/>
    <w:pPr>
      <w:adjustRightInd w:val="0"/>
      <w:snapToGrid w:val="0"/>
      <w:spacing w:after="6"/>
      <w:jc w:val="center"/>
    </w:pPr>
    <w:rPr>
      <w:rFonts w:eastAsia="仿宋_GB2312"/>
    </w:rPr>
  </w:style>
  <w:style w:type="paragraph" w:customStyle="1" w:styleId="3808">
    <w:name w:val="表内宋511111"/>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809">
    <w:name w:val="表内文字小31311"/>
    <w:basedOn w:val="1"/>
    <w:qFormat/>
    <w:uiPriority w:val="0"/>
    <w:pPr>
      <w:adjustRightInd w:val="0"/>
      <w:snapToGrid w:val="0"/>
      <w:jc w:val="center"/>
    </w:pPr>
    <w:rPr>
      <w:rFonts w:ascii="宋体" w:hAnsi="Times" w:cs="宋体"/>
      <w:bCs/>
      <w:color w:val="003366"/>
      <w:szCs w:val="20"/>
    </w:rPr>
  </w:style>
  <w:style w:type="paragraph" w:customStyle="1" w:styleId="3810">
    <w:name w:val="表文字5311"/>
    <w:basedOn w:val="1"/>
    <w:qFormat/>
    <w:uiPriority w:val="0"/>
    <w:pPr>
      <w:adjustRightInd w:val="0"/>
      <w:jc w:val="left"/>
    </w:pPr>
    <w:rPr>
      <w:rFonts w:ascii="宋体"/>
      <w:kern w:val="0"/>
      <w:szCs w:val="20"/>
    </w:rPr>
  </w:style>
  <w:style w:type="paragraph" w:customStyle="1" w:styleId="3811">
    <w:name w:val="正文2111"/>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3812">
    <w:name w:val="Char Char Char Char Char Char Char2111"/>
    <w:basedOn w:val="1"/>
    <w:qFormat/>
    <w:uiPriority w:val="0"/>
  </w:style>
  <w:style w:type="paragraph" w:customStyle="1" w:styleId="3813">
    <w:name w:val="表题31311"/>
    <w:basedOn w:val="35"/>
    <w:qFormat/>
    <w:uiPriority w:val="0"/>
    <w:pPr>
      <w:tabs>
        <w:tab w:val="left" w:pos="4305"/>
      </w:tabs>
      <w:adjustRightInd w:val="0"/>
      <w:snapToGrid w:val="0"/>
      <w:ind w:firstLine="0"/>
      <w:jc w:val="center"/>
    </w:pPr>
    <w:rPr>
      <w:rFonts w:ascii="宋体" w:hAnsi="宋体"/>
      <w:sz w:val="24"/>
    </w:rPr>
  </w:style>
  <w:style w:type="paragraph" w:customStyle="1" w:styleId="3814">
    <w:name w:val="表内文字小21311"/>
    <w:basedOn w:val="1"/>
    <w:qFormat/>
    <w:uiPriority w:val="0"/>
    <w:pPr>
      <w:adjustRightInd w:val="0"/>
      <w:snapToGrid w:val="0"/>
      <w:jc w:val="center"/>
    </w:pPr>
    <w:rPr>
      <w:rFonts w:ascii="宋体" w:hAnsi="Times"/>
      <w:bCs/>
      <w:color w:val="000000"/>
      <w:szCs w:val="20"/>
    </w:rPr>
  </w:style>
  <w:style w:type="paragraph" w:customStyle="1" w:styleId="3815">
    <w:name w:val="燕山正文311"/>
    <w:basedOn w:val="1"/>
    <w:qFormat/>
    <w:uiPriority w:val="0"/>
    <w:pPr>
      <w:tabs>
        <w:tab w:val="left" w:pos="4680"/>
      </w:tabs>
      <w:adjustRightInd w:val="0"/>
      <w:snapToGrid w:val="0"/>
      <w:spacing w:line="480" w:lineRule="exact"/>
    </w:pPr>
    <w:rPr>
      <w:rFonts w:ascii="宋体" w:cs="宋体"/>
      <w:sz w:val="24"/>
    </w:rPr>
  </w:style>
  <w:style w:type="paragraph" w:customStyle="1" w:styleId="3816">
    <w:name w:val="正文修改311"/>
    <w:basedOn w:val="280"/>
    <w:qFormat/>
    <w:uiPriority w:val="0"/>
    <w:pPr>
      <w:spacing w:line="480" w:lineRule="exact"/>
      <w:ind w:firstLine="0" w:firstLineChars="0"/>
      <w:jc w:val="both"/>
    </w:pPr>
    <w:rPr>
      <w:rFonts w:hint="eastAsia" w:cs="宋体"/>
      <w:szCs w:val="24"/>
    </w:rPr>
  </w:style>
  <w:style w:type="paragraph" w:customStyle="1" w:styleId="3817">
    <w:name w:val="表题142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818">
    <w:name w:val="表中文字311"/>
    <w:basedOn w:val="1"/>
    <w:qFormat/>
    <w:uiPriority w:val="0"/>
    <w:pPr>
      <w:widowControl/>
      <w:spacing w:line="240" w:lineRule="atLeast"/>
      <w:ind w:left="-24" w:leftChars="-10" w:right="-48" w:rightChars="-20"/>
      <w:jc w:val="center"/>
    </w:pPr>
    <w:rPr>
      <w:rFonts w:ascii="宋体"/>
      <w:kern w:val="0"/>
      <w:szCs w:val="21"/>
    </w:rPr>
  </w:style>
  <w:style w:type="paragraph" w:customStyle="1" w:styleId="3819">
    <w:name w:val="黑体三号31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820">
    <w:name w:val="默认段落字体 Para Char Char Char Char311"/>
    <w:basedOn w:val="1"/>
    <w:qFormat/>
    <w:uiPriority w:val="0"/>
  </w:style>
  <w:style w:type="paragraph" w:customStyle="1" w:styleId="3821">
    <w:name w:val="表内541311"/>
    <w:basedOn w:val="1"/>
    <w:qFormat/>
    <w:uiPriority w:val="0"/>
    <w:pPr>
      <w:adjustRightInd w:val="0"/>
      <w:snapToGrid w:val="0"/>
      <w:spacing w:line="300" w:lineRule="auto"/>
      <w:jc w:val="center"/>
    </w:pPr>
    <w:rPr>
      <w:rFonts w:ascii="宋体" w:hAnsi="宋体" w:cs="宋体"/>
      <w:szCs w:val="20"/>
    </w:rPr>
  </w:style>
  <w:style w:type="paragraph" w:customStyle="1" w:styleId="3822">
    <w:name w:val="标题421"/>
    <w:basedOn w:val="1"/>
    <w:qFormat/>
    <w:uiPriority w:val="0"/>
    <w:pPr>
      <w:adjustRightInd w:val="0"/>
      <w:snapToGrid w:val="0"/>
      <w:spacing w:line="300" w:lineRule="auto"/>
      <w:jc w:val="left"/>
    </w:pPr>
    <w:rPr>
      <w:rFonts w:ascii="黑体" w:eastAsia="黑体"/>
      <w:bCs/>
      <w:sz w:val="24"/>
    </w:rPr>
  </w:style>
  <w:style w:type="paragraph" w:customStyle="1" w:styleId="3823">
    <w:name w:val="Char611"/>
    <w:basedOn w:val="1"/>
    <w:qFormat/>
    <w:uiPriority w:val="0"/>
    <w:pPr>
      <w:adjustRightInd w:val="0"/>
      <w:snapToGrid w:val="0"/>
      <w:spacing w:beforeLines="50" w:line="360" w:lineRule="auto"/>
    </w:pPr>
    <w:rPr>
      <w:rFonts w:ascii="黑体" w:eastAsia="黑体"/>
      <w:sz w:val="32"/>
      <w:szCs w:val="32"/>
    </w:rPr>
  </w:style>
  <w:style w:type="paragraph" w:customStyle="1" w:styleId="3824">
    <w:name w:val="表题21111"/>
    <w:basedOn w:val="1"/>
    <w:qFormat/>
    <w:uiPriority w:val="0"/>
    <w:pPr>
      <w:widowControl/>
      <w:adjustRightInd w:val="0"/>
      <w:snapToGrid w:val="0"/>
      <w:jc w:val="center"/>
    </w:pPr>
    <w:rPr>
      <w:rFonts w:ascii="黑体" w:hAnsi="宋体" w:eastAsia="黑体" w:cs="宋体"/>
      <w:kern w:val="0"/>
      <w:sz w:val="24"/>
    </w:rPr>
  </w:style>
  <w:style w:type="paragraph" w:customStyle="1" w:styleId="3825">
    <w:name w:val="表内宋5中1111"/>
    <w:basedOn w:val="1"/>
    <w:qFormat/>
    <w:uiPriority w:val="0"/>
    <w:pPr>
      <w:adjustRightInd w:val="0"/>
      <w:snapToGrid w:val="0"/>
      <w:jc w:val="center"/>
    </w:pPr>
    <w:rPr>
      <w:rFonts w:ascii="宋体" w:hAnsi="宋体" w:cs="宋体"/>
      <w:kern w:val="0"/>
      <w:szCs w:val="20"/>
    </w:rPr>
  </w:style>
  <w:style w:type="paragraph" w:customStyle="1" w:styleId="3826">
    <w:name w:val="表内宋5中121"/>
    <w:basedOn w:val="1"/>
    <w:qFormat/>
    <w:uiPriority w:val="0"/>
    <w:pPr>
      <w:adjustRightInd w:val="0"/>
      <w:snapToGrid w:val="0"/>
      <w:jc w:val="center"/>
    </w:pPr>
    <w:rPr>
      <w:rFonts w:ascii="宋体" w:hAnsi="宋体" w:cs="宋体"/>
      <w:kern w:val="0"/>
      <w:szCs w:val="20"/>
    </w:rPr>
  </w:style>
  <w:style w:type="paragraph" w:customStyle="1" w:styleId="3827">
    <w:name w:val="表内文字小1111"/>
    <w:basedOn w:val="1"/>
    <w:qFormat/>
    <w:uiPriority w:val="0"/>
    <w:pPr>
      <w:adjustRightInd w:val="0"/>
      <w:snapToGrid w:val="0"/>
    </w:pPr>
    <w:rPr>
      <w:rFonts w:ascii="宋体" w:hAnsi="Times" w:cs="宋体"/>
      <w:szCs w:val="20"/>
    </w:rPr>
  </w:style>
  <w:style w:type="paragraph" w:customStyle="1" w:styleId="3828">
    <w:name w:val="标题41111"/>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3829">
    <w:name w:val="表题14111"/>
    <w:basedOn w:val="1"/>
    <w:qFormat/>
    <w:uiPriority w:val="0"/>
    <w:pPr>
      <w:widowControl/>
      <w:adjustRightInd w:val="0"/>
      <w:snapToGrid w:val="0"/>
      <w:jc w:val="center"/>
    </w:pPr>
    <w:rPr>
      <w:rFonts w:ascii="黑体" w:hAnsi="宋体" w:eastAsia="黑体" w:cs="宋体"/>
      <w:kern w:val="0"/>
      <w:sz w:val="24"/>
    </w:rPr>
  </w:style>
  <w:style w:type="paragraph" w:customStyle="1" w:styleId="3830">
    <w:name w:val="表内文字小811"/>
    <w:basedOn w:val="1"/>
    <w:qFormat/>
    <w:uiPriority w:val="0"/>
    <w:pPr>
      <w:adjustRightInd w:val="0"/>
      <w:snapToGrid w:val="0"/>
      <w:jc w:val="center"/>
    </w:pPr>
    <w:rPr>
      <w:rFonts w:ascii="宋体" w:hAnsi="Times" w:cs="宋体"/>
      <w:szCs w:val="20"/>
    </w:rPr>
  </w:style>
  <w:style w:type="paragraph" w:customStyle="1" w:styleId="3831">
    <w:name w:val="默认段落字体 Para Char2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832">
    <w:name w:val="Default11"/>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3833">
    <w:name w:val="正文格式611"/>
    <w:basedOn w:val="1"/>
    <w:qFormat/>
    <w:uiPriority w:val="0"/>
    <w:pPr>
      <w:spacing w:line="360" w:lineRule="auto"/>
      <w:ind w:firstLine="482"/>
    </w:pPr>
    <w:rPr>
      <w:rFonts w:ascii="宋体" w:hAnsi="宋体"/>
      <w:sz w:val="24"/>
    </w:rPr>
  </w:style>
  <w:style w:type="paragraph" w:customStyle="1" w:styleId="3834">
    <w:name w:val="正文格式＝511"/>
    <w:basedOn w:val="1192"/>
    <w:next w:val="1192"/>
    <w:semiHidden/>
    <w:qFormat/>
    <w:uiPriority w:val="0"/>
    <w:pPr>
      <w:adjustRightInd/>
      <w:snapToGrid/>
      <w:ind w:firstLine="482" w:firstLineChars="0"/>
    </w:pPr>
    <w:rPr>
      <w:rFonts w:hint="eastAsia" w:ascii="宋体" w:hAnsi="宋体"/>
      <w:szCs w:val="24"/>
    </w:rPr>
  </w:style>
  <w:style w:type="paragraph" w:customStyle="1" w:styleId="3835">
    <w:name w:val="附件311"/>
    <w:basedOn w:val="4"/>
    <w:next w:val="1192"/>
    <w:qFormat/>
    <w:uiPriority w:val="0"/>
    <w:pPr>
      <w:numPr>
        <w:numId w:val="0"/>
      </w:numPr>
      <w:tabs>
        <w:tab w:val="left" w:pos="1566"/>
      </w:tabs>
      <w:spacing w:line="360" w:lineRule="auto"/>
    </w:pPr>
    <w:rPr>
      <w:rFonts w:ascii="黑体" w:hAnsi="宋体"/>
      <w:sz w:val="32"/>
      <w:szCs w:val="32"/>
    </w:rPr>
  </w:style>
  <w:style w:type="paragraph" w:customStyle="1" w:styleId="3836">
    <w:name w:val="图题611"/>
    <w:basedOn w:val="1192"/>
    <w:next w:val="1192"/>
    <w:qFormat/>
    <w:uiPriority w:val="0"/>
    <w:pPr>
      <w:adjustRightInd/>
      <w:snapToGrid/>
      <w:ind w:firstLine="0" w:firstLineChars="0"/>
      <w:jc w:val="center"/>
    </w:pPr>
    <w:rPr>
      <w:rFonts w:hint="eastAsia" w:ascii="黑体" w:hAnsi="宋体" w:eastAsia="黑体" w:cs="宋体"/>
      <w:b/>
      <w:bCs/>
      <w:kern w:val="0"/>
      <w:szCs w:val="24"/>
    </w:rPr>
  </w:style>
  <w:style w:type="paragraph" w:customStyle="1" w:styleId="3837">
    <w:name w:val="表格内字体61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838">
    <w:name w:val="黑体三号411"/>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839">
    <w:name w:val="默认段落字体 Para Char Char Char Char411"/>
    <w:basedOn w:val="1"/>
    <w:qFormat/>
    <w:uiPriority w:val="0"/>
  </w:style>
  <w:style w:type="paragraph" w:customStyle="1" w:styleId="3840">
    <w:name w:val="图表题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841">
    <w:name w:val="样式 表格内字体 +11"/>
    <w:basedOn w:val="1491"/>
    <w:qFormat/>
    <w:uiPriority w:val="0"/>
    <w:pPr>
      <w:spacing w:line="280" w:lineRule="exact"/>
      <w:ind w:firstLine="36"/>
      <w:jc w:val="both"/>
    </w:pPr>
    <w:rPr>
      <w:rFonts w:hint="eastAsia" w:hAnsi="宋体" w:cs="Times New Roman"/>
      <w:kern w:val="0"/>
      <w:szCs w:val="24"/>
    </w:rPr>
  </w:style>
  <w:style w:type="paragraph" w:customStyle="1" w:styleId="3842">
    <w:name w:val="A正文11"/>
    <w:basedOn w:val="1"/>
    <w:qFormat/>
    <w:uiPriority w:val="0"/>
    <w:pPr>
      <w:widowControl/>
      <w:overflowPunct w:val="0"/>
      <w:autoSpaceDE w:val="0"/>
      <w:autoSpaceDN w:val="0"/>
      <w:adjustRightInd w:val="0"/>
      <w:spacing w:line="360" w:lineRule="auto"/>
      <w:ind w:firstLine="200" w:firstLineChars="200"/>
      <w:jc w:val="left"/>
    </w:pPr>
    <w:rPr>
      <w:rFonts w:eastAsia="仿宋_GB2312"/>
      <w:kern w:val="0"/>
      <w:sz w:val="24"/>
    </w:rPr>
  </w:style>
  <w:style w:type="paragraph" w:customStyle="1" w:styleId="3843">
    <w:name w:val="图题注11"/>
    <w:basedOn w:val="23"/>
    <w:qFormat/>
    <w:uiPriority w:val="0"/>
    <w:pPr>
      <w:tabs>
        <w:tab w:val="left" w:pos="1280"/>
      </w:tabs>
      <w:spacing w:beforeLines="50" w:line="240" w:lineRule="auto"/>
      <w:ind w:firstLine="0" w:firstLineChars="0"/>
      <w:jc w:val="center"/>
    </w:pPr>
    <w:rPr>
      <w:rFonts w:ascii="黑体" w:cs="宋体"/>
      <w:b/>
      <w:bCs/>
      <w:snapToGrid/>
      <w:kern w:val="2"/>
      <w:sz w:val="24"/>
      <w:szCs w:val="24"/>
    </w:rPr>
  </w:style>
  <w:style w:type="paragraph" w:customStyle="1" w:styleId="3844">
    <w:name w:val="Char711"/>
    <w:basedOn w:val="1"/>
    <w:qFormat/>
    <w:uiPriority w:val="0"/>
    <w:pPr>
      <w:ind w:left="-48"/>
    </w:pPr>
  </w:style>
  <w:style w:type="paragraph" w:customStyle="1" w:styleId="3845">
    <w:name w:val="表格内字体1111"/>
    <w:basedOn w:val="1192"/>
    <w:qFormat/>
    <w:uiPriority w:val="0"/>
    <w:pPr>
      <w:adjustRightInd/>
      <w:snapToGrid/>
      <w:spacing w:line="240" w:lineRule="auto"/>
      <w:ind w:firstLine="0" w:firstLineChars="0"/>
      <w:jc w:val="center"/>
    </w:pPr>
    <w:rPr>
      <w:rFonts w:hint="eastAsia" w:ascii="宋体" w:hAnsi="宋体" w:cs="宋体"/>
      <w:sz w:val="21"/>
      <w:szCs w:val="20"/>
    </w:rPr>
  </w:style>
  <w:style w:type="paragraph" w:customStyle="1" w:styleId="3846">
    <w:name w:val="Char Char2 Char Char Char Char311"/>
    <w:basedOn w:val="1"/>
    <w:semiHidden/>
    <w:qFormat/>
    <w:uiPriority w:val="0"/>
  </w:style>
  <w:style w:type="paragraph" w:customStyle="1" w:styleId="3847">
    <w:name w:val="样式 正文缩进 + 宋体 黑色 首行缩进:  2 字符11"/>
    <w:basedOn w:val="22"/>
    <w:qFormat/>
    <w:uiPriority w:val="0"/>
    <w:pPr>
      <w:spacing w:line="360" w:lineRule="auto"/>
      <w:ind w:firstLine="480"/>
      <w:jc w:val="left"/>
    </w:pPr>
    <w:rPr>
      <w:rFonts w:ascii="宋体" w:hAnsi="宋体" w:cs="宋体"/>
      <w:color w:val="FF00FF"/>
      <w:sz w:val="24"/>
      <w:szCs w:val="20"/>
    </w:rPr>
  </w:style>
  <w:style w:type="paragraph" w:customStyle="1" w:styleId="3848">
    <w:name w:val="环评正文11"/>
    <w:qFormat/>
    <w:uiPriority w:val="0"/>
    <w:pPr>
      <w:spacing w:line="440" w:lineRule="exact"/>
      <w:ind w:firstLine="200" w:firstLineChars="200"/>
    </w:pPr>
    <w:rPr>
      <w:rFonts w:ascii="Times New Roman" w:hAnsi="Times New Roman" w:eastAsia="宋体" w:cs="Times New Roman"/>
      <w:bCs/>
      <w:kern w:val="2"/>
      <w:sz w:val="24"/>
      <w:szCs w:val="24"/>
      <w:lang w:val="en-US" w:eastAsia="zh-CN" w:bidi="ar-SA"/>
    </w:rPr>
  </w:style>
  <w:style w:type="paragraph" w:customStyle="1" w:styleId="3849">
    <w:name w:val="注释11"/>
    <w:basedOn w:val="1192"/>
    <w:next w:val="2"/>
    <w:qFormat/>
    <w:uiPriority w:val="0"/>
    <w:pPr>
      <w:adjustRightInd/>
      <w:snapToGrid/>
      <w:spacing w:before="120" w:after="120" w:line="240" w:lineRule="auto"/>
    </w:pPr>
    <w:rPr>
      <w:rFonts w:hint="eastAsia" w:ascii="宋体" w:hAnsi="宋体" w:cs="宋体"/>
      <w:sz w:val="21"/>
      <w:szCs w:val="20"/>
    </w:rPr>
  </w:style>
  <w:style w:type="paragraph" w:customStyle="1" w:styleId="3850">
    <w:name w:val="样式411"/>
    <w:basedOn w:val="2"/>
    <w:qFormat/>
    <w:uiPriority w:val="0"/>
    <w:pPr>
      <w:tabs>
        <w:tab w:val="left" w:pos="1820"/>
      </w:tabs>
      <w:snapToGrid w:val="0"/>
      <w:spacing w:after="0" w:line="240" w:lineRule="atLeast"/>
      <w:ind w:firstLine="0" w:firstLineChars="0"/>
      <w:jc w:val="center"/>
    </w:pPr>
    <w:rPr>
      <w:rFonts w:eastAsia="幼圆"/>
      <w:snapToGrid/>
      <w:sz w:val="21"/>
      <w:szCs w:val="20"/>
    </w:rPr>
  </w:style>
  <w:style w:type="paragraph" w:customStyle="1" w:styleId="3851">
    <w:name w:val="标题4121"/>
    <w:basedOn w:val="7"/>
    <w:next w:val="1"/>
    <w:qFormat/>
    <w:uiPriority w:val="0"/>
    <w:pPr>
      <w:numPr>
        <w:ilvl w:val="0"/>
        <w:numId w:val="0"/>
      </w:numPr>
      <w:adjustRightInd/>
      <w:snapToGrid/>
      <w:spacing w:before="160" w:after="170"/>
    </w:pPr>
    <w:rPr>
      <w:rFonts w:ascii="黑体" w:hAnsi="Arial"/>
      <w:b/>
      <w:kern w:val="0"/>
      <w:sz w:val="24"/>
    </w:rPr>
  </w:style>
  <w:style w:type="paragraph" w:customStyle="1" w:styleId="3852">
    <w:name w:val="表中文字411"/>
    <w:basedOn w:val="1"/>
    <w:qFormat/>
    <w:uiPriority w:val="0"/>
    <w:pPr>
      <w:snapToGrid w:val="0"/>
      <w:spacing w:line="340" w:lineRule="exact"/>
      <w:ind w:firstLine="480" w:firstLineChars="200"/>
      <w:jc w:val="center"/>
    </w:pPr>
    <w:rPr>
      <w:rFonts w:ascii="Arial" w:hAnsi="Arial"/>
      <w:kern w:val="0"/>
      <w:sz w:val="20"/>
      <w:lang w:eastAsia="zh-TW"/>
    </w:rPr>
  </w:style>
  <w:style w:type="paragraph" w:customStyle="1" w:styleId="3853">
    <w:name w:val="样式 正文缩进 + 宋体 黑色11"/>
    <w:basedOn w:val="22"/>
    <w:qFormat/>
    <w:uiPriority w:val="0"/>
    <w:pPr>
      <w:spacing w:line="360" w:lineRule="auto"/>
      <w:ind w:firstLine="200"/>
      <w:jc w:val="left"/>
    </w:pPr>
    <w:rPr>
      <w:rFonts w:ascii="宋体" w:hAnsi="宋体"/>
      <w:color w:val="000000"/>
      <w:sz w:val="24"/>
    </w:rPr>
  </w:style>
  <w:style w:type="paragraph" w:customStyle="1" w:styleId="3854">
    <w:name w:val="表内5111"/>
    <w:basedOn w:val="1"/>
    <w:qFormat/>
    <w:uiPriority w:val="0"/>
    <w:pPr>
      <w:adjustRightInd w:val="0"/>
      <w:snapToGrid w:val="0"/>
      <w:jc w:val="center"/>
    </w:pPr>
    <w:rPr>
      <w:rFonts w:ascii="宋体" w:hAnsi="宋体"/>
      <w:kern w:val="0"/>
      <w:sz w:val="20"/>
      <w:szCs w:val="20"/>
    </w:rPr>
  </w:style>
  <w:style w:type="paragraph" w:customStyle="1" w:styleId="3855">
    <w:name w:val="样式 样式 宋体 + 首行缩进:  2 字符111"/>
    <w:basedOn w:val="1"/>
    <w:qFormat/>
    <w:uiPriority w:val="0"/>
    <w:pPr>
      <w:spacing w:line="360" w:lineRule="auto"/>
      <w:ind w:firstLine="480" w:firstLineChars="200"/>
      <w:jc w:val="left"/>
    </w:pPr>
    <w:rPr>
      <w:rFonts w:ascii="宋体" w:cs="宋体"/>
      <w:sz w:val="24"/>
    </w:rPr>
  </w:style>
  <w:style w:type="paragraph" w:customStyle="1" w:styleId="3856">
    <w:name w:val="表内宋5中211"/>
    <w:basedOn w:val="1"/>
    <w:qFormat/>
    <w:uiPriority w:val="0"/>
    <w:pPr>
      <w:adjustRightInd w:val="0"/>
      <w:snapToGrid w:val="0"/>
      <w:jc w:val="center"/>
    </w:pPr>
    <w:rPr>
      <w:rFonts w:ascii="宋体" w:hAnsi="宋体"/>
      <w:kern w:val="0"/>
      <w:szCs w:val="20"/>
    </w:rPr>
  </w:style>
  <w:style w:type="paragraph" w:customStyle="1" w:styleId="3857">
    <w:name w:val="xl6311"/>
    <w:basedOn w:val="1"/>
    <w:qFormat/>
    <w:uiPriority w:val="0"/>
    <w:pPr>
      <w:widowControl/>
      <w:spacing w:before="100" w:beforeAutospacing="1" w:after="100" w:afterAutospacing="1"/>
      <w:jc w:val="center"/>
    </w:pPr>
    <w:rPr>
      <w:rFonts w:ascii="黑体" w:hAnsi="宋体" w:eastAsia="黑体"/>
      <w:kern w:val="0"/>
      <w:sz w:val="24"/>
    </w:rPr>
  </w:style>
  <w:style w:type="paragraph" w:customStyle="1" w:styleId="3858">
    <w:name w:val="标准11"/>
    <w:basedOn w:val="1"/>
    <w:qFormat/>
    <w:uiPriority w:val="0"/>
    <w:pPr>
      <w:adjustRightInd w:val="0"/>
      <w:spacing w:before="120" w:line="336" w:lineRule="auto"/>
      <w:jc w:val="center"/>
    </w:pPr>
    <w:rPr>
      <w:rFonts w:ascii="黑体" w:eastAsia="黑体"/>
      <w:szCs w:val="20"/>
    </w:rPr>
  </w:style>
  <w:style w:type="paragraph" w:customStyle="1" w:styleId="3859">
    <w:name w:val="Fax Header11"/>
    <w:basedOn w:val="1"/>
    <w:qFormat/>
    <w:uiPriority w:val="0"/>
    <w:pPr>
      <w:widowControl/>
      <w:spacing w:before="240" w:after="60"/>
      <w:jc w:val="left"/>
    </w:pPr>
    <w:rPr>
      <w:kern w:val="0"/>
      <w:sz w:val="20"/>
      <w:szCs w:val="20"/>
    </w:rPr>
  </w:style>
  <w:style w:type="paragraph" w:customStyle="1" w:styleId="3860">
    <w:name w:val="样式 表格内字体1 +11"/>
    <w:basedOn w:val="1476"/>
    <w:next w:val="1491"/>
    <w:qFormat/>
    <w:uiPriority w:val="0"/>
    <w:rPr>
      <w:rFonts w:hint="eastAsia"/>
    </w:rPr>
  </w:style>
  <w:style w:type="paragraph" w:customStyle="1" w:styleId="3861">
    <w:name w:val="默认段落字体 Para Char311"/>
    <w:basedOn w:val="1"/>
    <w:qFormat/>
    <w:uiPriority w:val="0"/>
    <w:pPr>
      <w:spacing w:line="360" w:lineRule="auto"/>
      <w:ind w:firstLine="200" w:firstLineChars="200"/>
    </w:pPr>
    <w:rPr>
      <w:rFonts w:ascii="宋体" w:hAnsi="宋体" w:cs="宋体"/>
      <w:sz w:val="24"/>
    </w:rPr>
  </w:style>
  <w:style w:type="paragraph" w:customStyle="1" w:styleId="3862">
    <w:name w:val="正文斜体11"/>
    <w:basedOn w:val="1192"/>
    <w:next w:val="1192"/>
    <w:qFormat/>
    <w:uiPriority w:val="0"/>
    <w:pPr>
      <w:adjustRightInd/>
      <w:snapToGrid/>
      <w:ind w:firstLine="482" w:firstLineChars="0"/>
    </w:pPr>
    <w:rPr>
      <w:rFonts w:hint="eastAsia" w:ascii="宋体" w:hAnsi="宋体"/>
      <w:i/>
      <w:iCs/>
      <w:szCs w:val="24"/>
    </w:rPr>
  </w:style>
  <w:style w:type="paragraph" w:customStyle="1" w:styleId="3863">
    <w:name w:val="Char Char2 Char Char Char Char1111"/>
    <w:basedOn w:val="1"/>
    <w:semiHidden/>
    <w:qFormat/>
    <w:uiPriority w:val="0"/>
  </w:style>
  <w:style w:type="paragraph" w:customStyle="1" w:styleId="3864">
    <w:name w:val="Char811"/>
    <w:basedOn w:val="1"/>
    <w:qFormat/>
    <w:uiPriority w:val="0"/>
    <w:pPr>
      <w:ind w:left="-48"/>
    </w:pPr>
  </w:style>
  <w:style w:type="paragraph" w:customStyle="1" w:styleId="3865">
    <w:name w:val="正文格式711"/>
    <w:basedOn w:val="1"/>
    <w:qFormat/>
    <w:uiPriority w:val="0"/>
    <w:pPr>
      <w:spacing w:line="360" w:lineRule="auto"/>
      <w:ind w:firstLine="482"/>
    </w:pPr>
    <w:rPr>
      <w:rFonts w:ascii="宋体" w:hAnsi="宋体"/>
      <w:sz w:val="24"/>
    </w:rPr>
  </w:style>
  <w:style w:type="paragraph" w:customStyle="1" w:styleId="3866">
    <w:name w:val="图题711"/>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867">
    <w:name w:val="表格内字体711"/>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868">
    <w:name w:val="Char911"/>
    <w:basedOn w:val="1"/>
    <w:qFormat/>
    <w:uiPriority w:val="0"/>
    <w:pPr>
      <w:ind w:left="-48"/>
    </w:pPr>
  </w:style>
  <w:style w:type="paragraph" w:customStyle="1" w:styleId="3869">
    <w:name w:val="正文格式＝611"/>
    <w:basedOn w:val="1192"/>
    <w:next w:val="1192"/>
    <w:semiHidden/>
    <w:qFormat/>
    <w:uiPriority w:val="0"/>
    <w:pPr>
      <w:adjustRightInd/>
      <w:snapToGrid/>
      <w:ind w:firstLine="482" w:firstLineChars="0"/>
    </w:pPr>
    <w:rPr>
      <w:rFonts w:hint="eastAsia" w:ascii="宋体" w:hAnsi="宋体"/>
      <w:szCs w:val="24"/>
    </w:rPr>
  </w:style>
  <w:style w:type="paragraph" w:customStyle="1" w:styleId="3870">
    <w:name w:val="表题1511"/>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871">
    <w:name w:val="燕山正文411"/>
    <w:basedOn w:val="1"/>
    <w:qFormat/>
    <w:uiPriority w:val="0"/>
    <w:pPr>
      <w:tabs>
        <w:tab w:val="left" w:pos="4680"/>
      </w:tabs>
      <w:adjustRightInd w:val="0"/>
      <w:snapToGrid w:val="0"/>
      <w:spacing w:line="480" w:lineRule="exact"/>
    </w:pPr>
    <w:rPr>
      <w:rFonts w:ascii="宋体" w:cs="宋体"/>
      <w:sz w:val="24"/>
    </w:rPr>
  </w:style>
  <w:style w:type="paragraph" w:customStyle="1" w:styleId="3872">
    <w:name w:val="正文修改411"/>
    <w:basedOn w:val="280"/>
    <w:qFormat/>
    <w:uiPriority w:val="0"/>
    <w:pPr>
      <w:spacing w:line="480" w:lineRule="exact"/>
      <w:ind w:firstLine="0" w:firstLineChars="0"/>
      <w:jc w:val="both"/>
    </w:pPr>
    <w:rPr>
      <w:rFonts w:hint="eastAsia" w:cs="宋体"/>
      <w:szCs w:val="24"/>
    </w:rPr>
  </w:style>
  <w:style w:type="paragraph" w:customStyle="1" w:styleId="3873">
    <w:name w:val="表中文字511"/>
    <w:basedOn w:val="1"/>
    <w:qFormat/>
    <w:uiPriority w:val="0"/>
    <w:pPr>
      <w:widowControl/>
      <w:spacing w:line="240" w:lineRule="atLeast"/>
      <w:ind w:left="-24" w:leftChars="-10" w:right="-48" w:rightChars="-20"/>
      <w:jc w:val="center"/>
    </w:pPr>
    <w:rPr>
      <w:rFonts w:ascii="宋体"/>
      <w:kern w:val="0"/>
      <w:szCs w:val="21"/>
    </w:rPr>
  </w:style>
  <w:style w:type="paragraph" w:customStyle="1" w:styleId="3874">
    <w:name w:val="默认段落字体 Para Char Char Char Char511"/>
    <w:basedOn w:val="1"/>
    <w:qFormat/>
    <w:uiPriority w:val="0"/>
  </w:style>
  <w:style w:type="paragraph" w:customStyle="1" w:styleId="3875">
    <w:name w:val="Char1011"/>
    <w:basedOn w:val="1"/>
    <w:qFormat/>
    <w:uiPriority w:val="0"/>
    <w:pPr>
      <w:adjustRightInd w:val="0"/>
      <w:snapToGrid w:val="0"/>
      <w:spacing w:line="360" w:lineRule="auto"/>
    </w:pPr>
  </w:style>
  <w:style w:type="paragraph" w:customStyle="1" w:styleId="3876">
    <w:name w:val="表内5中111"/>
    <w:basedOn w:val="1"/>
    <w:qFormat/>
    <w:uiPriority w:val="0"/>
    <w:pPr>
      <w:adjustRightInd w:val="0"/>
      <w:snapToGrid w:val="0"/>
      <w:jc w:val="center"/>
    </w:pPr>
    <w:rPr>
      <w:rFonts w:ascii="宋体" w:hAnsi="宋体" w:cs="Arial"/>
      <w:color w:val="000000"/>
      <w:szCs w:val="21"/>
    </w:rPr>
  </w:style>
  <w:style w:type="paragraph" w:customStyle="1" w:styleId="3877">
    <w:name w:val="表内541411"/>
    <w:basedOn w:val="1"/>
    <w:qFormat/>
    <w:uiPriority w:val="0"/>
    <w:pPr>
      <w:adjustRightInd w:val="0"/>
      <w:snapToGrid w:val="0"/>
      <w:spacing w:line="300" w:lineRule="auto"/>
      <w:jc w:val="center"/>
    </w:pPr>
    <w:rPr>
      <w:rFonts w:ascii="宋体" w:hAnsi="宋体" w:cs="宋体"/>
      <w:szCs w:val="20"/>
    </w:rPr>
  </w:style>
  <w:style w:type="paragraph" w:customStyle="1" w:styleId="3878">
    <w:name w:val="表内文字小121"/>
    <w:basedOn w:val="1"/>
    <w:qFormat/>
    <w:uiPriority w:val="0"/>
    <w:pPr>
      <w:adjustRightInd w:val="0"/>
      <w:snapToGrid w:val="0"/>
      <w:jc w:val="center"/>
    </w:pPr>
    <w:rPr>
      <w:rFonts w:ascii="宋体" w:hAnsi="Times"/>
      <w:szCs w:val="20"/>
    </w:rPr>
  </w:style>
  <w:style w:type="paragraph" w:customStyle="1" w:styleId="3879">
    <w:name w:val="默认段落字体 Para Char411"/>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880">
    <w:name w:val="正文格式811"/>
    <w:basedOn w:val="1"/>
    <w:qFormat/>
    <w:uiPriority w:val="0"/>
    <w:pPr>
      <w:spacing w:line="360" w:lineRule="auto"/>
      <w:ind w:firstLine="482"/>
    </w:pPr>
    <w:rPr>
      <w:rFonts w:ascii="宋体" w:hAnsi="宋体"/>
      <w:sz w:val="24"/>
    </w:rPr>
  </w:style>
  <w:style w:type="paragraph" w:customStyle="1" w:styleId="3881">
    <w:name w:val="正文格式911"/>
    <w:basedOn w:val="1"/>
    <w:qFormat/>
    <w:uiPriority w:val="0"/>
    <w:pPr>
      <w:spacing w:line="360" w:lineRule="auto"/>
      <w:ind w:firstLine="482"/>
    </w:pPr>
    <w:rPr>
      <w:rFonts w:ascii="宋体" w:hAnsi="宋体"/>
      <w:sz w:val="24"/>
    </w:rPr>
  </w:style>
  <w:style w:type="paragraph" w:customStyle="1" w:styleId="3882">
    <w:name w:val="Char4211"/>
    <w:basedOn w:val="1"/>
    <w:qFormat/>
    <w:uiPriority w:val="0"/>
    <w:pPr>
      <w:ind w:left="-48"/>
    </w:pPr>
  </w:style>
  <w:style w:type="paragraph" w:customStyle="1" w:styleId="3883">
    <w:name w:val="Char Char Char Char Char Char Char51"/>
    <w:basedOn w:val="1"/>
    <w:qFormat/>
    <w:uiPriority w:val="0"/>
  </w:style>
  <w:style w:type="paragraph" w:customStyle="1" w:styleId="3884">
    <w:name w:val="Char Char2 Char Char Char Char41"/>
    <w:basedOn w:val="1"/>
    <w:semiHidden/>
    <w:qFormat/>
    <w:uiPriority w:val="0"/>
  </w:style>
  <w:style w:type="paragraph" w:customStyle="1" w:styleId="3885">
    <w:name w:val="Char1611"/>
    <w:basedOn w:val="1"/>
    <w:qFormat/>
    <w:uiPriority w:val="0"/>
    <w:pPr>
      <w:ind w:left="-48"/>
    </w:pPr>
  </w:style>
  <w:style w:type="paragraph" w:customStyle="1" w:styleId="3886">
    <w:name w:val="Char Char Char Char1 Char Char Char211"/>
    <w:basedOn w:val="1"/>
    <w:qFormat/>
    <w:uiPriority w:val="0"/>
    <w:pPr>
      <w:widowControl/>
      <w:spacing w:after="160" w:line="240" w:lineRule="exact"/>
      <w:jc w:val="left"/>
    </w:pPr>
    <w:rPr>
      <w:rFonts w:ascii="Verdana" w:hAnsi="Verdana"/>
      <w:kern w:val="0"/>
      <w:sz w:val="20"/>
      <w:szCs w:val="20"/>
      <w:lang w:eastAsia="en-US"/>
    </w:rPr>
  </w:style>
  <w:style w:type="paragraph" w:customStyle="1" w:styleId="3887">
    <w:name w:val="Char171"/>
    <w:basedOn w:val="1"/>
    <w:qFormat/>
    <w:uiPriority w:val="0"/>
    <w:pPr>
      <w:ind w:left="-48"/>
    </w:pPr>
  </w:style>
  <w:style w:type="paragraph" w:customStyle="1" w:styleId="3888">
    <w:name w:val="Char Char Char Char Char Char Char1311"/>
    <w:basedOn w:val="1"/>
    <w:qFormat/>
    <w:uiPriority w:val="0"/>
  </w:style>
  <w:style w:type="paragraph" w:customStyle="1" w:styleId="3889">
    <w:name w:val="Char2311"/>
    <w:basedOn w:val="1"/>
    <w:qFormat/>
    <w:uiPriority w:val="0"/>
    <w:pPr>
      <w:ind w:left="-48"/>
    </w:pPr>
  </w:style>
  <w:style w:type="paragraph" w:customStyle="1" w:styleId="3890">
    <w:name w:val="Char3311"/>
    <w:basedOn w:val="1"/>
    <w:qFormat/>
    <w:uiPriority w:val="0"/>
    <w:pPr>
      <w:ind w:left="-48"/>
    </w:pPr>
  </w:style>
  <w:style w:type="paragraph" w:customStyle="1" w:styleId="3891">
    <w:name w:val="Char Char Char Char Char Char Char2211"/>
    <w:basedOn w:val="1"/>
    <w:qFormat/>
    <w:uiPriority w:val="0"/>
  </w:style>
  <w:style w:type="paragraph" w:customStyle="1" w:styleId="3892">
    <w:name w:val="Char4311"/>
    <w:basedOn w:val="1"/>
    <w:qFormat/>
    <w:uiPriority w:val="0"/>
    <w:pPr>
      <w:ind w:left="-48"/>
    </w:pPr>
  </w:style>
  <w:style w:type="paragraph" w:customStyle="1" w:styleId="3893">
    <w:name w:val="表格内容11"/>
    <w:qFormat/>
    <w:uiPriority w:val="0"/>
    <w:pPr>
      <w:jc w:val="center"/>
    </w:pPr>
    <w:rPr>
      <w:rFonts w:ascii="Times New Roman" w:hAnsi="Times New Roman" w:eastAsia="宋体" w:cs="Times New Roman"/>
      <w:kern w:val="2"/>
      <w:sz w:val="21"/>
      <w:szCs w:val="21"/>
      <w:lang w:val="en-US" w:eastAsia="zh-CN" w:bidi="ar-SA"/>
    </w:rPr>
  </w:style>
  <w:style w:type="paragraph" w:customStyle="1" w:styleId="3894">
    <w:name w:val="正文格式821"/>
    <w:basedOn w:val="1"/>
    <w:qFormat/>
    <w:uiPriority w:val="0"/>
    <w:pPr>
      <w:spacing w:line="360" w:lineRule="auto"/>
      <w:ind w:firstLine="482"/>
    </w:pPr>
    <w:rPr>
      <w:rFonts w:ascii="宋体" w:hAnsi="宋体"/>
      <w:sz w:val="24"/>
    </w:rPr>
  </w:style>
  <w:style w:type="paragraph" w:customStyle="1" w:styleId="3895">
    <w:name w:val="附件6"/>
    <w:basedOn w:val="4"/>
    <w:next w:val="1192"/>
    <w:qFormat/>
    <w:uiPriority w:val="0"/>
    <w:pPr>
      <w:numPr>
        <w:numId w:val="0"/>
      </w:numPr>
      <w:tabs>
        <w:tab w:val="left" w:pos="1566"/>
      </w:tabs>
      <w:spacing w:afterLines="0" w:line="360" w:lineRule="auto"/>
      <w:jc w:val="both"/>
    </w:pPr>
    <w:rPr>
      <w:rFonts w:ascii="黑体" w:hAnsi="宋体"/>
      <w:sz w:val="32"/>
      <w:szCs w:val="32"/>
    </w:rPr>
  </w:style>
  <w:style w:type="paragraph" w:customStyle="1" w:styleId="3896">
    <w:name w:val="正文格式14"/>
    <w:basedOn w:val="1"/>
    <w:qFormat/>
    <w:uiPriority w:val="0"/>
    <w:pPr>
      <w:spacing w:line="360" w:lineRule="auto"/>
      <w:ind w:firstLine="482"/>
    </w:pPr>
    <w:rPr>
      <w:rFonts w:ascii="宋体" w:hAnsi="宋体"/>
      <w:sz w:val="24"/>
    </w:rPr>
  </w:style>
  <w:style w:type="paragraph" w:customStyle="1" w:styleId="3897">
    <w:name w:val="图题10"/>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898">
    <w:name w:val="标题4315"/>
    <w:basedOn w:val="1"/>
    <w:qFormat/>
    <w:uiPriority w:val="0"/>
    <w:pPr>
      <w:adjustRightInd w:val="0"/>
      <w:snapToGrid w:val="0"/>
      <w:spacing w:line="480" w:lineRule="exact"/>
      <w:jc w:val="center"/>
    </w:pPr>
    <w:rPr>
      <w:rFonts w:ascii="宋体" w:hAnsi="宋体" w:cs="宋体"/>
      <w:sz w:val="24"/>
    </w:rPr>
  </w:style>
  <w:style w:type="paragraph" w:customStyle="1" w:styleId="3899">
    <w:name w:val="燕山正文116"/>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00">
    <w:name w:val="表题413"/>
    <w:basedOn w:val="35"/>
    <w:qFormat/>
    <w:uiPriority w:val="0"/>
    <w:pPr>
      <w:tabs>
        <w:tab w:val="left" w:pos="4305"/>
      </w:tabs>
      <w:adjustRightInd w:val="0"/>
      <w:snapToGrid w:val="0"/>
      <w:ind w:firstLine="0"/>
      <w:jc w:val="center"/>
    </w:pPr>
    <w:rPr>
      <w:rFonts w:ascii="宋体" w:hAnsi="宋体" w:cs="宋体"/>
      <w:color w:val="000000"/>
      <w:sz w:val="24"/>
      <w:szCs w:val="24"/>
    </w:rPr>
  </w:style>
  <w:style w:type="paragraph" w:customStyle="1" w:styleId="3901">
    <w:name w:val="表内5417"/>
    <w:basedOn w:val="1"/>
    <w:qFormat/>
    <w:uiPriority w:val="0"/>
    <w:pPr>
      <w:adjustRightInd w:val="0"/>
      <w:snapToGrid w:val="0"/>
      <w:spacing w:line="300" w:lineRule="auto"/>
      <w:jc w:val="center"/>
    </w:pPr>
    <w:rPr>
      <w:rFonts w:ascii="宋体" w:hAnsi="宋体" w:cs="宋体"/>
      <w:szCs w:val="20"/>
    </w:rPr>
  </w:style>
  <w:style w:type="paragraph" w:customStyle="1" w:styleId="3902">
    <w:name w:val="表内文字小216"/>
    <w:basedOn w:val="1"/>
    <w:qFormat/>
    <w:uiPriority w:val="0"/>
    <w:pPr>
      <w:adjustRightInd w:val="0"/>
      <w:snapToGrid w:val="0"/>
      <w:jc w:val="center"/>
    </w:pPr>
    <w:rPr>
      <w:rFonts w:ascii="宋体" w:hAnsi="Times"/>
      <w:bCs/>
      <w:color w:val="000000"/>
      <w:szCs w:val="20"/>
    </w:rPr>
  </w:style>
  <w:style w:type="paragraph" w:customStyle="1" w:styleId="3903">
    <w:name w:val="表题316"/>
    <w:basedOn w:val="35"/>
    <w:qFormat/>
    <w:uiPriority w:val="0"/>
    <w:pPr>
      <w:tabs>
        <w:tab w:val="left" w:pos="4305"/>
      </w:tabs>
      <w:adjustRightInd w:val="0"/>
      <w:snapToGrid w:val="0"/>
      <w:ind w:firstLine="0"/>
      <w:jc w:val="center"/>
    </w:pPr>
    <w:rPr>
      <w:rFonts w:ascii="宋体" w:hAnsi="宋体"/>
      <w:sz w:val="24"/>
    </w:rPr>
  </w:style>
  <w:style w:type="paragraph" w:customStyle="1" w:styleId="3904">
    <w:name w:val="Char Char Char Char Char Char Char10"/>
    <w:basedOn w:val="1"/>
    <w:qFormat/>
    <w:uiPriority w:val="0"/>
  </w:style>
  <w:style w:type="paragraph" w:customStyle="1" w:styleId="3905">
    <w:name w:val="正文24"/>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3906">
    <w:name w:val="表文字56"/>
    <w:basedOn w:val="1"/>
    <w:qFormat/>
    <w:uiPriority w:val="0"/>
    <w:pPr>
      <w:adjustRightInd w:val="0"/>
      <w:jc w:val="left"/>
    </w:pPr>
    <w:rPr>
      <w:rFonts w:ascii="宋体"/>
      <w:kern w:val="0"/>
      <w:szCs w:val="20"/>
    </w:rPr>
  </w:style>
  <w:style w:type="paragraph" w:customStyle="1" w:styleId="3907">
    <w:name w:val="表内文字小316"/>
    <w:basedOn w:val="1"/>
    <w:qFormat/>
    <w:uiPriority w:val="0"/>
    <w:pPr>
      <w:adjustRightInd w:val="0"/>
      <w:snapToGrid w:val="0"/>
      <w:jc w:val="center"/>
    </w:pPr>
    <w:rPr>
      <w:rFonts w:ascii="宋体" w:hAnsi="Times" w:cs="宋体"/>
      <w:bCs/>
      <w:color w:val="003366"/>
      <w:szCs w:val="20"/>
    </w:rPr>
  </w:style>
  <w:style w:type="paragraph" w:customStyle="1" w:styleId="3908">
    <w:name w:val="表内宋5114"/>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3909">
    <w:name w:val="文本框4"/>
    <w:basedOn w:val="1"/>
    <w:qFormat/>
    <w:uiPriority w:val="0"/>
    <w:pPr>
      <w:adjustRightInd w:val="0"/>
      <w:snapToGrid w:val="0"/>
      <w:spacing w:after="6"/>
      <w:jc w:val="center"/>
    </w:pPr>
    <w:rPr>
      <w:rFonts w:eastAsia="仿宋_GB2312"/>
    </w:rPr>
  </w:style>
  <w:style w:type="paragraph" w:customStyle="1" w:styleId="3910">
    <w:name w:val="正文.4"/>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3911">
    <w:name w:val="表6"/>
    <w:basedOn w:val="1"/>
    <w:qFormat/>
    <w:uiPriority w:val="0"/>
    <w:pPr>
      <w:adjustRightInd w:val="0"/>
      <w:snapToGrid w:val="0"/>
      <w:jc w:val="center"/>
    </w:pPr>
    <w:rPr>
      <w:rFonts w:eastAsia="仿宋_GB2312"/>
      <w:sz w:val="24"/>
    </w:rPr>
  </w:style>
  <w:style w:type="paragraph" w:customStyle="1" w:styleId="3912">
    <w:name w:val="默认段落字体 Para Char Char Char Char8"/>
    <w:basedOn w:val="1"/>
    <w:qFormat/>
    <w:uiPriority w:val="0"/>
  </w:style>
  <w:style w:type="paragraph" w:customStyle="1" w:styleId="3913">
    <w:name w:val="黑体三号7"/>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914">
    <w:name w:val="Char Char2 Char Char Char Char9"/>
    <w:basedOn w:val="1"/>
    <w:semiHidden/>
    <w:qFormat/>
    <w:uiPriority w:val="0"/>
  </w:style>
  <w:style w:type="paragraph" w:customStyle="1" w:styleId="3915">
    <w:name w:val="正文格式＝9"/>
    <w:basedOn w:val="1192"/>
    <w:next w:val="1192"/>
    <w:semiHidden/>
    <w:qFormat/>
    <w:uiPriority w:val="0"/>
    <w:pPr>
      <w:adjustRightInd/>
      <w:snapToGrid/>
      <w:ind w:firstLine="482" w:firstLineChars="0"/>
    </w:pPr>
    <w:rPr>
      <w:rFonts w:hint="eastAsia" w:ascii="宋体" w:hAnsi="宋体"/>
      <w:szCs w:val="24"/>
    </w:rPr>
  </w:style>
  <w:style w:type="paragraph" w:customStyle="1" w:styleId="3916">
    <w:name w:val="Char30"/>
    <w:basedOn w:val="1"/>
    <w:qFormat/>
    <w:uiPriority w:val="0"/>
    <w:pPr>
      <w:ind w:left="-48"/>
    </w:pPr>
  </w:style>
  <w:style w:type="paragraph" w:customStyle="1" w:styleId="3917">
    <w:name w:val="样式15"/>
    <w:basedOn w:val="3083"/>
    <w:qFormat/>
    <w:uiPriority w:val="0"/>
    <w:pPr>
      <w:spacing w:line="240" w:lineRule="auto"/>
      <w:ind w:firstLine="0"/>
      <w:jc w:val="center"/>
    </w:pPr>
    <w:rPr>
      <w:rFonts w:cs="Times New Roman"/>
      <w:b/>
      <w:color w:val="auto"/>
      <w:szCs w:val="20"/>
    </w:rPr>
  </w:style>
  <w:style w:type="paragraph" w:customStyle="1" w:styleId="3918">
    <w:name w:val="表题18"/>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919">
    <w:name w:val="燕山正文7"/>
    <w:basedOn w:val="1"/>
    <w:qFormat/>
    <w:uiPriority w:val="0"/>
    <w:pPr>
      <w:tabs>
        <w:tab w:val="left" w:pos="4680"/>
      </w:tabs>
      <w:adjustRightInd w:val="0"/>
      <w:snapToGrid w:val="0"/>
      <w:spacing w:line="480" w:lineRule="exact"/>
    </w:pPr>
    <w:rPr>
      <w:rFonts w:ascii="宋体" w:cs="宋体"/>
      <w:sz w:val="24"/>
    </w:rPr>
  </w:style>
  <w:style w:type="paragraph" w:customStyle="1" w:styleId="3920">
    <w:name w:val="正文修改7"/>
    <w:basedOn w:val="280"/>
    <w:qFormat/>
    <w:uiPriority w:val="0"/>
    <w:pPr>
      <w:spacing w:line="480" w:lineRule="exact"/>
      <w:ind w:firstLine="0" w:firstLineChars="0"/>
      <w:jc w:val="both"/>
    </w:pPr>
    <w:rPr>
      <w:rFonts w:hint="eastAsia" w:cs="宋体"/>
      <w:szCs w:val="24"/>
    </w:rPr>
  </w:style>
  <w:style w:type="paragraph" w:customStyle="1" w:styleId="3921">
    <w:name w:val="首行缩进:  0.99 厘米 + 首行缩进:  2 字符3"/>
    <w:basedOn w:val="1"/>
    <w:qFormat/>
    <w:uiPriority w:val="0"/>
    <w:pPr>
      <w:widowControl/>
      <w:topLinePunct/>
      <w:snapToGrid w:val="0"/>
      <w:spacing w:line="480" w:lineRule="exact"/>
      <w:ind w:firstLine="420" w:firstLineChars="200"/>
      <w:jc w:val="center"/>
    </w:pPr>
    <w:rPr>
      <w:rFonts w:ascii="宋体" w:cs="宋体"/>
      <w:color w:val="FF0000"/>
      <w:kern w:val="0"/>
      <w:szCs w:val="21"/>
    </w:rPr>
  </w:style>
  <w:style w:type="paragraph" w:customStyle="1" w:styleId="3922">
    <w:name w:val="图表名称3"/>
    <w:basedOn w:val="86"/>
    <w:qFormat/>
    <w:uiPriority w:val="0"/>
    <w:pPr>
      <w:widowControl/>
      <w:autoSpaceDE w:val="0"/>
      <w:autoSpaceDN w:val="0"/>
      <w:adjustRightInd w:val="0"/>
      <w:snapToGrid w:val="0"/>
      <w:spacing w:after="0" w:line="480" w:lineRule="exact"/>
      <w:ind w:firstLine="0" w:firstLineChars="0"/>
      <w:jc w:val="center"/>
    </w:pPr>
    <w:rPr>
      <w:rFonts w:ascii="宋体" w:hAnsi="宋体"/>
      <w:bCs/>
      <w:snapToGrid/>
    </w:rPr>
  </w:style>
  <w:style w:type="paragraph" w:customStyle="1" w:styleId="3923">
    <w:name w:val="表内文字边3"/>
    <w:basedOn w:val="1"/>
    <w:qFormat/>
    <w:uiPriority w:val="0"/>
    <w:pPr>
      <w:widowControl/>
      <w:adjustRightInd w:val="0"/>
      <w:snapToGrid w:val="0"/>
      <w:spacing w:line="240" w:lineRule="atLeast"/>
      <w:ind w:left="-21" w:leftChars="-10" w:right="-42" w:rightChars="-20"/>
    </w:pPr>
    <w:rPr>
      <w:rFonts w:ascii="宋体"/>
      <w:kern w:val="0"/>
      <w:szCs w:val="21"/>
    </w:rPr>
  </w:style>
  <w:style w:type="paragraph" w:customStyle="1" w:styleId="3924">
    <w:name w:val="正文缩3"/>
    <w:basedOn w:val="1"/>
    <w:qFormat/>
    <w:uiPriority w:val="0"/>
    <w:pPr>
      <w:adjustRightInd w:val="0"/>
      <w:snapToGrid w:val="0"/>
      <w:spacing w:line="480" w:lineRule="atLeast"/>
      <w:ind w:firstLine="567"/>
    </w:pPr>
    <w:rPr>
      <w:rFonts w:ascii="宋体"/>
      <w:color w:val="000080"/>
      <w:spacing w:val="6"/>
      <w:kern w:val="0"/>
      <w:sz w:val="28"/>
      <w:szCs w:val="20"/>
    </w:rPr>
  </w:style>
  <w:style w:type="paragraph" w:customStyle="1" w:styleId="3925">
    <w:name w:val="样式23"/>
    <w:basedOn w:val="1"/>
    <w:qFormat/>
    <w:uiPriority w:val="0"/>
    <w:pPr>
      <w:adjustRightInd w:val="0"/>
      <w:spacing w:line="360" w:lineRule="auto"/>
      <w:jc w:val="center"/>
      <w:outlineLvl w:val="0"/>
    </w:pPr>
    <w:rPr>
      <w:kern w:val="0"/>
      <w:szCs w:val="20"/>
    </w:rPr>
  </w:style>
  <w:style w:type="paragraph" w:customStyle="1" w:styleId="3926">
    <w:name w:val="默认段落字体 Para Char Char Char Char Char3"/>
    <w:basedOn w:val="1"/>
    <w:qFormat/>
    <w:uiPriority w:val="0"/>
  </w:style>
  <w:style w:type="paragraph" w:customStyle="1" w:styleId="3927">
    <w:name w:val="表中文字8"/>
    <w:basedOn w:val="1"/>
    <w:qFormat/>
    <w:uiPriority w:val="0"/>
    <w:pPr>
      <w:widowControl/>
      <w:spacing w:line="240" w:lineRule="atLeast"/>
      <w:ind w:left="-24" w:leftChars="-10" w:right="-48" w:rightChars="-20"/>
      <w:jc w:val="center"/>
    </w:pPr>
    <w:rPr>
      <w:rFonts w:ascii="宋体"/>
      <w:kern w:val="0"/>
      <w:szCs w:val="21"/>
    </w:rPr>
  </w:style>
  <w:style w:type="paragraph" w:customStyle="1" w:styleId="3928">
    <w:name w:val="表内宋5中5"/>
    <w:basedOn w:val="1"/>
    <w:qFormat/>
    <w:uiPriority w:val="0"/>
    <w:pPr>
      <w:adjustRightInd w:val="0"/>
      <w:snapToGrid w:val="0"/>
    </w:pPr>
    <w:rPr>
      <w:color w:val="000000"/>
      <w:kern w:val="0"/>
      <w:szCs w:val="20"/>
    </w:rPr>
  </w:style>
  <w:style w:type="paragraph" w:customStyle="1" w:styleId="3929">
    <w:name w:val="样式 标题 3 + 段前: 12 磅3"/>
    <w:basedOn w:val="6"/>
    <w:qFormat/>
    <w:uiPriority w:val="0"/>
    <w:pPr>
      <w:widowControl/>
      <w:numPr>
        <w:ilvl w:val="0"/>
        <w:numId w:val="0"/>
      </w:numPr>
      <w:autoSpaceDE w:val="0"/>
      <w:autoSpaceDN w:val="0"/>
    </w:pPr>
    <w:rPr>
      <w:rFonts w:ascii="黑体" w:hAnsi="宋体" w:cs="宋体"/>
      <w:bCs w:val="0"/>
      <w:color w:val="000000"/>
      <w:kern w:val="21"/>
      <w:sz w:val="24"/>
      <w:szCs w:val="20"/>
    </w:rPr>
  </w:style>
  <w:style w:type="paragraph" w:customStyle="1" w:styleId="3930">
    <w:name w:val="表内文字小5"/>
    <w:basedOn w:val="1"/>
    <w:qFormat/>
    <w:uiPriority w:val="0"/>
    <w:pPr>
      <w:adjustRightInd w:val="0"/>
      <w:snapToGrid w:val="0"/>
      <w:jc w:val="center"/>
    </w:pPr>
    <w:rPr>
      <w:rFonts w:ascii="宋体" w:hAnsi="Times"/>
      <w:szCs w:val="20"/>
    </w:rPr>
  </w:style>
  <w:style w:type="paragraph" w:customStyle="1" w:styleId="3931">
    <w:name w:val="表内55"/>
    <w:basedOn w:val="1"/>
    <w:qFormat/>
    <w:uiPriority w:val="0"/>
    <w:pPr>
      <w:adjustRightInd w:val="0"/>
      <w:snapToGrid w:val="0"/>
      <w:spacing w:line="300" w:lineRule="auto"/>
      <w:jc w:val="left"/>
    </w:pPr>
    <w:rPr>
      <w:rFonts w:ascii="宋体"/>
      <w:sz w:val="18"/>
      <w:szCs w:val="20"/>
    </w:rPr>
  </w:style>
  <w:style w:type="paragraph" w:customStyle="1" w:styleId="3932">
    <w:name w:val="表内宋53"/>
    <w:basedOn w:val="3104"/>
    <w:semiHidden/>
    <w:qFormat/>
    <w:uiPriority w:val="0"/>
    <w:pPr>
      <w:widowControl/>
      <w:autoSpaceDE w:val="0"/>
      <w:autoSpaceDN w:val="0"/>
      <w:jc w:val="left"/>
    </w:pPr>
    <w:rPr>
      <w:color w:val="auto"/>
      <w:w w:val="90"/>
    </w:rPr>
  </w:style>
  <w:style w:type="paragraph" w:customStyle="1" w:styleId="3933">
    <w:name w:val="Char Char Char Char1 Char Char Char6"/>
    <w:basedOn w:val="1"/>
    <w:qFormat/>
    <w:uiPriority w:val="0"/>
    <w:pPr>
      <w:widowControl/>
      <w:spacing w:after="160" w:line="240" w:lineRule="exact"/>
      <w:jc w:val="left"/>
    </w:pPr>
    <w:rPr>
      <w:rFonts w:ascii="Verdana" w:hAnsi="Verdana"/>
      <w:kern w:val="0"/>
      <w:sz w:val="20"/>
      <w:szCs w:val="20"/>
      <w:lang w:eastAsia="en-US"/>
    </w:rPr>
  </w:style>
  <w:style w:type="paragraph" w:customStyle="1" w:styleId="3934">
    <w:name w:val="正文格式15"/>
    <w:basedOn w:val="1"/>
    <w:qFormat/>
    <w:uiPriority w:val="0"/>
    <w:pPr>
      <w:spacing w:line="360" w:lineRule="auto"/>
      <w:ind w:firstLine="482"/>
    </w:pPr>
    <w:rPr>
      <w:rFonts w:ascii="宋体" w:hAnsi="宋体"/>
      <w:sz w:val="24"/>
    </w:rPr>
  </w:style>
  <w:style w:type="paragraph" w:customStyle="1" w:styleId="3935">
    <w:name w:val="图题13"/>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936">
    <w:name w:val="表格内字体14"/>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937">
    <w:name w:val="Char115"/>
    <w:basedOn w:val="1"/>
    <w:qFormat/>
    <w:uiPriority w:val="0"/>
    <w:pPr>
      <w:ind w:left="-48"/>
    </w:pPr>
  </w:style>
  <w:style w:type="paragraph" w:customStyle="1" w:styleId="3938">
    <w:name w:val="正文格式＝13"/>
    <w:basedOn w:val="1192"/>
    <w:next w:val="1192"/>
    <w:semiHidden/>
    <w:qFormat/>
    <w:uiPriority w:val="0"/>
    <w:pPr>
      <w:adjustRightInd/>
      <w:snapToGrid/>
      <w:ind w:firstLine="482" w:firstLineChars="0"/>
    </w:pPr>
    <w:rPr>
      <w:rFonts w:hint="eastAsia" w:ascii="宋体" w:hAnsi="宋体"/>
      <w:szCs w:val="24"/>
    </w:rPr>
  </w:style>
  <w:style w:type="paragraph" w:customStyle="1" w:styleId="3939">
    <w:name w:val="正文格式24"/>
    <w:basedOn w:val="1"/>
    <w:qFormat/>
    <w:uiPriority w:val="0"/>
    <w:pPr>
      <w:spacing w:line="360" w:lineRule="auto"/>
      <w:ind w:firstLine="482"/>
    </w:pPr>
    <w:rPr>
      <w:rFonts w:ascii="宋体" w:hAnsi="宋体"/>
      <w:sz w:val="24"/>
    </w:rPr>
  </w:style>
  <w:style w:type="paragraph" w:customStyle="1" w:styleId="3940">
    <w:name w:val="图题24"/>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941">
    <w:name w:val="表格内字体24"/>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942">
    <w:name w:val="表内54113"/>
    <w:basedOn w:val="1"/>
    <w:qFormat/>
    <w:uiPriority w:val="0"/>
    <w:pPr>
      <w:adjustRightInd w:val="0"/>
      <w:snapToGrid w:val="0"/>
      <w:spacing w:line="300" w:lineRule="auto"/>
      <w:jc w:val="center"/>
    </w:pPr>
    <w:rPr>
      <w:rFonts w:ascii="宋体" w:hAnsi="宋体" w:cs="宋体"/>
      <w:szCs w:val="20"/>
    </w:rPr>
  </w:style>
  <w:style w:type="paragraph" w:customStyle="1" w:styleId="3943">
    <w:name w:val="表内文字小2113"/>
    <w:basedOn w:val="1"/>
    <w:qFormat/>
    <w:uiPriority w:val="0"/>
    <w:pPr>
      <w:adjustRightInd w:val="0"/>
      <w:snapToGrid w:val="0"/>
      <w:jc w:val="center"/>
    </w:pPr>
    <w:rPr>
      <w:rFonts w:ascii="宋体" w:hAnsi="Times"/>
      <w:bCs/>
      <w:color w:val="000000"/>
      <w:szCs w:val="20"/>
    </w:rPr>
  </w:style>
  <w:style w:type="paragraph" w:customStyle="1" w:styleId="3944">
    <w:name w:val="表题3113"/>
    <w:basedOn w:val="35"/>
    <w:qFormat/>
    <w:uiPriority w:val="0"/>
    <w:pPr>
      <w:tabs>
        <w:tab w:val="left" w:pos="4305"/>
      </w:tabs>
      <w:adjustRightInd w:val="0"/>
      <w:snapToGrid w:val="0"/>
      <w:ind w:firstLine="0"/>
      <w:jc w:val="center"/>
    </w:pPr>
    <w:rPr>
      <w:rFonts w:ascii="宋体" w:hAnsi="宋体"/>
      <w:sz w:val="24"/>
    </w:rPr>
  </w:style>
  <w:style w:type="paragraph" w:customStyle="1" w:styleId="3945">
    <w:name w:val="Char Char Char Char Char Char Char18"/>
    <w:basedOn w:val="1"/>
    <w:qFormat/>
    <w:uiPriority w:val="0"/>
  </w:style>
  <w:style w:type="paragraph" w:customStyle="1" w:styleId="3946">
    <w:name w:val="标题43113"/>
    <w:basedOn w:val="1"/>
    <w:qFormat/>
    <w:uiPriority w:val="0"/>
    <w:pPr>
      <w:adjustRightInd w:val="0"/>
      <w:snapToGrid w:val="0"/>
      <w:spacing w:line="480" w:lineRule="exact"/>
      <w:jc w:val="center"/>
    </w:pPr>
    <w:rPr>
      <w:rFonts w:ascii="宋体" w:hAnsi="宋体" w:cs="宋体"/>
      <w:sz w:val="24"/>
    </w:rPr>
  </w:style>
  <w:style w:type="paragraph" w:customStyle="1" w:styleId="3947">
    <w:name w:val="燕山正文111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48">
    <w:name w:val="默认段落字体 Para Char Char Char Char13"/>
    <w:basedOn w:val="1"/>
    <w:qFormat/>
    <w:uiPriority w:val="0"/>
  </w:style>
  <w:style w:type="paragraph" w:customStyle="1" w:styleId="3949">
    <w:name w:val="附件13"/>
    <w:basedOn w:val="4"/>
    <w:next w:val="1192"/>
    <w:qFormat/>
    <w:uiPriority w:val="0"/>
    <w:pPr>
      <w:numPr>
        <w:numId w:val="0"/>
      </w:numPr>
      <w:tabs>
        <w:tab w:val="left" w:pos="1566"/>
      </w:tabs>
      <w:spacing w:afterLines="0" w:line="360" w:lineRule="auto"/>
      <w:jc w:val="both"/>
    </w:pPr>
    <w:rPr>
      <w:rFonts w:ascii="黑体" w:hAnsi="宋体"/>
      <w:b/>
      <w:sz w:val="32"/>
      <w:szCs w:val="32"/>
    </w:rPr>
  </w:style>
  <w:style w:type="paragraph" w:customStyle="1" w:styleId="3950">
    <w:name w:val="黑体三号13"/>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951">
    <w:name w:val="表13"/>
    <w:basedOn w:val="1"/>
    <w:qFormat/>
    <w:uiPriority w:val="0"/>
    <w:pPr>
      <w:adjustRightInd w:val="0"/>
      <w:snapToGrid w:val="0"/>
      <w:jc w:val="center"/>
    </w:pPr>
    <w:rPr>
      <w:rFonts w:eastAsia="仿宋_GB2312"/>
      <w:sz w:val="24"/>
    </w:rPr>
  </w:style>
  <w:style w:type="paragraph" w:customStyle="1" w:styleId="3952">
    <w:name w:val="表题114"/>
    <w:basedOn w:val="23"/>
    <w:qFormat/>
    <w:uiPriority w:val="0"/>
    <w:pPr>
      <w:tabs>
        <w:tab w:val="left" w:pos="1280"/>
      </w:tabs>
      <w:spacing w:beforeLines="50" w:line="360" w:lineRule="auto"/>
      <w:ind w:firstLine="0" w:firstLineChars="0"/>
      <w:jc w:val="center"/>
    </w:pPr>
    <w:rPr>
      <w:rFonts w:ascii="黑体"/>
      <w:snapToGrid/>
      <w:kern w:val="2"/>
      <w:sz w:val="24"/>
      <w:szCs w:val="24"/>
    </w:rPr>
  </w:style>
  <w:style w:type="paragraph" w:customStyle="1" w:styleId="3953">
    <w:name w:val="燕山正文15"/>
    <w:basedOn w:val="1"/>
    <w:qFormat/>
    <w:uiPriority w:val="0"/>
    <w:pPr>
      <w:tabs>
        <w:tab w:val="left" w:pos="4680"/>
      </w:tabs>
      <w:adjustRightInd w:val="0"/>
      <w:snapToGrid w:val="0"/>
      <w:spacing w:line="480" w:lineRule="exact"/>
    </w:pPr>
    <w:rPr>
      <w:rFonts w:ascii="宋体" w:cs="宋体"/>
      <w:sz w:val="24"/>
    </w:rPr>
  </w:style>
  <w:style w:type="paragraph" w:customStyle="1" w:styleId="3954">
    <w:name w:val="正文修改13"/>
    <w:basedOn w:val="280"/>
    <w:qFormat/>
    <w:uiPriority w:val="0"/>
    <w:pPr>
      <w:spacing w:line="480" w:lineRule="exact"/>
      <w:ind w:firstLine="0" w:firstLineChars="0"/>
      <w:jc w:val="both"/>
    </w:pPr>
    <w:rPr>
      <w:rFonts w:hint="eastAsia" w:cs="宋体"/>
      <w:szCs w:val="24"/>
    </w:rPr>
  </w:style>
  <w:style w:type="paragraph" w:customStyle="1" w:styleId="3955">
    <w:name w:val="表中文字14"/>
    <w:basedOn w:val="1"/>
    <w:qFormat/>
    <w:uiPriority w:val="0"/>
    <w:pPr>
      <w:widowControl/>
      <w:spacing w:line="240" w:lineRule="atLeast"/>
      <w:ind w:left="-24" w:leftChars="-10" w:right="-48" w:rightChars="-20"/>
      <w:jc w:val="center"/>
    </w:pPr>
    <w:rPr>
      <w:rFonts w:ascii="宋体"/>
      <w:kern w:val="0"/>
      <w:szCs w:val="21"/>
    </w:rPr>
  </w:style>
  <w:style w:type="paragraph" w:customStyle="1" w:styleId="3956">
    <w:name w:val="表文字514"/>
    <w:basedOn w:val="1"/>
    <w:qFormat/>
    <w:uiPriority w:val="0"/>
    <w:pPr>
      <w:adjustRightInd w:val="0"/>
      <w:jc w:val="left"/>
    </w:pPr>
    <w:rPr>
      <w:rFonts w:ascii="宋体"/>
      <w:kern w:val="0"/>
      <w:szCs w:val="20"/>
    </w:rPr>
  </w:style>
  <w:style w:type="paragraph" w:customStyle="1" w:styleId="3957">
    <w:name w:val="表内文字小3113"/>
    <w:basedOn w:val="1"/>
    <w:qFormat/>
    <w:uiPriority w:val="0"/>
    <w:pPr>
      <w:adjustRightInd w:val="0"/>
      <w:snapToGrid w:val="0"/>
      <w:jc w:val="center"/>
    </w:pPr>
    <w:rPr>
      <w:rFonts w:ascii="宋体" w:hAnsi="Times" w:cs="宋体"/>
      <w:bCs/>
      <w:color w:val="003366"/>
      <w:szCs w:val="20"/>
    </w:rPr>
  </w:style>
  <w:style w:type="paragraph" w:customStyle="1" w:styleId="3958">
    <w:name w:val="样式113"/>
    <w:basedOn w:val="3083"/>
    <w:qFormat/>
    <w:uiPriority w:val="0"/>
    <w:pPr>
      <w:spacing w:line="240" w:lineRule="auto"/>
      <w:ind w:firstLine="0"/>
      <w:jc w:val="center"/>
    </w:pPr>
    <w:rPr>
      <w:rFonts w:cs="Times New Roman"/>
      <w:b/>
      <w:color w:val="auto"/>
      <w:szCs w:val="20"/>
    </w:rPr>
  </w:style>
  <w:style w:type="paragraph" w:customStyle="1" w:styleId="3959">
    <w:name w:val="正文格式＝23"/>
    <w:basedOn w:val="1192"/>
    <w:next w:val="1192"/>
    <w:semiHidden/>
    <w:qFormat/>
    <w:uiPriority w:val="0"/>
    <w:pPr>
      <w:adjustRightInd/>
      <w:snapToGrid/>
      <w:ind w:firstLine="482" w:firstLineChars="0"/>
    </w:pPr>
    <w:rPr>
      <w:rFonts w:hint="eastAsia" w:ascii="宋体" w:hAnsi="宋体"/>
      <w:szCs w:val="24"/>
    </w:rPr>
  </w:style>
  <w:style w:type="paragraph" w:customStyle="1" w:styleId="3960">
    <w:name w:val="Char210"/>
    <w:basedOn w:val="1"/>
    <w:qFormat/>
    <w:uiPriority w:val="0"/>
    <w:pPr>
      <w:ind w:left="-48"/>
    </w:pPr>
  </w:style>
  <w:style w:type="paragraph" w:customStyle="1" w:styleId="3961">
    <w:name w:val="表内文字小25"/>
    <w:basedOn w:val="1"/>
    <w:qFormat/>
    <w:uiPriority w:val="0"/>
    <w:pPr>
      <w:adjustRightInd w:val="0"/>
      <w:snapToGrid w:val="0"/>
      <w:jc w:val="center"/>
    </w:pPr>
    <w:rPr>
      <w:rFonts w:ascii="宋体" w:hAnsi="Times"/>
      <w:bCs/>
      <w:color w:val="000000"/>
      <w:szCs w:val="20"/>
    </w:rPr>
  </w:style>
  <w:style w:type="paragraph" w:customStyle="1" w:styleId="3962">
    <w:name w:val="表内534"/>
    <w:basedOn w:val="1"/>
    <w:qFormat/>
    <w:uiPriority w:val="0"/>
    <w:pPr>
      <w:adjustRightInd w:val="0"/>
      <w:snapToGrid w:val="0"/>
      <w:spacing w:line="300" w:lineRule="auto"/>
      <w:jc w:val="left"/>
    </w:pPr>
    <w:rPr>
      <w:rFonts w:ascii="宋体"/>
      <w:szCs w:val="20"/>
    </w:rPr>
  </w:style>
  <w:style w:type="paragraph" w:customStyle="1" w:styleId="3963">
    <w:name w:val="正文格式33"/>
    <w:basedOn w:val="1"/>
    <w:qFormat/>
    <w:uiPriority w:val="0"/>
    <w:pPr>
      <w:spacing w:line="360" w:lineRule="auto"/>
      <w:ind w:firstLine="482"/>
    </w:pPr>
    <w:rPr>
      <w:rFonts w:ascii="宋体" w:hAnsi="宋体"/>
      <w:sz w:val="24"/>
    </w:rPr>
  </w:style>
  <w:style w:type="paragraph" w:customStyle="1" w:styleId="3964">
    <w:name w:val="图题33"/>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965">
    <w:name w:val="表格内字体33"/>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966">
    <w:name w:val="表内54123"/>
    <w:basedOn w:val="1"/>
    <w:qFormat/>
    <w:uiPriority w:val="0"/>
    <w:pPr>
      <w:adjustRightInd w:val="0"/>
      <w:snapToGrid w:val="0"/>
      <w:spacing w:line="300" w:lineRule="auto"/>
      <w:jc w:val="center"/>
    </w:pPr>
    <w:rPr>
      <w:rFonts w:ascii="宋体" w:hAnsi="宋体" w:cs="宋体"/>
      <w:szCs w:val="20"/>
    </w:rPr>
  </w:style>
  <w:style w:type="paragraph" w:customStyle="1" w:styleId="3967">
    <w:name w:val="表内文字小2123"/>
    <w:basedOn w:val="1"/>
    <w:qFormat/>
    <w:uiPriority w:val="0"/>
    <w:pPr>
      <w:adjustRightInd w:val="0"/>
      <w:snapToGrid w:val="0"/>
      <w:jc w:val="center"/>
    </w:pPr>
    <w:rPr>
      <w:rFonts w:ascii="宋体" w:hAnsi="Times"/>
      <w:bCs/>
      <w:color w:val="000000"/>
      <w:szCs w:val="20"/>
    </w:rPr>
  </w:style>
  <w:style w:type="paragraph" w:customStyle="1" w:styleId="3968">
    <w:name w:val="表题3123"/>
    <w:basedOn w:val="35"/>
    <w:qFormat/>
    <w:uiPriority w:val="0"/>
    <w:pPr>
      <w:tabs>
        <w:tab w:val="left" w:pos="4305"/>
      </w:tabs>
      <w:adjustRightInd w:val="0"/>
      <w:snapToGrid w:val="0"/>
      <w:ind w:firstLine="0"/>
      <w:jc w:val="center"/>
    </w:pPr>
    <w:rPr>
      <w:rFonts w:ascii="宋体" w:hAnsi="宋体"/>
      <w:sz w:val="24"/>
    </w:rPr>
  </w:style>
  <w:style w:type="paragraph" w:customStyle="1" w:styleId="3969">
    <w:name w:val="标题43123"/>
    <w:basedOn w:val="1"/>
    <w:qFormat/>
    <w:uiPriority w:val="0"/>
    <w:pPr>
      <w:adjustRightInd w:val="0"/>
      <w:snapToGrid w:val="0"/>
      <w:spacing w:line="480" w:lineRule="exact"/>
      <w:jc w:val="center"/>
    </w:pPr>
    <w:rPr>
      <w:rFonts w:ascii="宋体" w:hAnsi="宋体" w:cs="宋体"/>
      <w:sz w:val="24"/>
    </w:rPr>
  </w:style>
  <w:style w:type="paragraph" w:customStyle="1" w:styleId="3970">
    <w:name w:val="燕山正文1123"/>
    <w:basedOn w:val="1"/>
    <w:qFormat/>
    <w:uiPriority w:val="0"/>
    <w:pPr>
      <w:tabs>
        <w:tab w:val="left" w:pos="4680"/>
      </w:tabs>
      <w:adjustRightInd w:val="0"/>
      <w:snapToGrid w:val="0"/>
      <w:spacing w:line="480" w:lineRule="exact"/>
    </w:pPr>
    <w:rPr>
      <w:rFonts w:ascii="宋体" w:hAnsi="宋体" w:cs="宋体"/>
      <w:bCs/>
      <w:color w:val="000000"/>
      <w:sz w:val="24"/>
    </w:rPr>
  </w:style>
  <w:style w:type="paragraph" w:customStyle="1" w:styleId="3971">
    <w:name w:val="默认段落字体 Para Char Char Char Char23"/>
    <w:basedOn w:val="1"/>
    <w:qFormat/>
    <w:uiPriority w:val="0"/>
  </w:style>
  <w:style w:type="paragraph" w:customStyle="1" w:styleId="3972">
    <w:name w:val="附件23"/>
    <w:basedOn w:val="4"/>
    <w:next w:val="1192"/>
    <w:qFormat/>
    <w:uiPriority w:val="0"/>
    <w:pPr>
      <w:numPr>
        <w:numId w:val="0"/>
      </w:numPr>
      <w:tabs>
        <w:tab w:val="left" w:pos="1566"/>
      </w:tabs>
      <w:spacing w:afterLines="0" w:line="360" w:lineRule="auto"/>
      <w:jc w:val="both"/>
    </w:pPr>
    <w:rPr>
      <w:rFonts w:ascii="黑体" w:hAnsi="宋体"/>
      <w:b/>
      <w:sz w:val="32"/>
      <w:szCs w:val="32"/>
    </w:rPr>
  </w:style>
  <w:style w:type="paragraph" w:customStyle="1" w:styleId="3973">
    <w:name w:val="黑体三号23"/>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3974">
    <w:name w:val="表23"/>
    <w:basedOn w:val="1"/>
    <w:qFormat/>
    <w:uiPriority w:val="0"/>
    <w:pPr>
      <w:adjustRightInd w:val="0"/>
      <w:snapToGrid w:val="0"/>
      <w:jc w:val="center"/>
    </w:pPr>
    <w:rPr>
      <w:rFonts w:eastAsia="仿宋_GB2312"/>
      <w:sz w:val="24"/>
    </w:rPr>
  </w:style>
  <w:style w:type="paragraph" w:customStyle="1" w:styleId="3975">
    <w:name w:val="燕山正文23"/>
    <w:basedOn w:val="1"/>
    <w:qFormat/>
    <w:uiPriority w:val="0"/>
    <w:pPr>
      <w:tabs>
        <w:tab w:val="left" w:pos="4680"/>
      </w:tabs>
      <w:adjustRightInd w:val="0"/>
      <w:snapToGrid w:val="0"/>
      <w:spacing w:line="480" w:lineRule="exact"/>
    </w:pPr>
    <w:rPr>
      <w:rFonts w:ascii="宋体" w:cs="宋体"/>
      <w:sz w:val="24"/>
    </w:rPr>
  </w:style>
  <w:style w:type="paragraph" w:customStyle="1" w:styleId="3976">
    <w:name w:val="正文修改23"/>
    <w:basedOn w:val="280"/>
    <w:qFormat/>
    <w:uiPriority w:val="0"/>
    <w:pPr>
      <w:spacing w:line="480" w:lineRule="exact"/>
      <w:ind w:firstLine="0" w:firstLineChars="0"/>
      <w:jc w:val="both"/>
    </w:pPr>
    <w:rPr>
      <w:rFonts w:hint="eastAsia" w:cs="宋体"/>
      <w:szCs w:val="24"/>
    </w:rPr>
  </w:style>
  <w:style w:type="paragraph" w:customStyle="1" w:styleId="3977">
    <w:name w:val="表中文字23"/>
    <w:basedOn w:val="1"/>
    <w:qFormat/>
    <w:uiPriority w:val="0"/>
    <w:pPr>
      <w:widowControl/>
      <w:adjustRightInd w:val="0"/>
      <w:spacing w:line="240" w:lineRule="atLeast"/>
      <w:ind w:right="-42" w:rightChars="-20"/>
      <w:jc w:val="center"/>
    </w:pPr>
    <w:rPr>
      <w:rFonts w:ascii="宋体"/>
      <w:kern w:val="0"/>
      <w:szCs w:val="21"/>
    </w:rPr>
  </w:style>
  <w:style w:type="paragraph" w:customStyle="1" w:styleId="3978">
    <w:name w:val="表内文字小3123"/>
    <w:basedOn w:val="1"/>
    <w:qFormat/>
    <w:uiPriority w:val="0"/>
    <w:pPr>
      <w:adjustRightInd w:val="0"/>
      <w:snapToGrid w:val="0"/>
      <w:jc w:val="center"/>
    </w:pPr>
    <w:rPr>
      <w:rFonts w:ascii="宋体" w:hAnsi="Times" w:cs="宋体"/>
      <w:bCs/>
      <w:color w:val="003366"/>
      <w:szCs w:val="20"/>
    </w:rPr>
  </w:style>
  <w:style w:type="paragraph" w:customStyle="1" w:styleId="3979">
    <w:name w:val="正文格式＝33"/>
    <w:basedOn w:val="1192"/>
    <w:next w:val="1192"/>
    <w:semiHidden/>
    <w:qFormat/>
    <w:uiPriority w:val="0"/>
    <w:pPr>
      <w:adjustRightInd/>
      <w:snapToGrid/>
      <w:ind w:firstLine="482" w:firstLineChars="0"/>
    </w:pPr>
    <w:rPr>
      <w:rFonts w:hint="eastAsia" w:ascii="宋体" w:hAnsi="宋体"/>
      <w:szCs w:val="24"/>
    </w:rPr>
  </w:style>
  <w:style w:type="paragraph" w:customStyle="1" w:styleId="3980">
    <w:name w:val="表内文字小223"/>
    <w:basedOn w:val="1"/>
    <w:qFormat/>
    <w:uiPriority w:val="0"/>
    <w:pPr>
      <w:adjustRightInd w:val="0"/>
      <w:snapToGrid w:val="0"/>
      <w:jc w:val="center"/>
    </w:pPr>
    <w:rPr>
      <w:rFonts w:ascii="宋体" w:hAnsi="Times"/>
      <w:bCs/>
      <w:color w:val="000000"/>
      <w:szCs w:val="20"/>
    </w:rPr>
  </w:style>
  <w:style w:type="paragraph" w:customStyle="1" w:styleId="3981">
    <w:name w:val="正文格式213"/>
    <w:basedOn w:val="1"/>
    <w:qFormat/>
    <w:uiPriority w:val="0"/>
    <w:pPr>
      <w:spacing w:line="360" w:lineRule="auto"/>
      <w:ind w:firstLine="482"/>
    </w:pPr>
    <w:rPr>
      <w:rFonts w:ascii="宋体" w:hAnsi="宋体"/>
      <w:sz w:val="24"/>
    </w:rPr>
  </w:style>
  <w:style w:type="paragraph" w:customStyle="1" w:styleId="3982">
    <w:name w:val="表格内字体213"/>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983">
    <w:name w:val="表中文字113"/>
    <w:basedOn w:val="1"/>
    <w:qFormat/>
    <w:uiPriority w:val="0"/>
    <w:pPr>
      <w:widowControl/>
      <w:spacing w:line="240" w:lineRule="atLeast"/>
      <w:ind w:left="-24" w:leftChars="-10" w:right="-48" w:rightChars="-20"/>
      <w:jc w:val="center"/>
    </w:pPr>
    <w:rPr>
      <w:rFonts w:ascii="宋体"/>
      <w:kern w:val="0"/>
      <w:szCs w:val="21"/>
    </w:rPr>
  </w:style>
  <w:style w:type="paragraph" w:customStyle="1" w:styleId="3984">
    <w:name w:val="表文字5113"/>
    <w:basedOn w:val="1"/>
    <w:qFormat/>
    <w:uiPriority w:val="0"/>
    <w:pPr>
      <w:adjustRightInd w:val="0"/>
      <w:jc w:val="left"/>
    </w:pPr>
    <w:rPr>
      <w:rFonts w:ascii="宋体"/>
      <w:kern w:val="0"/>
      <w:szCs w:val="20"/>
    </w:rPr>
  </w:style>
  <w:style w:type="paragraph" w:customStyle="1" w:styleId="3985">
    <w:name w:val="默认段落字体 Para Char7"/>
    <w:basedOn w:val="1"/>
    <w:qFormat/>
    <w:uiPriority w:val="0"/>
    <w:pPr>
      <w:spacing w:line="360" w:lineRule="auto"/>
      <w:ind w:firstLine="200" w:firstLineChars="200"/>
    </w:pPr>
    <w:rPr>
      <w:rFonts w:ascii="宋体" w:hAnsi="宋体" w:cs="宋体"/>
      <w:sz w:val="24"/>
    </w:rPr>
  </w:style>
  <w:style w:type="paragraph" w:customStyle="1" w:styleId="3986">
    <w:name w:val="正文格式43"/>
    <w:basedOn w:val="1"/>
    <w:qFormat/>
    <w:uiPriority w:val="0"/>
    <w:pPr>
      <w:spacing w:line="360" w:lineRule="auto"/>
      <w:ind w:firstLine="482"/>
    </w:pPr>
    <w:rPr>
      <w:rFonts w:ascii="宋体" w:hAnsi="宋体"/>
      <w:sz w:val="24"/>
    </w:rPr>
  </w:style>
  <w:style w:type="paragraph" w:customStyle="1" w:styleId="3987">
    <w:name w:val="图题43"/>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988">
    <w:name w:val="表格内字体43"/>
    <w:basedOn w:val="1192"/>
    <w:next w:val="1192"/>
    <w:qFormat/>
    <w:uiPriority w:val="0"/>
    <w:pPr>
      <w:adjustRightInd/>
      <w:snapToGrid/>
      <w:spacing w:line="240" w:lineRule="auto"/>
      <w:ind w:firstLine="0" w:firstLineChars="0"/>
      <w:jc w:val="center"/>
    </w:pPr>
    <w:rPr>
      <w:rFonts w:hint="eastAsia" w:ascii="宋体" w:hAnsi="宋体"/>
      <w:sz w:val="21"/>
      <w:szCs w:val="24"/>
    </w:rPr>
  </w:style>
  <w:style w:type="paragraph" w:customStyle="1" w:styleId="3989">
    <w:name w:val="Char48"/>
    <w:basedOn w:val="1"/>
    <w:qFormat/>
    <w:uiPriority w:val="0"/>
    <w:pPr>
      <w:ind w:left="-48"/>
    </w:pPr>
  </w:style>
  <w:style w:type="paragraph" w:customStyle="1" w:styleId="3990">
    <w:name w:val="正文格式＝43"/>
    <w:basedOn w:val="1192"/>
    <w:next w:val="1192"/>
    <w:semiHidden/>
    <w:qFormat/>
    <w:uiPriority w:val="0"/>
    <w:pPr>
      <w:adjustRightInd/>
      <w:snapToGrid/>
      <w:ind w:firstLine="482" w:firstLineChars="0"/>
    </w:pPr>
    <w:rPr>
      <w:rFonts w:hint="eastAsia" w:ascii="宋体" w:hAnsi="宋体"/>
      <w:szCs w:val="24"/>
    </w:rPr>
  </w:style>
  <w:style w:type="paragraph" w:customStyle="1" w:styleId="3991">
    <w:name w:val="表题133"/>
    <w:basedOn w:val="23"/>
    <w:qFormat/>
    <w:uiPriority w:val="0"/>
    <w:pPr>
      <w:tabs>
        <w:tab w:val="left" w:pos="1280"/>
      </w:tabs>
      <w:spacing w:beforeLines="50" w:line="360" w:lineRule="auto"/>
      <w:ind w:firstLine="0" w:firstLineChars="0"/>
      <w:jc w:val="center"/>
    </w:pPr>
    <w:rPr>
      <w:rFonts w:ascii="黑体"/>
      <w:b/>
      <w:snapToGrid/>
      <w:kern w:val="2"/>
      <w:sz w:val="24"/>
      <w:szCs w:val="24"/>
    </w:rPr>
  </w:style>
  <w:style w:type="paragraph" w:customStyle="1" w:styleId="3992">
    <w:name w:val="默认段落字体 Para Char1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3993">
    <w:name w:val="23-47表名3"/>
    <w:basedOn w:val="1"/>
    <w:qFormat/>
    <w:uiPriority w:val="0"/>
    <w:pPr>
      <w:spacing w:line="440" w:lineRule="exact"/>
      <w:jc w:val="center"/>
    </w:pPr>
    <w:rPr>
      <w:rFonts w:ascii="宋体" w:hAnsi="宋体"/>
      <w:b/>
      <w:sz w:val="24"/>
    </w:rPr>
  </w:style>
  <w:style w:type="paragraph" w:customStyle="1" w:styleId="3994">
    <w:name w:val="xl243"/>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995">
    <w:name w:val="Char53"/>
    <w:basedOn w:val="1"/>
    <w:qFormat/>
    <w:uiPriority w:val="0"/>
    <w:pPr>
      <w:adjustRightInd w:val="0"/>
      <w:snapToGrid w:val="0"/>
      <w:ind w:left="-45"/>
    </w:pPr>
  </w:style>
  <w:style w:type="paragraph" w:customStyle="1" w:styleId="3996">
    <w:name w:val="燕山正文1133"/>
    <w:basedOn w:val="1"/>
    <w:qFormat/>
    <w:uiPriority w:val="0"/>
    <w:pPr>
      <w:tabs>
        <w:tab w:val="left" w:pos="4680"/>
      </w:tabs>
      <w:adjustRightInd w:val="0"/>
      <w:snapToGrid w:val="0"/>
      <w:spacing w:line="360" w:lineRule="auto"/>
      <w:ind w:firstLine="480" w:firstLineChars="200"/>
    </w:pPr>
    <w:rPr>
      <w:rFonts w:ascii="宋体" w:hAnsi="宋体" w:cs="宋体"/>
      <w:bCs/>
      <w:color w:val="000000"/>
      <w:kern w:val="0"/>
      <w:sz w:val="24"/>
    </w:rPr>
  </w:style>
  <w:style w:type="paragraph" w:customStyle="1" w:styleId="3997">
    <w:name w:val="图题53"/>
    <w:basedOn w:val="1192"/>
    <w:next w:val="1192"/>
    <w:qFormat/>
    <w:uiPriority w:val="0"/>
    <w:pPr>
      <w:adjustRightInd/>
      <w:snapToGrid/>
      <w:ind w:firstLine="0" w:firstLineChars="0"/>
      <w:jc w:val="center"/>
    </w:pPr>
    <w:rPr>
      <w:rFonts w:hint="eastAsia" w:ascii="黑体" w:hAnsi="宋体" w:eastAsia="黑体" w:cs="宋体"/>
      <w:b/>
      <w:bCs/>
      <w:szCs w:val="24"/>
    </w:rPr>
  </w:style>
  <w:style w:type="paragraph" w:customStyle="1" w:styleId="3998">
    <w:name w:val="表格内字体53"/>
    <w:basedOn w:val="1192"/>
    <w:next w:val="1192"/>
    <w:qFormat/>
    <w:uiPriority w:val="0"/>
    <w:pPr>
      <w:spacing w:line="240" w:lineRule="auto"/>
      <w:ind w:firstLine="0" w:firstLineChars="0"/>
    </w:pPr>
    <w:rPr>
      <w:rFonts w:hint="eastAsia" w:ascii="宋体" w:hAnsi="宋体"/>
      <w:sz w:val="21"/>
      <w:szCs w:val="24"/>
    </w:rPr>
  </w:style>
  <w:style w:type="paragraph" w:customStyle="1" w:styleId="3999">
    <w:name w:val="表33"/>
    <w:basedOn w:val="1"/>
    <w:qFormat/>
    <w:uiPriority w:val="0"/>
    <w:pPr>
      <w:adjustRightInd w:val="0"/>
      <w:snapToGrid w:val="0"/>
      <w:jc w:val="center"/>
    </w:pPr>
    <w:rPr>
      <w:rFonts w:eastAsia="仿宋_GB2312"/>
      <w:sz w:val="24"/>
    </w:rPr>
  </w:style>
  <w:style w:type="paragraph" w:customStyle="1" w:styleId="4000">
    <w:name w:val="文本框13"/>
    <w:basedOn w:val="1"/>
    <w:qFormat/>
    <w:uiPriority w:val="0"/>
    <w:pPr>
      <w:adjustRightInd w:val="0"/>
      <w:snapToGrid w:val="0"/>
      <w:spacing w:after="6"/>
      <w:jc w:val="center"/>
    </w:pPr>
    <w:rPr>
      <w:rFonts w:eastAsia="仿宋_GB2312"/>
    </w:rPr>
  </w:style>
  <w:style w:type="paragraph" w:customStyle="1" w:styleId="4001">
    <w:name w:val="表内宋51113"/>
    <w:basedOn w:val="81"/>
    <w:qFormat/>
    <w:uiPriority w:val="0"/>
    <w:pPr>
      <w:adjustRightInd w:val="0"/>
      <w:snapToGrid w:val="0"/>
      <w:spacing w:before="0" w:beforeAutospacing="0" w:after="0" w:afterAutospacing="0"/>
      <w:jc w:val="both"/>
    </w:pPr>
    <w:rPr>
      <w:rFonts w:hint="eastAsia"/>
      <w:color w:val="000000"/>
      <w:kern w:val="2"/>
      <w:sz w:val="21"/>
    </w:rPr>
  </w:style>
  <w:style w:type="paragraph" w:customStyle="1" w:styleId="4002">
    <w:name w:val="表内文字小3133"/>
    <w:basedOn w:val="1"/>
    <w:qFormat/>
    <w:uiPriority w:val="0"/>
    <w:pPr>
      <w:adjustRightInd w:val="0"/>
      <w:snapToGrid w:val="0"/>
      <w:jc w:val="center"/>
    </w:pPr>
    <w:rPr>
      <w:rFonts w:ascii="宋体" w:hAnsi="Times" w:cs="宋体"/>
      <w:bCs/>
      <w:color w:val="003366"/>
      <w:szCs w:val="20"/>
    </w:rPr>
  </w:style>
  <w:style w:type="paragraph" w:customStyle="1" w:styleId="4003">
    <w:name w:val="表文字533"/>
    <w:basedOn w:val="1"/>
    <w:qFormat/>
    <w:uiPriority w:val="0"/>
    <w:pPr>
      <w:adjustRightInd w:val="0"/>
      <w:jc w:val="left"/>
    </w:pPr>
    <w:rPr>
      <w:rFonts w:ascii="宋体"/>
      <w:kern w:val="0"/>
      <w:szCs w:val="20"/>
    </w:rPr>
  </w:style>
  <w:style w:type="paragraph" w:customStyle="1" w:styleId="4004">
    <w:name w:val="正文213"/>
    <w:semiHidden/>
    <w:qFormat/>
    <w:uiPriority w:val="0"/>
    <w:pPr>
      <w:adjustRightInd w:val="0"/>
      <w:snapToGrid w:val="0"/>
      <w:spacing w:line="480" w:lineRule="atLeast"/>
      <w:jc w:val="center"/>
    </w:pPr>
    <w:rPr>
      <w:rFonts w:ascii="宋体" w:hAnsi="Times New Roman" w:eastAsia="宋体" w:cs="Times New Roman"/>
      <w:spacing w:val="6"/>
      <w:sz w:val="21"/>
      <w:lang w:val="en-US" w:eastAsia="zh-CN" w:bidi="ar-SA"/>
    </w:rPr>
  </w:style>
  <w:style w:type="paragraph" w:customStyle="1" w:styleId="4005">
    <w:name w:val="Char Char Char Char Char Char Char26"/>
    <w:basedOn w:val="1"/>
    <w:qFormat/>
    <w:uiPriority w:val="0"/>
  </w:style>
  <w:style w:type="paragraph" w:customStyle="1" w:styleId="4006">
    <w:name w:val="表题3133"/>
    <w:basedOn w:val="35"/>
    <w:qFormat/>
    <w:uiPriority w:val="0"/>
    <w:pPr>
      <w:tabs>
        <w:tab w:val="left" w:pos="4305"/>
      </w:tabs>
      <w:adjustRightInd w:val="0"/>
      <w:snapToGrid w:val="0"/>
      <w:ind w:firstLine="0"/>
      <w:jc w:val="center"/>
    </w:pPr>
    <w:rPr>
      <w:rFonts w:ascii="宋体" w:hAnsi="宋体"/>
      <w:sz w:val="24"/>
    </w:rPr>
  </w:style>
  <w:style w:type="paragraph" w:customStyle="1" w:styleId="4007">
    <w:name w:val="表内文字小2133"/>
    <w:basedOn w:val="1"/>
    <w:qFormat/>
    <w:uiPriority w:val="0"/>
    <w:pPr>
      <w:adjustRightInd w:val="0"/>
      <w:snapToGrid w:val="0"/>
      <w:jc w:val="center"/>
    </w:pPr>
    <w:rPr>
      <w:rFonts w:ascii="宋体" w:hAnsi="Times"/>
      <w:bCs/>
      <w:color w:val="000000"/>
      <w:szCs w:val="20"/>
    </w:rPr>
  </w:style>
  <w:style w:type="paragraph" w:customStyle="1" w:styleId="4008">
    <w:name w:val="燕山正文33"/>
    <w:basedOn w:val="1"/>
    <w:qFormat/>
    <w:uiPriority w:val="0"/>
    <w:pPr>
      <w:tabs>
        <w:tab w:val="left" w:pos="4680"/>
      </w:tabs>
      <w:adjustRightInd w:val="0"/>
      <w:snapToGrid w:val="0"/>
      <w:spacing w:line="480" w:lineRule="exact"/>
    </w:pPr>
    <w:rPr>
      <w:rFonts w:ascii="宋体" w:cs="宋体"/>
      <w:sz w:val="24"/>
    </w:rPr>
  </w:style>
  <w:style w:type="paragraph" w:customStyle="1" w:styleId="4009">
    <w:name w:val="正文修改33"/>
    <w:basedOn w:val="280"/>
    <w:qFormat/>
    <w:uiPriority w:val="0"/>
    <w:pPr>
      <w:spacing w:line="480" w:lineRule="exact"/>
      <w:ind w:firstLine="0" w:firstLineChars="0"/>
      <w:jc w:val="both"/>
    </w:pPr>
    <w:rPr>
      <w:rFonts w:hint="eastAsia" w:cs="宋体"/>
      <w:szCs w:val="24"/>
    </w:rPr>
  </w:style>
  <w:style w:type="paragraph" w:customStyle="1" w:styleId="4010">
    <w:name w:val="黑体三号33"/>
    <w:basedOn w:val="1192"/>
    <w:qFormat/>
    <w:uiPriority w:val="0"/>
    <w:pPr>
      <w:adjustRightInd/>
      <w:snapToGrid/>
      <w:ind w:firstLine="482" w:firstLineChars="0"/>
      <w:jc w:val="center"/>
    </w:pPr>
    <w:rPr>
      <w:rFonts w:hint="eastAsia" w:ascii="黑体" w:hAnsi="宋体" w:eastAsia="黑体" w:cs="宋体"/>
      <w:b/>
      <w:bCs/>
      <w:sz w:val="32"/>
      <w:szCs w:val="20"/>
    </w:rPr>
  </w:style>
  <w:style w:type="paragraph" w:customStyle="1" w:styleId="4011">
    <w:name w:val="默认段落字体 Para Char Char Char Char33"/>
    <w:basedOn w:val="1"/>
    <w:qFormat/>
    <w:uiPriority w:val="0"/>
  </w:style>
  <w:style w:type="paragraph" w:customStyle="1" w:styleId="4012">
    <w:name w:val="表内54133"/>
    <w:basedOn w:val="1"/>
    <w:qFormat/>
    <w:uiPriority w:val="0"/>
    <w:pPr>
      <w:adjustRightInd w:val="0"/>
      <w:snapToGrid w:val="0"/>
      <w:spacing w:line="300" w:lineRule="auto"/>
      <w:jc w:val="center"/>
    </w:pPr>
    <w:rPr>
      <w:rFonts w:ascii="宋体" w:hAnsi="宋体" w:cs="宋体"/>
      <w:szCs w:val="20"/>
    </w:rPr>
  </w:style>
  <w:style w:type="paragraph" w:customStyle="1" w:styleId="4013">
    <w:name w:val="标题44"/>
    <w:basedOn w:val="1"/>
    <w:qFormat/>
    <w:uiPriority w:val="0"/>
    <w:pPr>
      <w:adjustRightInd w:val="0"/>
      <w:snapToGrid w:val="0"/>
      <w:spacing w:line="300" w:lineRule="auto"/>
      <w:jc w:val="left"/>
    </w:pPr>
    <w:rPr>
      <w:rFonts w:ascii="黑体" w:eastAsia="黑体"/>
      <w:bCs/>
      <w:sz w:val="24"/>
    </w:rPr>
  </w:style>
  <w:style w:type="paragraph" w:customStyle="1" w:styleId="4014">
    <w:name w:val="Char63"/>
    <w:basedOn w:val="1"/>
    <w:qFormat/>
    <w:uiPriority w:val="0"/>
    <w:pPr>
      <w:adjustRightInd w:val="0"/>
      <w:snapToGrid w:val="0"/>
      <w:spacing w:beforeLines="50" w:line="360" w:lineRule="auto"/>
    </w:pPr>
    <w:rPr>
      <w:rFonts w:ascii="黑体" w:eastAsia="黑体"/>
      <w:sz w:val="32"/>
      <w:szCs w:val="32"/>
    </w:rPr>
  </w:style>
  <w:style w:type="paragraph" w:customStyle="1" w:styleId="4015">
    <w:name w:val="表内宋5中113"/>
    <w:basedOn w:val="1"/>
    <w:qFormat/>
    <w:uiPriority w:val="0"/>
    <w:pPr>
      <w:adjustRightInd w:val="0"/>
      <w:snapToGrid w:val="0"/>
      <w:jc w:val="center"/>
    </w:pPr>
    <w:rPr>
      <w:rFonts w:ascii="宋体" w:hAnsi="宋体" w:cs="宋体"/>
      <w:kern w:val="0"/>
      <w:szCs w:val="20"/>
    </w:rPr>
  </w:style>
  <w:style w:type="paragraph" w:customStyle="1" w:styleId="4016">
    <w:name w:val="标题4113"/>
    <w:basedOn w:val="1"/>
    <w:qFormat/>
    <w:uiPriority w:val="0"/>
    <w:pPr>
      <w:adjustRightInd w:val="0"/>
      <w:snapToGrid w:val="0"/>
      <w:spacing w:line="300" w:lineRule="auto"/>
      <w:jc w:val="left"/>
    </w:pPr>
    <w:rPr>
      <w:rFonts w:ascii="黑体" w:hAnsi="宋体" w:eastAsia="黑体" w:cs="宋体"/>
      <w:bCs/>
      <w:sz w:val="24"/>
      <w:szCs w:val="20"/>
    </w:rPr>
  </w:style>
  <w:style w:type="paragraph" w:customStyle="1" w:styleId="4017">
    <w:name w:val="默认段落字体 Para Char23"/>
    <w:basedOn w:val="1"/>
    <w:next w:val="1"/>
    <w:qFormat/>
    <w:uiPriority w:val="0"/>
    <w:pPr>
      <w:spacing w:line="480" w:lineRule="exact"/>
      <w:ind w:firstLine="200" w:firstLineChars="200"/>
      <w:jc w:val="left"/>
    </w:pPr>
    <w:rPr>
      <w:rFonts w:ascii="宋体" w:hAnsi="宋体" w:eastAsia="汉鼎简书宋" w:cs="宋体"/>
      <w:sz w:val="28"/>
    </w:rPr>
  </w:style>
  <w:style w:type="paragraph" w:customStyle="1" w:styleId="4018">
    <w:name w:val="表内5中5"/>
    <w:basedOn w:val="1"/>
    <w:qFormat/>
    <w:uiPriority w:val="0"/>
    <w:pPr>
      <w:adjustRightInd w:val="0"/>
      <w:snapToGrid w:val="0"/>
      <w:jc w:val="center"/>
    </w:pPr>
    <w:rPr>
      <w:rFonts w:ascii="宋体" w:hAnsi="宋体" w:cs="Arial"/>
      <w:color w:val="000000"/>
      <w:szCs w:val="21"/>
    </w:rPr>
  </w:style>
  <w:style w:type="paragraph" w:customStyle="1" w:styleId="4019">
    <w:name w:val="Char Char312"/>
    <w:basedOn w:val="1"/>
    <w:qFormat/>
    <w:uiPriority w:val="0"/>
    <w:pPr>
      <w:tabs>
        <w:tab w:val="left" w:pos="432"/>
      </w:tabs>
      <w:ind w:left="432" w:hanging="432"/>
    </w:pPr>
    <w:rPr>
      <w:rFonts w:ascii="Tahoma" w:hAnsi="Tahoma"/>
      <w:sz w:val="24"/>
      <w:szCs w:val="20"/>
    </w:rPr>
  </w:style>
  <w:style w:type="character" w:customStyle="1" w:styleId="4020">
    <w:name w:val="标题 1 Char3"/>
    <w:qFormat/>
    <w:uiPriority w:val="0"/>
    <w:rPr>
      <w:rFonts w:ascii="Times New Roman" w:hAnsi="Times New Roman"/>
      <w:kern w:val="2"/>
      <w:sz w:val="28"/>
      <w:szCs w:val="28"/>
    </w:rPr>
  </w:style>
  <w:style w:type="paragraph" w:customStyle="1" w:styleId="4021">
    <w:name w:val="Char Char311"/>
    <w:basedOn w:val="1"/>
    <w:qFormat/>
    <w:uiPriority w:val="0"/>
    <w:pPr>
      <w:tabs>
        <w:tab w:val="left" w:pos="432"/>
      </w:tabs>
      <w:ind w:left="432" w:hanging="432"/>
    </w:pPr>
    <w:rPr>
      <w:rFonts w:ascii="Tahoma" w:hAnsi="Tahoma"/>
      <w:sz w:val="24"/>
      <w:szCs w:val="20"/>
    </w:rPr>
  </w:style>
  <w:style w:type="character" w:customStyle="1" w:styleId="4022">
    <w:name w:val="Footer Char"/>
    <w:qFormat/>
    <w:uiPriority w:val="0"/>
    <w:rPr>
      <w:rFonts w:cs="Times New Roman"/>
      <w:sz w:val="18"/>
      <w:szCs w:val="18"/>
    </w:rPr>
  </w:style>
  <w:style w:type="character" w:customStyle="1" w:styleId="4023">
    <w:name w:val="正文非缩进 Char1"/>
    <w:qFormat/>
    <w:uiPriority w:val="0"/>
    <w:rPr>
      <w:rFonts w:eastAsia="宋体"/>
      <w:kern w:val="2"/>
      <w:sz w:val="21"/>
      <w:szCs w:val="24"/>
      <w:lang w:val="en-US" w:eastAsia="zh-CN" w:bidi="ar-SA"/>
    </w:rPr>
  </w:style>
  <w:style w:type="character" w:customStyle="1" w:styleId="4024">
    <w:name w:val="样式 正文 Char"/>
    <w:qFormat/>
    <w:uiPriority w:val="0"/>
    <w:rPr>
      <w:rFonts w:ascii="宋体" w:hAnsi="宋体" w:eastAsia="宋体" w:cs="宋体"/>
      <w:color w:val="000000"/>
      <w:kern w:val="2"/>
      <w:sz w:val="28"/>
      <w:szCs w:val="28"/>
      <w:lang w:val="en-US" w:eastAsia="zh-CN" w:bidi="ar-SA"/>
    </w:rPr>
  </w:style>
  <w:style w:type="character" w:customStyle="1" w:styleId="4025">
    <w:name w:val="正文缩进1 Char Char Ch"/>
    <w:qFormat/>
    <w:uiPriority w:val="0"/>
    <w:rPr>
      <w:rFonts w:ascii="宋体" w:eastAsia="宋体"/>
      <w:sz w:val="24"/>
      <w:lang w:val="en-US" w:eastAsia="zh-CN" w:bidi="ar-SA"/>
    </w:rPr>
  </w:style>
  <w:style w:type="character" w:customStyle="1" w:styleId="4026">
    <w:name w:val="Char Char144"/>
    <w:qFormat/>
    <w:uiPriority w:val="0"/>
    <w:rPr>
      <w:rFonts w:ascii="Times New Roman" w:hAnsi="Times New Roman" w:eastAsia="宋体" w:cs="Times New Roman"/>
      <w:b/>
      <w:bCs/>
      <w:sz w:val="32"/>
      <w:szCs w:val="32"/>
    </w:rPr>
  </w:style>
  <w:style w:type="character" w:customStyle="1" w:styleId="4027">
    <w:name w:val="huei12b1"/>
    <w:qFormat/>
    <w:uiPriority w:val="0"/>
    <w:rPr>
      <w:b/>
      <w:bCs/>
      <w:color w:val="333333"/>
      <w:sz w:val="18"/>
      <w:szCs w:val="18"/>
    </w:rPr>
  </w:style>
  <w:style w:type="character" w:customStyle="1" w:styleId="4028">
    <w:name w:val="样式3 Char Char"/>
    <w:qFormat/>
    <w:uiPriority w:val="0"/>
    <w:rPr>
      <w:rFonts w:ascii="宋体" w:hAnsi="Courier New" w:eastAsia="宋体"/>
      <w:kern w:val="2"/>
      <w:sz w:val="28"/>
      <w:lang w:val="en-US" w:eastAsia="zh-CN" w:bidi="ar-SA"/>
    </w:rPr>
  </w:style>
  <w:style w:type="character" w:customStyle="1" w:styleId="4029">
    <w:name w:val="maintext"/>
    <w:qFormat/>
    <w:uiPriority w:val="0"/>
  </w:style>
  <w:style w:type="character" w:customStyle="1" w:styleId="4030">
    <w:name w:val="Heading 3 Char"/>
    <w:qFormat/>
    <w:uiPriority w:val="0"/>
    <w:rPr>
      <w:rFonts w:eastAsia="宋体"/>
      <w:b/>
      <w:bCs/>
      <w:kern w:val="2"/>
      <w:sz w:val="32"/>
      <w:szCs w:val="32"/>
      <w:lang w:val="en-US" w:eastAsia="zh-CN" w:bidi="ar-SA"/>
    </w:rPr>
  </w:style>
  <w:style w:type="character" w:customStyle="1" w:styleId="4031">
    <w:name w:val="无间隔 Char Char Char"/>
    <w:qFormat/>
    <w:uiPriority w:val="0"/>
    <w:rPr>
      <w:rFonts w:ascii="Calibri" w:hAnsi="Calibri" w:eastAsia="宋体"/>
      <w:sz w:val="22"/>
      <w:szCs w:val="21"/>
      <w:lang w:val="en-US" w:eastAsia="zh-CN" w:bidi="ar-SA"/>
    </w:rPr>
  </w:style>
  <w:style w:type="character" w:customStyle="1" w:styleId="4032">
    <w:name w:val="grad"/>
    <w:qFormat/>
    <w:uiPriority w:val="0"/>
  </w:style>
  <w:style w:type="character" w:customStyle="1" w:styleId="4033">
    <w:name w:val="b"/>
    <w:qFormat/>
    <w:uiPriority w:val="0"/>
  </w:style>
  <w:style w:type="character" w:customStyle="1" w:styleId="4034">
    <w:name w:val="bluewordb"/>
    <w:qFormat/>
    <w:uiPriority w:val="0"/>
  </w:style>
  <w:style w:type="character" w:customStyle="1" w:styleId="4035">
    <w:name w:val="Char Char Char Char6"/>
    <w:qFormat/>
    <w:uiPriority w:val="0"/>
    <w:rPr>
      <w:rFonts w:ascii="Times New Roman" w:hAnsi="Times New Roman" w:eastAsia="宋体" w:cs="Times New Roman"/>
      <w:sz w:val="18"/>
      <w:szCs w:val="18"/>
    </w:rPr>
  </w:style>
  <w:style w:type="character" w:customStyle="1" w:styleId="4036">
    <w:name w:val="Char Char214"/>
    <w:qFormat/>
    <w:uiPriority w:val="0"/>
    <w:rPr>
      <w:rFonts w:eastAsia="宋体"/>
      <w:kern w:val="2"/>
      <w:sz w:val="18"/>
      <w:szCs w:val="18"/>
      <w:lang w:val="en-US" w:eastAsia="zh-CN" w:bidi="ar-SA"/>
    </w:rPr>
  </w:style>
  <w:style w:type="character" w:customStyle="1" w:styleId="4037">
    <w:name w:val="tpc_title1"/>
    <w:qFormat/>
    <w:uiPriority w:val="0"/>
    <w:rPr>
      <w:b/>
      <w:bCs/>
      <w:sz w:val="18"/>
      <w:szCs w:val="18"/>
    </w:rPr>
  </w:style>
  <w:style w:type="character" w:customStyle="1" w:styleId="4038">
    <w:name w:val="消息标题标签"/>
    <w:qFormat/>
    <w:uiPriority w:val="0"/>
    <w:rPr>
      <w:rFonts w:ascii="Arial Black" w:hAnsi="Arial Black" w:eastAsia="黑体"/>
      <w:b/>
      <w:sz w:val="18"/>
      <w:lang w:eastAsia="zh-CN"/>
    </w:rPr>
  </w:style>
  <w:style w:type="character" w:customStyle="1" w:styleId="4039">
    <w:name w:val="样式 标题 1 Char"/>
    <w:qFormat/>
    <w:uiPriority w:val="0"/>
    <w:rPr>
      <w:rFonts w:ascii="宋体" w:hAnsi="宋体" w:eastAsia="宋体" w:cs="宋体"/>
      <w:b/>
      <w:color w:val="000000"/>
      <w:kern w:val="2"/>
      <w:sz w:val="32"/>
      <w:szCs w:val="32"/>
      <w:lang w:val="en-US" w:eastAsia="zh-CN" w:bidi="ar-SA"/>
    </w:rPr>
  </w:style>
  <w:style w:type="character" w:customStyle="1" w:styleId="4040">
    <w:name w:val="样式 标题 1 Char Char"/>
    <w:qFormat/>
    <w:uiPriority w:val="0"/>
    <w:rPr>
      <w:rFonts w:ascii="宋体" w:hAnsi="宋体" w:eastAsia="宋体" w:cs="宋体"/>
      <w:b/>
      <w:color w:val="000000"/>
      <w:kern w:val="2"/>
      <w:sz w:val="32"/>
      <w:szCs w:val="32"/>
      <w:lang w:val="en-US" w:eastAsia="zh-CN" w:bidi="ar-SA"/>
    </w:rPr>
  </w:style>
  <w:style w:type="character" w:customStyle="1" w:styleId="4041">
    <w:name w:val="正文缩进1 Char Char Char Char"/>
    <w:qFormat/>
    <w:uiPriority w:val="0"/>
    <w:rPr>
      <w:rFonts w:eastAsia="宋体"/>
      <w:sz w:val="24"/>
      <w:lang w:val="en-US" w:eastAsia="zh-CN" w:bidi="ar-SA"/>
    </w:rPr>
  </w:style>
  <w:style w:type="character" w:customStyle="1" w:styleId="4042">
    <w:name w:val="12h"/>
    <w:qFormat/>
    <w:uiPriority w:val="0"/>
  </w:style>
  <w:style w:type="character" w:customStyle="1" w:styleId="4043">
    <w:name w:val="我的正文首行缩进 Char Char Char"/>
    <w:qFormat/>
    <w:uiPriority w:val="0"/>
    <w:rPr>
      <w:rFonts w:eastAsia="宋体"/>
      <w:kern w:val="2"/>
      <w:sz w:val="24"/>
      <w:szCs w:val="24"/>
      <w:lang w:val="en-US" w:eastAsia="zh-CN" w:bidi="ar-SA"/>
    </w:rPr>
  </w:style>
  <w:style w:type="character" w:customStyle="1" w:styleId="4044">
    <w:name w:val="btna-s"/>
    <w:qFormat/>
    <w:uiPriority w:val="0"/>
  </w:style>
  <w:style w:type="character" w:customStyle="1" w:styleId="4045">
    <w:name w:val="td1"/>
    <w:qFormat/>
    <w:uiPriority w:val="0"/>
    <w:rPr>
      <w:sz w:val="18"/>
      <w:szCs w:val="18"/>
    </w:rPr>
  </w:style>
  <w:style w:type="character" w:customStyle="1" w:styleId="4046">
    <w:name w:val="Text Char Char"/>
    <w:qFormat/>
    <w:uiPriority w:val="0"/>
    <w:rPr>
      <w:rFonts w:ascii="Arial" w:hAnsi="Arial" w:eastAsia="宋体"/>
      <w:sz w:val="22"/>
      <w:lang w:val="de-DE" w:eastAsia="de-DE" w:bidi="ar-SA"/>
    </w:rPr>
  </w:style>
  <w:style w:type="character" w:customStyle="1" w:styleId="4047">
    <w:name w:val="Char Char Char2"/>
    <w:qFormat/>
    <w:uiPriority w:val="0"/>
    <w:rPr>
      <w:rFonts w:ascii="Times New Roman" w:hAnsi="Times New Roman" w:eastAsia="宋体" w:cs="Times New Roman"/>
      <w:sz w:val="18"/>
      <w:szCs w:val="18"/>
    </w:rPr>
  </w:style>
  <w:style w:type="character" w:customStyle="1" w:styleId="4048">
    <w:name w:val="tit03"/>
    <w:qFormat/>
    <w:uiPriority w:val="0"/>
  </w:style>
  <w:style w:type="character" w:customStyle="1" w:styleId="4049">
    <w:name w:val="标书正文 Char Char"/>
    <w:qFormat/>
    <w:uiPriority w:val="0"/>
    <w:rPr>
      <w:rFonts w:ascii="黑体" w:hAnsi="宋体" w:eastAsia="黑体"/>
      <w:bCs/>
      <w:kern w:val="2"/>
      <w:sz w:val="21"/>
      <w:szCs w:val="21"/>
      <w:lang w:val="en-US" w:eastAsia="zh-CN" w:bidi="ar-SA"/>
    </w:rPr>
  </w:style>
  <w:style w:type="character" w:customStyle="1" w:styleId="4050">
    <w:name w:val="标题 1 Char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黑体" w:hAnsi="Arial Unicode MS" w:eastAsia="黑体"/>
      <w:kern w:val="44"/>
      <w:sz w:val="28"/>
      <w:szCs w:val="28"/>
      <w:lang w:val="en-US" w:eastAsia="zh-CN" w:bidi="ar-SA"/>
    </w:rPr>
  </w:style>
  <w:style w:type="character" w:customStyle="1" w:styleId="4051">
    <w:name w:val="样式1 Char Char Char"/>
    <w:qFormat/>
    <w:uiPriority w:val="0"/>
    <w:rPr>
      <w:rFonts w:ascii="宋体" w:hAnsi="宋体" w:eastAsia="宋体" w:cs="Arial"/>
      <w:kern w:val="2"/>
      <w:sz w:val="28"/>
      <w:szCs w:val="28"/>
      <w:lang w:val="sq-AL" w:eastAsia="zh-CN" w:bidi="ar-SA"/>
    </w:rPr>
  </w:style>
  <w:style w:type="character" w:customStyle="1" w:styleId="4052">
    <w:name w:val="Char Char81"/>
    <w:qFormat/>
    <w:uiPriority w:val="0"/>
    <w:rPr>
      <w:rFonts w:ascii="Times New Roman" w:hAnsi="Times New Roman"/>
      <w:kern w:val="2"/>
      <w:sz w:val="28"/>
      <w:szCs w:val="28"/>
    </w:rPr>
  </w:style>
  <w:style w:type="character" w:customStyle="1" w:styleId="4053">
    <w:name w:val="无间隔 Char"/>
    <w:link w:val="2767"/>
    <w:qFormat/>
    <w:uiPriority w:val="0"/>
    <w:rPr>
      <w:rFonts w:ascii="Times New Roman" w:hAnsi="Times New Roman" w:eastAsia="宋体" w:cs="Times New Roman"/>
    </w:rPr>
  </w:style>
  <w:style w:type="character" w:customStyle="1" w:styleId="4054">
    <w:name w:val="cucd-0 Char Char"/>
    <w:qFormat/>
    <w:uiPriority w:val="0"/>
    <w:rPr>
      <w:kern w:val="2"/>
      <w:sz w:val="24"/>
      <w:szCs w:val="24"/>
    </w:rPr>
  </w:style>
  <w:style w:type="character" w:customStyle="1" w:styleId="4055">
    <w:name w:val="标题 1 Char Char Char Char Char Char"/>
    <w:qFormat/>
    <w:uiPriority w:val="0"/>
    <w:rPr>
      <w:rFonts w:eastAsia="宋体"/>
      <w:b/>
      <w:bCs/>
      <w:kern w:val="44"/>
      <w:sz w:val="36"/>
      <w:szCs w:val="36"/>
      <w:lang w:val="en-US" w:eastAsia="zh-CN" w:bidi="ar-SA"/>
    </w:rPr>
  </w:style>
  <w:style w:type="character" w:customStyle="1" w:styleId="4056">
    <w:name w:val="样式2 Char Char Char Char"/>
    <w:qFormat/>
    <w:uiPriority w:val="0"/>
    <w:rPr>
      <w:rFonts w:ascii="黑体" w:hAnsi="宋体" w:eastAsia="黑体" w:cs="Arial"/>
      <w:kern w:val="2"/>
      <w:sz w:val="28"/>
      <w:szCs w:val="28"/>
      <w:lang w:val="sq-AL" w:eastAsia="zh-CN" w:bidi="ar-SA"/>
    </w:rPr>
  </w:style>
  <w:style w:type="character" w:customStyle="1" w:styleId="4057">
    <w:name w:val="Char Char Char1 Char4"/>
    <w:qFormat/>
    <w:uiPriority w:val="0"/>
    <w:rPr>
      <w:rFonts w:eastAsia="宋体"/>
      <w:kern w:val="2"/>
      <w:sz w:val="18"/>
      <w:szCs w:val="18"/>
      <w:lang w:val="en-US" w:eastAsia="zh-CN" w:bidi="ar-SA"/>
    </w:rPr>
  </w:style>
  <w:style w:type="character" w:customStyle="1" w:styleId="4058">
    <w:name w:val="正文缩进1 Char Char"/>
    <w:qFormat/>
    <w:uiPriority w:val="0"/>
    <w:rPr>
      <w:rFonts w:eastAsia="宋体"/>
      <w:kern w:val="2"/>
      <w:sz w:val="21"/>
      <w:szCs w:val="24"/>
      <w:lang w:val="en-US" w:eastAsia="zh-CN" w:bidi="ar-SA"/>
    </w:rPr>
  </w:style>
  <w:style w:type="character" w:customStyle="1" w:styleId="4059">
    <w:name w:val="ztltext1"/>
    <w:qFormat/>
    <w:uiPriority w:val="0"/>
  </w:style>
  <w:style w:type="character" w:customStyle="1" w:styleId="4060">
    <w:name w:val="Char116"/>
    <w:semiHidden/>
    <w:qFormat/>
    <w:uiPriority w:val="0"/>
    <w:rPr>
      <w:rFonts w:ascii="Times New Roman" w:hAnsi="Times New Roman" w:eastAsia="宋体" w:cs="Times New Roman"/>
      <w:sz w:val="16"/>
      <w:szCs w:val="16"/>
    </w:rPr>
  </w:style>
  <w:style w:type="character" w:customStyle="1" w:styleId="4061">
    <w:name w:val="正文（首行缩进两字） Char Char Char Char Char Char Char Char Char Char Char Char Char Char Char Char Char Char Char Char Char Char Char Char Char Char Char Char Char Char Char Char Char Char Char Char Char Char Char Char1 Char Char Char Char C"/>
    <w:qFormat/>
    <w:uiPriority w:val="0"/>
    <w:rPr>
      <w:rFonts w:eastAsia="宋体"/>
      <w:kern w:val="2"/>
      <w:sz w:val="21"/>
      <w:szCs w:val="24"/>
      <w:lang w:val="en-US" w:eastAsia="zh-CN" w:bidi="ar-SA"/>
    </w:rPr>
  </w:style>
  <w:style w:type="character" w:customStyle="1" w:styleId="4062">
    <w:name w:val="Text Zchn"/>
    <w:link w:val="1039"/>
    <w:qFormat/>
    <w:uiPriority w:val="0"/>
    <w:rPr>
      <w:rFonts w:ascii="Times New Roman" w:hAnsi="Times New Roman" w:eastAsia="宋体" w:cs="Times New Roman"/>
      <w:kern w:val="0"/>
      <w:sz w:val="20"/>
      <w:szCs w:val="20"/>
      <w:lang w:eastAsia="en-US"/>
    </w:rPr>
  </w:style>
  <w:style w:type="character" w:customStyle="1" w:styleId="4063">
    <w:name w:val="t41"/>
    <w:qFormat/>
    <w:uiPriority w:val="0"/>
    <w:rPr>
      <w:color w:val="990000"/>
      <w:sz w:val="18"/>
      <w:szCs w:val="18"/>
    </w:rPr>
  </w:style>
  <w:style w:type="character" w:customStyle="1" w:styleId="4064">
    <w:name w:val="count4"/>
    <w:qFormat/>
    <w:uiPriority w:val="0"/>
  </w:style>
  <w:style w:type="character" w:customStyle="1" w:styleId="4065">
    <w:name w:val="tpccontent1"/>
    <w:qFormat/>
    <w:uiPriority w:val="0"/>
  </w:style>
  <w:style w:type="character" w:customStyle="1" w:styleId="4066">
    <w:name w:val="txt41"/>
    <w:qFormat/>
    <w:uiPriority w:val="0"/>
    <w:rPr>
      <w:color w:val="000000"/>
      <w:sz w:val="40"/>
      <w:szCs w:val="40"/>
      <w:bdr w:val="single" w:color="000000" w:sz="8" w:space="0"/>
    </w:rPr>
  </w:style>
  <w:style w:type="character" w:customStyle="1" w:styleId="4067">
    <w:name w:val="Char73"/>
    <w:qFormat/>
    <w:uiPriority w:val="0"/>
    <w:rPr>
      <w:rFonts w:eastAsia="宋体"/>
      <w:kern w:val="2"/>
      <w:sz w:val="18"/>
      <w:szCs w:val="18"/>
      <w:lang w:val="en-US" w:eastAsia="zh-CN" w:bidi="ar-SA"/>
    </w:rPr>
  </w:style>
  <w:style w:type="character" w:customStyle="1" w:styleId="4068">
    <w:name w:val="title10"/>
    <w:qFormat/>
    <w:uiPriority w:val="0"/>
  </w:style>
  <w:style w:type="paragraph" w:customStyle="1" w:styleId="4069">
    <w:name w:val="Table Paragraph"/>
    <w:basedOn w:val="1"/>
    <w:qFormat/>
    <w:uiPriority w:val="1"/>
  </w:style>
  <w:style w:type="character" w:customStyle="1" w:styleId="4070">
    <w:name w:val="font41"/>
    <w:basedOn w:val="101"/>
    <w:qFormat/>
    <w:uiPriority w:val="0"/>
    <w:rPr>
      <w:rFonts w:hint="eastAsia" w:ascii="宋体" w:hAnsi="宋体" w:eastAsia="宋体" w:cs="宋体"/>
      <w:color w:val="000000"/>
      <w:sz w:val="24"/>
      <w:szCs w:val="24"/>
      <w:u w:val="none"/>
    </w:rPr>
  </w:style>
  <w:style w:type="character" w:customStyle="1" w:styleId="4071">
    <w:name w:val="font01"/>
    <w:basedOn w:val="101"/>
    <w:qFormat/>
    <w:uiPriority w:val="0"/>
    <w:rPr>
      <w:rFonts w:hint="eastAsia" w:ascii="宋体" w:hAnsi="宋体" w:eastAsia="宋体" w:cs="宋体"/>
      <w:color w:val="000000"/>
      <w:sz w:val="21"/>
      <w:szCs w:val="21"/>
      <w:u w:val="none"/>
    </w:rPr>
  </w:style>
  <w:style w:type="paragraph" w:styleId="4072">
    <w:name w:val="List Paragraph"/>
    <w:basedOn w:val="1"/>
    <w:qFormat/>
    <w:uiPriority w:val="1"/>
    <w:pPr>
      <w:ind w:left="1315" w:hanging="601"/>
    </w:pPr>
    <w:rPr>
      <w:rFonts w:ascii="宋体" w:hAnsi="宋体" w:eastAsia="宋体" w:cs="宋体"/>
      <w:lang w:val="zh-CN" w:eastAsia="zh-CN" w:bidi="zh-CN"/>
    </w:rPr>
  </w:style>
  <w:style w:type="paragraph" w:customStyle="1" w:styleId="4073">
    <w:name w:val="样式 首行缩进:  1 厘米 行距: 固定值 25 磅"/>
    <w:basedOn w:val="1"/>
    <w:qFormat/>
    <w:uiPriority w:val="0"/>
    <w:pPr>
      <w:adjustRightInd w:val="0"/>
      <w:spacing w:line="360" w:lineRule="auto"/>
      <w:ind w:firstLine="200" w:firstLineChars="200"/>
      <w:jc w:val="left"/>
      <w:textAlignment w:val="baseline"/>
    </w:pPr>
    <w:rPr>
      <w:rFonts w:ascii="宋体" w:hAnsi="Times New Roman" w:cs="宋体"/>
      <w:snapToGrid w:val="0"/>
      <w:kern w:val="24"/>
      <w:sz w:val="24"/>
      <w:szCs w:val="24"/>
    </w:rPr>
  </w:style>
  <w:style w:type="character" w:customStyle="1" w:styleId="4074">
    <w:name w:val="fontstyle01"/>
    <w:basedOn w:val="101"/>
    <w:uiPriority w:val="0"/>
    <w:rPr>
      <w:rFonts w:ascii="宋体" w:hAnsi="宋体" w:eastAsia="宋体" w:cs="宋体"/>
      <w:color w:val="000000"/>
      <w:sz w:val="24"/>
      <w:szCs w:val="24"/>
    </w:rPr>
  </w:style>
  <w:style w:type="character" w:customStyle="1" w:styleId="4075">
    <w:name w:val="fontstyle21"/>
    <w:basedOn w:val="101"/>
    <w:uiPriority w:val="0"/>
    <w:rPr>
      <w:rFonts w:ascii="TimesNewRomanPSMT" w:hAnsi="TimesNewRomanPSMT" w:eastAsia="TimesNewRomanPSMT" w:cs="TimesNewRomanPSMT"/>
      <w:color w:val="000000"/>
      <w:sz w:val="24"/>
      <w:szCs w:val="24"/>
    </w:rPr>
  </w:style>
  <w:style w:type="paragraph" w:customStyle="1" w:styleId="4076">
    <w:name w:val="鑫裕段落(G)"/>
    <w:basedOn w:val="1"/>
    <w:qFormat/>
    <w:uiPriority w:val="0"/>
    <w:pPr>
      <w:tabs>
        <w:tab w:val="left" w:pos="1021"/>
        <w:tab w:val="left" w:pos="1320"/>
      </w:tabs>
      <w:spacing w:line="360" w:lineRule="auto"/>
      <w:ind w:firstLine="480"/>
    </w:pPr>
    <w:rPr>
      <w:color w:val="000000"/>
      <w:kern w:val="24"/>
      <w:lang w:val="zh-CN"/>
    </w:rPr>
  </w:style>
  <w:style w:type="paragraph" w:customStyle="1" w:styleId="4077">
    <w:name w:val="_Style 5"/>
    <w:basedOn w:val="1"/>
    <w:semiHidden/>
    <w:qFormat/>
    <w:uiPriority w:val="0"/>
    <w:pPr>
      <w:spacing w:line="360" w:lineRule="auto"/>
    </w:pPr>
    <w:rPr>
      <w:sz w:val="21"/>
    </w:rPr>
  </w:style>
  <w:style w:type="character" w:customStyle="1" w:styleId="4078">
    <w:name w:val="fontstyle11"/>
    <w:basedOn w:val="101"/>
    <w:uiPriority w:val="0"/>
    <w:rPr>
      <w:rFonts w:ascii="TimesNewRomanPSMT" w:hAnsi="TimesNewRomanPSMT" w:eastAsia="TimesNewRomanPSMT" w:cs="TimesNewRomanPSMT"/>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wmf"/><Relationship Id="rId26" Type="http://schemas.openxmlformats.org/officeDocument/2006/relationships/oleObject" Target="embeddings/oleObject4.bin"/><Relationship Id="rId25" Type="http://schemas.openxmlformats.org/officeDocument/2006/relationships/image" Target="media/image6.wmf"/><Relationship Id="rId24" Type="http://schemas.openxmlformats.org/officeDocument/2006/relationships/oleObject" Target="embeddings/oleObject3.bin"/><Relationship Id="rId23" Type="http://schemas.openxmlformats.org/officeDocument/2006/relationships/image" Target="media/image5.wmf"/><Relationship Id="rId22" Type="http://schemas.openxmlformats.org/officeDocument/2006/relationships/oleObject" Target="embeddings/oleObject2.bin"/><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wmf"/><Relationship Id="rId18" Type="http://schemas.openxmlformats.org/officeDocument/2006/relationships/oleObject" Target="embeddings/oleObject1.bin"/><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BEC375-5046-4142-BA3A-70BCED74E3F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330</Pages>
  <Words>41144</Words>
  <Characters>234521</Characters>
  <Lines>1954</Lines>
  <Paragraphs>550</Paragraphs>
  <TotalTime>1</TotalTime>
  <ScaleCrop>false</ScaleCrop>
  <LinksUpToDate>false</LinksUpToDate>
  <CharactersWithSpaces>275115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2017-07-11T02:27:00Z</dcterms:created>
  <dc:creator>Mr Chen</dc:creator>
  <cp:lastModifiedBy>陈朝阳</cp:lastModifiedBy>
  <cp:lastPrinted>2018-05-17T09:33:00Z</cp:lastPrinted>
  <dcterms:modified xsi:type="dcterms:W3CDTF">2020-07-29T22:19:50Z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